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360" w:lineRule="auto"/>
        <w:jc w:val="center"/>
        <w:outlineLvl w:val="1"/>
        <w:rPr>
          <w:rFonts w:ascii="宋体" w:cs="宋体"/>
          <w:b/>
          <w:bCs/>
          <w:kern w:val="0"/>
          <w:sz w:val="84"/>
          <w:szCs w:val="84"/>
        </w:rPr>
      </w:pPr>
      <w:bookmarkStart w:id="0" w:name="_Toc236590028"/>
      <w:bookmarkStart w:id="1" w:name="_Toc407030205"/>
    </w:p>
    <w:p>
      <w:pPr>
        <w:keepNext/>
        <w:keepLines/>
        <w:spacing w:before="260" w:after="260" w:line="360" w:lineRule="auto"/>
        <w:jc w:val="center"/>
        <w:outlineLvl w:val="1"/>
        <w:rPr>
          <w:rFonts w:hint="eastAsia" w:ascii="宋体" w:hAnsi="宋体" w:cs="黑体"/>
          <w:b/>
          <w:bCs/>
          <w:sz w:val="36"/>
          <w:szCs w:val="36"/>
        </w:rPr>
      </w:pPr>
      <w:r>
        <w:rPr>
          <w:rFonts w:hint="eastAsia" w:ascii="宋体" w:hAnsi="宋体" w:cs="黑体"/>
          <w:b/>
          <w:bCs/>
          <w:sz w:val="36"/>
          <w:szCs w:val="36"/>
          <w:lang w:eastAsia="zh-CN"/>
        </w:rPr>
        <w:t>少钕萃取生产线技改</w:t>
      </w:r>
      <w:r>
        <w:rPr>
          <w:rFonts w:hint="eastAsia" w:ascii="宋体" w:hAnsi="宋体" w:cs="黑体"/>
          <w:b/>
          <w:bCs/>
          <w:sz w:val="36"/>
          <w:szCs w:val="36"/>
        </w:rPr>
        <w:t>项目</w:t>
      </w:r>
    </w:p>
    <w:p>
      <w:pPr>
        <w:keepNext/>
        <w:keepLines/>
        <w:spacing w:before="260" w:after="260" w:line="360" w:lineRule="auto"/>
        <w:jc w:val="center"/>
        <w:outlineLvl w:val="1"/>
        <w:rPr>
          <w:rFonts w:ascii="宋体" w:cs="宋体"/>
          <w:b/>
          <w:bCs/>
          <w:kern w:val="0"/>
          <w:sz w:val="36"/>
          <w:szCs w:val="36"/>
        </w:rPr>
      </w:pPr>
      <w:r>
        <w:rPr>
          <w:rFonts w:hint="eastAsia" w:ascii="宋体" w:hAnsi="宋体" w:cs="黑体"/>
          <w:b/>
          <w:bCs/>
          <w:sz w:val="36"/>
          <w:szCs w:val="36"/>
          <w:lang w:val="en-US" w:eastAsia="zh-CN"/>
        </w:rPr>
        <w:t>PVC萃取槽体</w:t>
      </w:r>
      <w:r>
        <w:rPr>
          <w:rFonts w:ascii="宋体" w:hAnsi="宋体" w:cs="宋体"/>
          <w:b/>
          <w:bCs/>
          <w:kern w:val="0"/>
          <w:sz w:val="36"/>
          <w:szCs w:val="36"/>
        </w:rPr>
        <w:t xml:space="preserve"> </w:t>
      </w:r>
    </w:p>
    <w:p>
      <w:pPr>
        <w:keepNext/>
        <w:keepLines/>
        <w:spacing w:before="260" w:after="260" w:line="360" w:lineRule="auto"/>
        <w:jc w:val="center"/>
        <w:outlineLvl w:val="1"/>
        <w:rPr>
          <w:rFonts w:ascii="宋体" w:cs="宋体"/>
          <w:b/>
          <w:bCs/>
          <w:kern w:val="0"/>
          <w:sz w:val="72"/>
          <w:szCs w:val="72"/>
        </w:rPr>
      </w:pPr>
    </w:p>
    <w:p>
      <w:pPr>
        <w:keepNext/>
        <w:keepLines/>
        <w:spacing w:before="260" w:after="260" w:line="360" w:lineRule="auto"/>
        <w:jc w:val="center"/>
        <w:outlineLvl w:val="1"/>
        <w:rPr>
          <w:rFonts w:hint="eastAsia" w:ascii="宋体" w:hAnsi="宋体" w:cs="黑体"/>
          <w:b/>
          <w:bCs/>
          <w:sz w:val="36"/>
          <w:szCs w:val="36"/>
          <w:lang w:eastAsia="zh-CN"/>
        </w:rPr>
      </w:pPr>
      <w:r>
        <w:rPr>
          <w:rFonts w:hint="eastAsia" w:ascii="宋体" w:hAnsi="宋体" w:cs="黑体"/>
          <w:b/>
          <w:bCs/>
          <w:sz w:val="36"/>
          <w:szCs w:val="36"/>
          <w:lang w:eastAsia="zh-CN"/>
        </w:rPr>
        <w:t>技</w:t>
      </w:r>
    </w:p>
    <w:p>
      <w:pPr>
        <w:keepNext/>
        <w:keepLines/>
        <w:spacing w:before="260" w:after="260" w:line="360" w:lineRule="auto"/>
        <w:jc w:val="center"/>
        <w:outlineLvl w:val="1"/>
        <w:rPr>
          <w:rFonts w:hint="eastAsia" w:ascii="宋体" w:hAnsi="宋体" w:cs="黑体"/>
          <w:b/>
          <w:bCs/>
          <w:sz w:val="36"/>
          <w:szCs w:val="36"/>
          <w:lang w:eastAsia="zh-CN"/>
        </w:rPr>
      </w:pPr>
      <w:r>
        <w:rPr>
          <w:rFonts w:hint="eastAsia" w:ascii="宋体" w:hAnsi="宋体" w:cs="黑体"/>
          <w:b/>
          <w:bCs/>
          <w:sz w:val="36"/>
          <w:szCs w:val="36"/>
          <w:lang w:eastAsia="zh-CN"/>
        </w:rPr>
        <w:t>术</w:t>
      </w:r>
    </w:p>
    <w:p>
      <w:pPr>
        <w:keepNext/>
        <w:keepLines/>
        <w:spacing w:before="260" w:after="260" w:line="360" w:lineRule="auto"/>
        <w:jc w:val="center"/>
        <w:outlineLvl w:val="1"/>
        <w:rPr>
          <w:rFonts w:hint="eastAsia" w:ascii="宋体" w:hAnsi="宋体" w:cs="黑体"/>
          <w:b/>
          <w:bCs/>
          <w:sz w:val="36"/>
          <w:szCs w:val="36"/>
          <w:lang w:eastAsia="zh-CN"/>
        </w:rPr>
      </w:pPr>
      <w:r>
        <w:rPr>
          <w:rFonts w:hint="eastAsia" w:ascii="宋体" w:hAnsi="宋体" w:cs="黑体"/>
          <w:b/>
          <w:bCs/>
          <w:sz w:val="36"/>
          <w:szCs w:val="36"/>
          <w:lang w:eastAsia="zh-CN"/>
        </w:rPr>
        <w:t>协</w:t>
      </w:r>
    </w:p>
    <w:p>
      <w:pPr>
        <w:keepNext/>
        <w:keepLines/>
        <w:spacing w:before="260" w:after="260" w:line="360" w:lineRule="auto"/>
        <w:jc w:val="center"/>
        <w:outlineLvl w:val="1"/>
        <w:rPr>
          <w:rFonts w:hint="eastAsia" w:ascii="宋体" w:hAnsi="宋体" w:cs="宋体"/>
          <w:b/>
          <w:bCs/>
          <w:kern w:val="0"/>
          <w:sz w:val="72"/>
          <w:szCs w:val="72"/>
        </w:rPr>
      </w:pPr>
      <w:r>
        <w:rPr>
          <w:rFonts w:hint="eastAsia" w:ascii="宋体" w:hAnsi="宋体" w:cs="黑体"/>
          <w:b/>
          <w:bCs/>
          <w:sz w:val="36"/>
          <w:szCs w:val="36"/>
          <w:lang w:eastAsia="zh-CN"/>
        </w:rPr>
        <w:t>议</w:t>
      </w:r>
    </w:p>
    <w:p>
      <w:pPr>
        <w:keepNext/>
        <w:keepLines/>
        <w:spacing w:before="260" w:after="260" w:line="360" w:lineRule="auto"/>
        <w:jc w:val="center"/>
        <w:outlineLvl w:val="1"/>
        <w:rPr>
          <w:rFonts w:hint="eastAsia" w:ascii="宋体" w:hAnsi="宋体" w:cs="宋体"/>
          <w:b/>
          <w:bCs/>
          <w:kern w:val="0"/>
          <w:sz w:val="72"/>
          <w:szCs w:val="72"/>
        </w:rPr>
      </w:pPr>
    </w:p>
    <w:p>
      <w:pPr>
        <w:keepNext/>
        <w:keepLines/>
        <w:spacing w:before="260" w:after="260" w:line="360" w:lineRule="auto"/>
        <w:jc w:val="both"/>
        <w:outlineLvl w:val="1"/>
        <w:rPr>
          <w:rFonts w:hint="eastAsia" w:ascii="宋体" w:hAnsi="宋体" w:cs="宋体"/>
          <w:b/>
          <w:bCs/>
          <w:kern w:val="0"/>
          <w:sz w:val="72"/>
          <w:szCs w:val="72"/>
        </w:rPr>
      </w:pPr>
    </w:p>
    <w:p>
      <w:pPr>
        <w:rPr>
          <w:rFonts w:ascii="Calibri" w:hAnsi="Calibri" w:cs="黑体"/>
          <w:b/>
          <w:sz w:val="28"/>
          <w:szCs w:val="28"/>
        </w:rPr>
      </w:pPr>
      <w:r>
        <w:rPr>
          <w:rFonts w:hint="eastAsia" w:ascii="Calibri" w:hAnsi="Calibri" w:cs="黑体"/>
          <w:b/>
          <w:sz w:val="28"/>
          <w:szCs w:val="28"/>
        </w:rPr>
        <w:t>甲</w:t>
      </w:r>
      <w:r>
        <w:rPr>
          <w:rFonts w:ascii="Calibri" w:hAnsi="Calibri" w:cs="黑体"/>
          <w:b/>
          <w:sz w:val="28"/>
          <w:szCs w:val="28"/>
        </w:rPr>
        <w:t xml:space="preserve"> </w:t>
      </w:r>
      <w:r>
        <w:rPr>
          <w:rFonts w:hint="eastAsia" w:ascii="Calibri" w:hAnsi="Calibri" w:cs="黑体"/>
          <w:b/>
          <w:sz w:val="28"/>
          <w:szCs w:val="28"/>
        </w:rPr>
        <w:t>方：</w:t>
      </w:r>
      <w:r>
        <w:rPr>
          <w:rFonts w:hint="eastAsia" w:ascii="Calibri" w:hAnsi="Calibri" w:cs="黑体"/>
          <w:b/>
          <w:sz w:val="28"/>
          <w:szCs w:val="28"/>
          <w:lang w:eastAsia="zh-CN"/>
        </w:rPr>
        <w:t>中国北方稀土（集团）高科技股份有限公司冶炼分公司</w:t>
      </w:r>
    </w:p>
    <w:p>
      <w:pPr>
        <w:rPr>
          <w:rFonts w:ascii="Calibri" w:hAnsi="Calibri" w:cs="黑体"/>
          <w:b/>
          <w:sz w:val="28"/>
          <w:szCs w:val="28"/>
        </w:rPr>
      </w:pPr>
    </w:p>
    <w:p>
      <w:pPr>
        <w:rPr>
          <w:rFonts w:ascii="Calibri" w:hAnsi="Calibri" w:cs="黑体"/>
          <w:b/>
          <w:sz w:val="28"/>
          <w:szCs w:val="28"/>
        </w:rPr>
      </w:pPr>
      <w:r>
        <w:rPr>
          <w:rFonts w:hint="eastAsia" w:ascii="Calibri" w:hAnsi="Calibri" w:cs="黑体"/>
          <w:b/>
          <w:sz w:val="28"/>
          <w:szCs w:val="28"/>
        </w:rPr>
        <w:t>乙</w:t>
      </w:r>
      <w:r>
        <w:rPr>
          <w:rFonts w:ascii="Calibri" w:hAnsi="Calibri" w:cs="黑体"/>
          <w:b/>
          <w:sz w:val="28"/>
          <w:szCs w:val="28"/>
        </w:rPr>
        <w:t xml:space="preserve"> </w:t>
      </w:r>
      <w:r>
        <w:rPr>
          <w:rFonts w:hint="eastAsia" w:ascii="Calibri" w:hAnsi="Calibri" w:cs="黑体"/>
          <w:b/>
          <w:sz w:val="28"/>
          <w:szCs w:val="28"/>
        </w:rPr>
        <w:t>方：</w:t>
      </w:r>
    </w:p>
    <w:p>
      <w:pPr>
        <w:rPr>
          <w:rFonts w:ascii="Calibri" w:hAnsi="Calibri" w:cs="黑体"/>
          <w:b/>
          <w:sz w:val="28"/>
          <w:szCs w:val="28"/>
        </w:rPr>
      </w:pPr>
    </w:p>
    <w:p>
      <w:pPr>
        <w:jc w:val="center"/>
        <w:rPr>
          <w:rFonts w:hint="eastAsia" w:ascii="Calibri" w:hAnsi="Calibri" w:cs="黑体"/>
          <w:b/>
          <w:sz w:val="28"/>
          <w:szCs w:val="28"/>
        </w:rPr>
      </w:pPr>
      <w:r>
        <w:rPr>
          <w:rFonts w:hint="eastAsia" w:ascii="Calibri" w:hAnsi="Calibri" w:cs="黑体"/>
          <w:b/>
          <w:sz w:val="28"/>
          <w:szCs w:val="28"/>
          <w:lang w:val="en-US" w:eastAsia="zh-CN"/>
        </w:rPr>
        <w:t>2017</w:t>
      </w:r>
      <w:r>
        <w:rPr>
          <w:rFonts w:hint="eastAsia" w:ascii="Calibri" w:hAnsi="Calibri" w:cs="黑体"/>
          <w:b/>
          <w:sz w:val="28"/>
          <w:szCs w:val="28"/>
        </w:rPr>
        <w:t>年</w:t>
      </w:r>
      <w:r>
        <w:rPr>
          <w:rFonts w:hint="eastAsia" w:ascii="Calibri" w:hAnsi="Calibri" w:cs="黑体"/>
          <w:b/>
          <w:sz w:val="28"/>
          <w:szCs w:val="28"/>
          <w:lang w:val="en-US" w:eastAsia="zh-CN"/>
        </w:rPr>
        <w:t>5</w:t>
      </w:r>
      <w:r>
        <w:rPr>
          <w:rFonts w:hint="eastAsia" w:ascii="Calibri" w:hAnsi="Calibri" w:cs="黑体"/>
          <w:b/>
          <w:sz w:val="28"/>
          <w:szCs w:val="28"/>
        </w:rPr>
        <w:t>月</w:t>
      </w:r>
      <w:r>
        <w:rPr>
          <w:rFonts w:hint="eastAsia" w:ascii="Calibri" w:hAnsi="Calibri" w:cs="黑体"/>
          <w:b/>
          <w:sz w:val="28"/>
          <w:szCs w:val="28"/>
          <w:lang w:val="en-US" w:eastAsia="zh-CN"/>
        </w:rPr>
        <w:t>27</w:t>
      </w:r>
      <w:r>
        <w:rPr>
          <w:rFonts w:hint="eastAsia" w:ascii="Calibri" w:hAnsi="Calibri" w:cs="黑体"/>
          <w:b/>
          <w:sz w:val="28"/>
          <w:szCs w:val="28"/>
        </w:rPr>
        <w:t>日</w:t>
      </w:r>
    </w:p>
    <w:p>
      <w:pPr>
        <w:jc w:val="both"/>
        <w:rPr>
          <w:rFonts w:hint="eastAsia" w:ascii="Calibri" w:hAnsi="Calibri" w:cs="黑体"/>
          <w:b/>
          <w:sz w:val="28"/>
          <w:szCs w:val="28"/>
        </w:rPr>
      </w:pPr>
    </w:p>
    <w:bookmarkEnd w:id="0"/>
    <w:bookmarkEnd w:id="1"/>
    <w:p>
      <w:pPr>
        <w:keepNext/>
        <w:keepLines/>
        <w:numPr>
          <w:ilvl w:val="0"/>
          <w:numId w:val="1"/>
        </w:numPr>
        <w:spacing w:line="360" w:lineRule="auto"/>
        <w:jc w:val="left"/>
        <w:outlineLvl w:val="1"/>
        <w:rPr>
          <w:rFonts w:ascii="宋体" w:cs="宋体"/>
          <w:b/>
          <w:bCs/>
          <w:kern w:val="0"/>
          <w:sz w:val="28"/>
          <w:szCs w:val="28"/>
        </w:rPr>
      </w:pPr>
      <w:bookmarkStart w:id="2" w:name="_Toc249844906"/>
      <w:bookmarkStart w:id="3" w:name="_Toc319947207"/>
      <w:r>
        <w:rPr>
          <w:rFonts w:hint="eastAsia" w:ascii="宋体" w:hAnsi="宋体" w:cs="宋体"/>
          <w:b/>
          <w:bCs/>
          <w:kern w:val="0"/>
          <w:sz w:val="28"/>
          <w:szCs w:val="28"/>
          <w:lang w:eastAsia="zh-CN"/>
        </w:rPr>
        <w:t>少钕萃取器技改</w:t>
      </w:r>
      <w:r>
        <w:rPr>
          <w:rFonts w:hint="eastAsia" w:ascii="宋体" w:hAnsi="宋体" w:cs="宋体"/>
          <w:b/>
          <w:bCs/>
          <w:kern w:val="0"/>
          <w:sz w:val="28"/>
          <w:szCs w:val="28"/>
        </w:rPr>
        <w:t>项目货物需求一览表</w:t>
      </w:r>
      <w:bookmarkEnd w:id="2"/>
      <w:bookmarkEnd w:id="3"/>
    </w:p>
    <w:tbl>
      <w:tblPr>
        <w:tblStyle w:val="5"/>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843"/>
        <w:gridCol w:w="1985"/>
        <w:gridCol w:w="992"/>
        <w:gridCol w:w="850"/>
        <w:gridCol w:w="2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75" w:type="dxa"/>
            <w:vAlign w:val="center"/>
          </w:tcPr>
          <w:p>
            <w:pPr>
              <w:spacing w:line="360" w:lineRule="auto"/>
              <w:jc w:val="center"/>
              <w:rPr>
                <w:rFonts w:ascii="宋体" w:cs="宋体"/>
                <w:b/>
                <w:bCs/>
                <w:szCs w:val="30"/>
              </w:rPr>
            </w:pPr>
            <w:r>
              <w:rPr>
                <w:rFonts w:hint="eastAsia" w:ascii="宋体" w:hAnsi="宋体" w:cs="宋体"/>
                <w:b/>
                <w:bCs/>
                <w:szCs w:val="30"/>
              </w:rPr>
              <w:t>序号</w:t>
            </w:r>
          </w:p>
        </w:tc>
        <w:tc>
          <w:tcPr>
            <w:tcW w:w="1843" w:type="dxa"/>
            <w:vAlign w:val="center"/>
          </w:tcPr>
          <w:p>
            <w:pPr>
              <w:spacing w:line="360" w:lineRule="auto"/>
              <w:jc w:val="center"/>
              <w:rPr>
                <w:rFonts w:ascii="宋体" w:cs="宋体"/>
                <w:b/>
                <w:bCs/>
                <w:szCs w:val="30"/>
              </w:rPr>
            </w:pPr>
            <w:r>
              <w:rPr>
                <w:rFonts w:hint="eastAsia" w:ascii="宋体" w:hAnsi="宋体" w:cs="宋体"/>
                <w:b/>
                <w:bCs/>
                <w:szCs w:val="30"/>
              </w:rPr>
              <w:t>货物名称</w:t>
            </w:r>
          </w:p>
        </w:tc>
        <w:tc>
          <w:tcPr>
            <w:tcW w:w="1985" w:type="dxa"/>
            <w:vAlign w:val="center"/>
          </w:tcPr>
          <w:p>
            <w:pPr>
              <w:spacing w:line="360" w:lineRule="auto"/>
              <w:jc w:val="center"/>
              <w:rPr>
                <w:rFonts w:ascii="宋体" w:cs="宋体"/>
                <w:b/>
                <w:bCs/>
                <w:szCs w:val="30"/>
              </w:rPr>
            </w:pPr>
            <w:r>
              <w:rPr>
                <w:rFonts w:hint="eastAsia" w:ascii="宋体" w:hAnsi="宋体" w:cs="宋体"/>
                <w:b/>
                <w:bCs/>
                <w:szCs w:val="30"/>
              </w:rPr>
              <w:t>规格、型号</w:t>
            </w:r>
            <w:r>
              <w:rPr>
                <w:rFonts w:ascii="宋体" w:hAnsi="宋体" w:cs="宋体"/>
                <w:b/>
                <w:bCs/>
                <w:szCs w:val="30"/>
              </w:rPr>
              <w:t xml:space="preserve"> </w:t>
            </w:r>
          </w:p>
        </w:tc>
        <w:tc>
          <w:tcPr>
            <w:tcW w:w="992" w:type="dxa"/>
            <w:vAlign w:val="center"/>
          </w:tcPr>
          <w:p>
            <w:pPr>
              <w:spacing w:line="360" w:lineRule="auto"/>
              <w:jc w:val="center"/>
              <w:rPr>
                <w:rFonts w:ascii="宋体" w:cs="宋体"/>
                <w:b/>
                <w:bCs/>
                <w:szCs w:val="30"/>
              </w:rPr>
            </w:pPr>
            <w:r>
              <w:rPr>
                <w:rFonts w:hint="eastAsia" w:ascii="宋体" w:hAnsi="宋体" w:cs="宋体"/>
                <w:b/>
                <w:bCs/>
                <w:szCs w:val="30"/>
              </w:rPr>
              <w:t>单位</w:t>
            </w:r>
          </w:p>
        </w:tc>
        <w:tc>
          <w:tcPr>
            <w:tcW w:w="850" w:type="dxa"/>
            <w:vAlign w:val="center"/>
          </w:tcPr>
          <w:p>
            <w:pPr>
              <w:spacing w:line="360" w:lineRule="auto"/>
              <w:jc w:val="center"/>
              <w:rPr>
                <w:rFonts w:ascii="宋体" w:cs="宋体"/>
                <w:b/>
                <w:bCs/>
                <w:szCs w:val="30"/>
              </w:rPr>
            </w:pPr>
            <w:r>
              <w:rPr>
                <w:rFonts w:hint="eastAsia" w:ascii="宋体" w:hAnsi="宋体" w:cs="宋体"/>
                <w:b/>
                <w:bCs/>
                <w:szCs w:val="30"/>
              </w:rPr>
              <w:t>数量</w:t>
            </w:r>
          </w:p>
        </w:tc>
        <w:tc>
          <w:tcPr>
            <w:tcW w:w="2403" w:type="dxa"/>
            <w:vAlign w:val="center"/>
          </w:tcPr>
          <w:p>
            <w:pPr>
              <w:spacing w:line="360" w:lineRule="auto"/>
              <w:jc w:val="center"/>
              <w:rPr>
                <w:rFonts w:ascii="宋体" w:cs="宋体"/>
                <w:b/>
                <w:bCs/>
                <w:szCs w:val="30"/>
              </w:rPr>
            </w:pPr>
            <w:r>
              <w:rPr>
                <w:rFonts w:hint="eastAsia" w:ascii="宋体" w:hAnsi="宋体" w:cs="宋体"/>
                <w:b/>
                <w:bCs/>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trPr>
        <w:tc>
          <w:tcPr>
            <w:tcW w:w="675" w:type="dxa"/>
            <w:vAlign w:val="center"/>
          </w:tcPr>
          <w:p>
            <w:pPr>
              <w:spacing w:line="360" w:lineRule="auto"/>
              <w:jc w:val="center"/>
              <w:rPr>
                <w:rFonts w:ascii="宋体" w:cs="宋体"/>
                <w:bCs/>
                <w:szCs w:val="30"/>
              </w:rPr>
            </w:pPr>
            <w:r>
              <w:rPr>
                <w:rFonts w:ascii="宋体" w:hAnsi="宋体" w:cs="宋体"/>
                <w:bCs/>
                <w:szCs w:val="30"/>
              </w:rPr>
              <w:t>1</w:t>
            </w:r>
          </w:p>
        </w:tc>
        <w:tc>
          <w:tcPr>
            <w:tcW w:w="1843" w:type="dxa"/>
            <w:vAlign w:val="center"/>
          </w:tcPr>
          <w:p>
            <w:pPr>
              <w:spacing w:line="360" w:lineRule="auto"/>
              <w:jc w:val="center"/>
              <w:rPr>
                <w:rFonts w:ascii="宋体" w:cs="宋体"/>
                <w:kern w:val="0"/>
                <w:sz w:val="24"/>
              </w:rPr>
            </w:pPr>
            <w:r>
              <w:rPr>
                <w:rFonts w:hint="eastAsia" w:ascii="宋体" w:cs="宋体"/>
                <w:kern w:val="0"/>
                <w:sz w:val="24"/>
                <w:lang w:eastAsia="zh-CN"/>
              </w:rPr>
              <w:t>萃取器</w:t>
            </w:r>
            <w:r>
              <w:rPr>
                <w:rFonts w:ascii="宋体" w:cs="宋体"/>
                <w:kern w:val="0"/>
                <w:sz w:val="24"/>
              </w:rPr>
              <w:t>1</w:t>
            </w:r>
          </w:p>
        </w:tc>
        <w:tc>
          <w:tcPr>
            <w:tcW w:w="1985" w:type="dxa"/>
            <w:vAlign w:val="center"/>
          </w:tcPr>
          <w:p>
            <w:pPr>
              <w:spacing w:line="360" w:lineRule="auto"/>
              <w:jc w:val="center"/>
              <w:rPr>
                <w:rFonts w:ascii="宋体" w:cs="宋体"/>
                <w:kern w:val="0"/>
                <w:sz w:val="24"/>
              </w:rPr>
            </w:pPr>
            <w:r>
              <w:rPr>
                <w:rFonts w:hint="eastAsia" w:ascii="宋体" w:cs="宋体"/>
                <w:kern w:val="0"/>
                <w:sz w:val="24"/>
                <w:lang w:eastAsia="zh-CN"/>
              </w:rPr>
              <w:t>单组尺寸</w:t>
            </w:r>
            <w:r>
              <w:rPr>
                <w:rFonts w:ascii="宋体" w:cs="宋体"/>
                <w:kern w:val="0"/>
                <w:sz w:val="24"/>
              </w:rPr>
              <w:t>6</w:t>
            </w:r>
            <w:r>
              <w:rPr>
                <w:rFonts w:hint="eastAsia" w:ascii="宋体" w:cs="宋体"/>
                <w:kern w:val="0"/>
                <w:sz w:val="24"/>
                <w:lang w:val="en-US" w:eastAsia="zh-CN"/>
              </w:rPr>
              <w:t>92</w:t>
            </w:r>
            <w:r>
              <w:rPr>
                <w:rFonts w:ascii="宋体" w:cs="宋体"/>
                <w:kern w:val="0"/>
                <w:sz w:val="24"/>
              </w:rPr>
              <w:t>0*</w:t>
            </w:r>
            <w:r>
              <w:rPr>
                <w:rFonts w:hint="eastAsia" w:ascii="宋体" w:cs="宋体"/>
                <w:kern w:val="0"/>
                <w:sz w:val="24"/>
                <w:lang w:val="en-US" w:eastAsia="zh-CN"/>
              </w:rPr>
              <w:t>4060</w:t>
            </w:r>
            <w:r>
              <w:rPr>
                <w:rFonts w:ascii="宋体" w:cs="宋体"/>
                <w:kern w:val="0"/>
                <w:sz w:val="24"/>
              </w:rPr>
              <w:t>*</w:t>
            </w:r>
            <w:r>
              <w:rPr>
                <w:rFonts w:hint="eastAsia" w:ascii="宋体" w:cs="宋体"/>
                <w:kern w:val="0"/>
                <w:sz w:val="24"/>
                <w:lang w:val="en-US" w:eastAsia="zh-CN"/>
              </w:rPr>
              <w:t>950</w:t>
            </w:r>
          </w:p>
        </w:tc>
        <w:tc>
          <w:tcPr>
            <w:tcW w:w="992" w:type="dxa"/>
            <w:vAlign w:val="center"/>
          </w:tcPr>
          <w:p>
            <w:pPr>
              <w:spacing w:line="360" w:lineRule="auto"/>
              <w:jc w:val="center"/>
              <w:rPr>
                <w:rFonts w:ascii="宋体" w:cs="宋体"/>
                <w:bCs/>
                <w:szCs w:val="30"/>
              </w:rPr>
            </w:pPr>
            <w:r>
              <w:rPr>
                <w:rFonts w:hint="eastAsia" w:ascii="宋体" w:hAnsi="宋体" w:cs="宋体"/>
                <w:bCs/>
                <w:szCs w:val="30"/>
              </w:rPr>
              <w:t>组</w:t>
            </w:r>
          </w:p>
        </w:tc>
        <w:tc>
          <w:tcPr>
            <w:tcW w:w="850" w:type="dxa"/>
            <w:vAlign w:val="center"/>
          </w:tcPr>
          <w:p>
            <w:pPr>
              <w:spacing w:line="360" w:lineRule="auto"/>
              <w:jc w:val="center"/>
              <w:rPr>
                <w:rFonts w:hint="eastAsia" w:ascii="宋体" w:eastAsia="宋体" w:cs="宋体"/>
                <w:bCs/>
                <w:szCs w:val="30"/>
                <w:lang w:eastAsia="zh-CN"/>
              </w:rPr>
            </w:pPr>
            <w:r>
              <w:rPr>
                <w:rFonts w:hint="eastAsia" w:ascii="宋体" w:hAnsi="宋体" w:cs="宋体"/>
                <w:bCs/>
                <w:szCs w:val="30"/>
                <w:lang w:val="en-US" w:eastAsia="zh-CN"/>
              </w:rPr>
              <w:t>3</w:t>
            </w:r>
          </w:p>
        </w:tc>
        <w:tc>
          <w:tcPr>
            <w:tcW w:w="2403" w:type="dxa"/>
            <w:vAlign w:val="center"/>
          </w:tcPr>
          <w:p>
            <w:pPr>
              <w:spacing w:line="360" w:lineRule="auto"/>
              <w:rPr>
                <w:rFonts w:ascii="宋体" w:cs="宋体"/>
                <w:bCs/>
                <w:szCs w:val="30"/>
              </w:rPr>
            </w:pPr>
            <w:r>
              <w:rPr>
                <w:rFonts w:hint="eastAsia" w:ascii="宋体" w:hAnsi="宋体" w:cs="宋体"/>
                <w:bCs/>
                <w:szCs w:val="30"/>
                <w:lang w:val="en-US" w:eastAsia="zh-CN"/>
              </w:rPr>
              <w:t>0.</w:t>
            </w:r>
            <w:r>
              <w:rPr>
                <w:rFonts w:ascii="宋体" w:hAnsi="宋体" w:cs="宋体"/>
                <w:bCs/>
                <w:szCs w:val="30"/>
              </w:rPr>
              <w:t>5m</w:t>
            </w:r>
            <w:r>
              <w:rPr>
                <w:rFonts w:hint="eastAsia" w:ascii="宋体" w:hAnsi="宋体" w:cs="宋体"/>
                <w:bCs/>
                <w:szCs w:val="30"/>
              </w:rPr>
              <w:t>³萃取槽、</w:t>
            </w:r>
            <w:r>
              <w:rPr>
                <w:rFonts w:hint="eastAsia" w:ascii="宋体" w:hAnsi="宋体" w:cs="宋体"/>
                <w:bCs/>
                <w:szCs w:val="30"/>
                <w:lang w:eastAsia="zh-CN"/>
              </w:rPr>
              <w:t>每组</w:t>
            </w:r>
            <w:r>
              <w:rPr>
                <w:rFonts w:hint="eastAsia" w:ascii="宋体" w:hAnsi="宋体" w:cs="宋体"/>
                <w:bCs/>
                <w:szCs w:val="30"/>
                <w:lang w:val="en-US" w:eastAsia="zh-CN"/>
              </w:rPr>
              <w:t>10</w:t>
            </w:r>
            <w:r>
              <w:rPr>
                <w:rFonts w:hint="eastAsia" w:ascii="宋体" w:hAnsi="宋体" w:cs="宋体"/>
                <w:bCs/>
                <w:szCs w:val="30"/>
              </w:rPr>
              <w:t>级、总重</w:t>
            </w:r>
            <w:r>
              <w:rPr>
                <w:rFonts w:hint="eastAsia" w:ascii="宋体" w:hAnsi="宋体" w:cs="宋体"/>
                <w:bCs/>
                <w:szCs w:val="30"/>
                <w:lang w:val="en-US" w:eastAsia="zh-CN"/>
              </w:rPr>
              <w:t>13462.2</w:t>
            </w:r>
            <w:r>
              <w:rPr>
                <w:rFonts w:hint="eastAsia" w:ascii="宋体" w:hAnsi="宋体" w:cs="宋体"/>
                <w:bCs/>
                <w:szCs w:val="30"/>
              </w:rPr>
              <w:t>公斤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2" w:hRule="atLeast"/>
        </w:trPr>
        <w:tc>
          <w:tcPr>
            <w:tcW w:w="675" w:type="dxa"/>
            <w:vAlign w:val="center"/>
          </w:tcPr>
          <w:p>
            <w:pPr>
              <w:spacing w:line="360" w:lineRule="auto"/>
              <w:jc w:val="center"/>
              <w:rPr>
                <w:rFonts w:ascii="宋体" w:cs="宋体"/>
                <w:bCs/>
                <w:szCs w:val="30"/>
              </w:rPr>
            </w:pPr>
            <w:r>
              <w:rPr>
                <w:rFonts w:ascii="宋体" w:hAnsi="宋体" w:cs="宋体"/>
                <w:bCs/>
                <w:szCs w:val="30"/>
              </w:rPr>
              <w:t>2</w:t>
            </w:r>
          </w:p>
        </w:tc>
        <w:tc>
          <w:tcPr>
            <w:tcW w:w="1843" w:type="dxa"/>
            <w:vAlign w:val="center"/>
          </w:tcPr>
          <w:p>
            <w:pPr>
              <w:spacing w:line="360" w:lineRule="auto"/>
              <w:jc w:val="center"/>
              <w:rPr>
                <w:rFonts w:ascii="宋体" w:cs="宋体"/>
                <w:kern w:val="0"/>
                <w:sz w:val="24"/>
              </w:rPr>
            </w:pPr>
            <w:r>
              <w:rPr>
                <w:rFonts w:hint="eastAsia" w:ascii="宋体" w:cs="宋体"/>
                <w:kern w:val="0"/>
                <w:sz w:val="24"/>
                <w:lang w:eastAsia="zh-CN"/>
              </w:rPr>
              <w:t>萃取器</w:t>
            </w:r>
            <w:r>
              <w:rPr>
                <w:rFonts w:ascii="宋体" w:cs="宋体"/>
                <w:kern w:val="0"/>
                <w:sz w:val="24"/>
              </w:rPr>
              <w:t>2</w:t>
            </w:r>
          </w:p>
        </w:tc>
        <w:tc>
          <w:tcPr>
            <w:tcW w:w="1985" w:type="dxa"/>
            <w:vAlign w:val="center"/>
          </w:tcPr>
          <w:p>
            <w:pPr>
              <w:spacing w:line="360" w:lineRule="auto"/>
              <w:jc w:val="center"/>
              <w:rPr>
                <w:rFonts w:ascii="宋体" w:cs="宋体"/>
                <w:kern w:val="0"/>
                <w:sz w:val="24"/>
              </w:rPr>
            </w:pPr>
            <w:r>
              <w:rPr>
                <w:rFonts w:hint="eastAsia" w:ascii="宋体" w:cs="宋体"/>
                <w:kern w:val="0"/>
                <w:sz w:val="24"/>
                <w:lang w:eastAsia="zh-CN"/>
              </w:rPr>
              <w:t>单组尺寸</w:t>
            </w:r>
            <w:r>
              <w:rPr>
                <w:rFonts w:ascii="宋体" w:cs="宋体"/>
                <w:kern w:val="0"/>
                <w:sz w:val="24"/>
              </w:rPr>
              <w:t>6</w:t>
            </w:r>
            <w:r>
              <w:rPr>
                <w:rFonts w:hint="eastAsia" w:ascii="宋体" w:cs="宋体"/>
                <w:kern w:val="0"/>
                <w:sz w:val="24"/>
                <w:lang w:val="en-US" w:eastAsia="zh-CN"/>
              </w:rPr>
              <w:t>92</w:t>
            </w:r>
            <w:r>
              <w:rPr>
                <w:rFonts w:ascii="宋体" w:cs="宋体"/>
                <w:kern w:val="0"/>
                <w:sz w:val="24"/>
              </w:rPr>
              <w:t>0*</w:t>
            </w:r>
            <w:r>
              <w:rPr>
                <w:rFonts w:hint="eastAsia" w:ascii="宋体" w:cs="宋体"/>
                <w:kern w:val="0"/>
                <w:sz w:val="24"/>
                <w:lang w:val="en-US" w:eastAsia="zh-CN"/>
              </w:rPr>
              <w:t>4060</w:t>
            </w:r>
            <w:r>
              <w:rPr>
                <w:rFonts w:ascii="宋体" w:cs="宋体"/>
                <w:kern w:val="0"/>
                <w:sz w:val="24"/>
              </w:rPr>
              <w:t>*</w:t>
            </w:r>
            <w:r>
              <w:rPr>
                <w:rFonts w:hint="eastAsia" w:ascii="宋体" w:cs="宋体"/>
                <w:kern w:val="0"/>
                <w:sz w:val="24"/>
                <w:lang w:val="en-US" w:eastAsia="zh-CN"/>
              </w:rPr>
              <w:t>950</w:t>
            </w:r>
          </w:p>
        </w:tc>
        <w:tc>
          <w:tcPr>
            <w:tcW w:w="992" w:type="dxa"/>
            <w:vAlign w:val="center"/>
          </w:tcPr>
          <w:p>
            <w:pPr>
              <w:spacing w:line="360" w:lineRule="auto"/>
              <w:jc w:val="center"/>
              <w:rPr>
                <w:rFonts w:ascii="宋体" w:cs="宋体"/>
                <w:bCs/>
                <w:szCs w:val="30"/>
              </w:rPr>
            </w:pPr>
            <w:r>
              <w:rPr>
                <w:rFonts w:hint="eastAsia" w:ascii="宋体" w:hAnsi="宋体" w:cs="宋体"/>
                <w:bCs/>
                <w:szCs w:val="30"/>
              </w:rPr>
              <w:t>组</w:t>
            </w:r>
          </w:p>
        </w:tc>
        <w:tc>
          <w:tcPr>
            <w:tcW w:w="850" w:type="dxa"/>
            <w:vAlign w:val="center"/>
          </w:tcPr>
          <w:p>
            <w:pPr>
              <w:spacing w:line="360" w:lineRule="auto"/>
              <w:jc w:val="center"/>
              <w:rPr>
                <w:rFonts w:hint="eastAsia" w:ascii="宋体" w:eastAsia="宋体" w:cs="宋体"/>
                <w:bCs/>
                <w:szCs w:val="30"/>
                <w:lang w:eastAsia="zh-CN"/>
              </w:rPr>
            </w:pPr>
            <w:r>
              <w:rPr>
                <w:rFonts w:hint="eastAsia" w:ascii="宋体" w:hAnsi="宋体" w:cs="宋体"/>
                <w:bCs/>
                <w:szCs w:val="30"/>
                <w:lang w:val="en-US" w:eastAsia="zh-CN"/>
              </w:rPr>
              <w:t>2</w:t>
            </w:r>
          </w:p>
        </w:tc>
        <w:tc>
          <w:tcPr>
            <w:tcW w:w="2403" w:type="dxa"/>
            <w:vAlign w:val="center"/>
          </w:tcPr>
          <w:p>
            <w:pPr>
              <w:spacing w:line="360" w:lineRule="auto"/>
              <w:rPr>
                <w:rFonts w:ascii="宋体" w:cs="宋体"/>
                <w:bCs/>
                <w:szCs w:val="30"/>
              </w:rPr>
            </w:pPr>
            <w:r>
              <w:rPr>
                <w:rFonts w:hint="eastAsia" w:ascii="宋体" w:hAnsi="宋体" w:cs="宋体"/>
                <w:bCs/>
                <w:szCs w:val="30"/>
                <w:lang w:val="en-US" w:eastAsia="zh-CN"/>
              </w:rPr>
              <w:t>0.</w:t>
            </w:r>
            <w:r>
              <w:rPr>
                <w:rFonts w:ascii="宋体" w:hAnsi="宋体" w:cs="宋体"/>
                <w:bCs/>
                <w:szCs w:val="30"/>
              </w:rPr>
              <w:t>5m</w:t>
            </w:r>
            <w:r>
              <w:rPr>
                <w:rFonts w:hint="eastAsia" w:ascii="宋体" w:hAnsi="宋体" w:cs="宋体"/>
                <w:bCs/>
                <w:szCs w:val="30"/>
              </w:rPr>
              <w:t>³萃取槽、</w:t>
            </w:r>
            <w:r>
              <w:rPr>
                <w:rFonts w:hint="eastAsia" w:ascii="宋体" w:hAnsi="宋体" w:cs="宋体"/>
                <w:bCs/>
                <w:szCs w:val="30"/>
                <w:lang w:eastAsia="zh-CN"/>
              </w:rPr>
              <w:t>每组</w:t>
            </w:r>
            <w:r>
              <w:rPr>
                <w:rFonts w:hint="eastAsia" w:ascii="宋体" w:hAnsi="宋体" w:cs="宋体"/>
                <w:bCs/>
                <w:szCs w:val="30"/>
                <w:lang w:val="en-US" w:eastAsia="zh-CN"/>
              </w:rPr>
              <w:t>10</w:t>
            </w:r>
            <w:r>
              <w:rPr>
                <w:rFonts w:hint="eastAsia" w:ascii="宋体" w:hAnsi="宋体" w:cs="宋体"/>
                <w:bCs/>
                <w:szCs w:val="30"/>
              </w:rPr>
              <w:t>级、总重</w:t>
            </w:r>
            <w:r>
              <w:rPr>
                <w:rFonts w:hint="eastAsia" w:ascii="宋体" w:hAnsi="宋体" w:cs="宋体"/>
                <w:bCs/>
                <w:szCs w:val="30"/>
                <w:lang w:val="en-US" w:eastAsia="zh-CN"/>
              </w:rPr>
              <w:t>8974.8</w:t>
            </w:r>
            <w:r>
              <w:rPr>
                <w:rFonts w:hint="eastAsia" w:ascii="宋体" w:hAnsi="宋体" w:cs="宋体"/>
                <w:bCs/>
                <w:szCs w:val="30"/>
              </w:rPr>
              <w:t>公斤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2" w:hRule="atLeast"/>
        </w:trPr>
        <w:tc>
          <w:tcPr>
            <w:tcW w:w="675" w:type="dxa"/>
            <w:vAlign w:val="center"/>
          </w:tcPr>
          <w:p>
            <w:pPr>
              <w:spacing w:line="360" w:lineRule="auto"/>
              <w:jc w:val="center"/>
              <w:rPr>
                <w:rFonts w:ascii="宋体" w:cs="宋体"/>
                <w:szCs w:val="21"/>
              </w:rPr>
            </w:pPr>
            <w:r>
              <w:rPr>
                <w:rFonts w:ascii="宋体" w:hAnsi="宋体" w:cs="宋体"/>
                <w:szCs w:val="21"/>
              </w:rPr>
              <w:t>3</w:t>
            </w:r>
          </w:p>
        </w:tc>
        <w:tc>
          <w:tcPr>
            <w:tcW w:w="1843" w:type="dxa"/>
            <w:vAlign w:val="center"/>
          </w:tcPr>
          <w:p>
            <w:pPr>
              <w:spacing w:line="360" w:lineRule="auto"/>
              <w:jc w:val="center"/>
              <w:rPr>
                <w:rFonts w:ascii="宋体" w:cs="宋体"/>
                <w:kern w:val="0"/>
                <w:sz w:val="24"/>
              </w:rPr>
            </w:pPr>
            <w:r>
              <w:rPr>
                <w:rFonts w:hint="eastAsia" w:ascii="宋体" w:cs="宋体"/>
                <w:kern w:val="0"/>
                <w:sz w:val="24"/>
                <w:lang w:eastAsia="zh-CN"/>
              </w:rPr>
              <w:t>萃取器</w:t>
            </w:r>
            <w:r>
              <w:rPr>
                <w:rFonts w:ascii="宋体" w:cs="宋体"/>
                <w:kern w:val="0"/>
                <w:sz w:val="24"/>
              </w:rPr>
              <w:t>3</w:t>
            </w:r>
          </w:p>
        </w:tc>
        <w:tc>
          <w:tcPr>
            <w:tcW w:w="1985" w:type="dxa"/>
            <w:vAlign w:val="center"/>
          </w:tcPr>
          <w:p>
            <w:pPr>
              <w:spacing w:line="360" w:lineRule="auto"/>
              <w:jc w:val="center"/>
              <w:rPr>
                <w:rFonts w:ascii="宋体" w:cs="宋体"/>
                <w:kern w:val="0"/>
                <w:sz w:val="24"/>
              </w:rPr>
            </w:pPr>
            <w:r>
              <w:rPr>
                <w:rFonts w:hint="eastAsia" w:ascii="宋体" w:cs="宋体"/>
                <w:kern w:val="0"/>
                <w:sz w:val="24"/>
                <w:lang w:eastAsia="zh-CN"/>
              </w:rPr>
              <w:t>单组尺寸</w:t>
            </w:r>
            <w:r>
              <w:rPr>
                <w:rFonts w:ascii="宋体" w:cs="宋体"/>
                <w:kern w:val="0"/>
                <w:sz w:val="24"/>
              </w:rPr>
              <w:t>6</w:t>
            </w:r>
            <w:r>
              <w:rPr>
                <w:rFonts w:hint="eastAsia" w:ascii="宋体" w:cs="宋体"/>
                <w:kern w:val="0"/>
                <w:sz w:val="24"/>
                <w:lang w:val="en-US" w:eastAsia="zh-CN"/>
              </w:rPr>
              <w:t>92</w:t>
            </w:r>
            <w:r>
              <w:rPr>
                <w:rFonts w:ascii="宋体" w:cs="宋体"/>
                <w:kern w:val="0"/>
                <w:sz w:val="24"/>
              </w:rPr>
              <w:t>0*</w:t>
            </w:r>
            <w:r>
              <w:rPr>
                <w:rFonts w:hint="eastAsia" w:ascii="宋体" w:cs="宋体"/>
                <w:kern w:val="0"/>
                <w:sz w:val="24"/>
                <w:lang w:val="en-US" w:eastAsia="zh-CN"/>
              </w:rPr>
              <w:t>4060</w:t>
            </w:r>
            <w:r>
              <w:rPr>
                <w:rFonts w:ascii="宋体" w:cs="宋体"/>
                <w:kern w:val="0"/>
                <w:sz w:val="24"/>
              </w:rPr>
              <w:t>*</w:t>
            </w:r>
            <w:r>
              <w:rPr>
                <w:rFonts w:hint="eastAsia" w:ascii="宋体" w:cs="宋体"/>
                <w:kern w:val="0"/>
                <w:sz w:val="24"/>
                <w:lang w:val="en-US" w:eastAsia="zh-CN"/>
              </w:rPr>
              <w:t>950</w:t>
            </w:r>
          </w:p>
        </w:tc>
        <w:tc>
          <w:tcPr>
            <w:tcW w:w="992" w:type="dxa"/>
            <w:vAlign w:val="center"/>
          </w:tcPr>
          <w:p>
            <w:pPr>
              <w:spacing w:line="360" w:lineRule="auto"/>
              <w:jc w:val="center"/>
              <w:rPr>
                <w:rFonts w:ascii="宋体" w:cs="宋体"/>
                <w:bCs/>
                <w:szCs w:val="30"/>
              </w:rPr>
            </w:pPr>
            <w:r>
              <w:rPr>
                <w:rFonts w:hint="eastAsia" w:ascii="宋体" w:hAnsi="宋体" w:cs="宋体"/>
                <w:bCs/>
                <w:szCs w:val="30"/>
              </w:rPr>
              <w:t>组</w:t>
            </w:r>
          </w:p>
        </w:tc>
        <w:tc>
          <w:tcPr>
            <w:tcW w:w="850" w:type="dxa"/>
            <w:vAlign w:val="center"/>
          </w:tcPr>
          <w:p>
            <w:pPr>
              <w:spacing w:line="360" w:lineRule="auto"/>
              <w:jc w:val="center"/>
              <w:rPr>
                <w:rFonts w:ascii="宋体" w:cs="宋体"/>
                <w:bCs/>
                <w:szCs w:val="30"/>
              </w:rPr>
            </w:pPr>
            <w:r>
              <w:rPr>
                <w:rFonts w:ascii="宋体" w:hAnsi="宋体" w:cs="宋体"/>
                <w:bCs/>
                <w:szCs w:val="30"/>
              </w:rPr>
              <w:t>1</w:t>
            </w:r>
          </w:p>
        </w:tc>
        <w:tc>
          <w:tcPr>
            <w:tcW w:w="2403" w:type="dxa"/>
            <w:vAlign w:val="center"/>
          </w:tcPr>
          <w:p>
            <w:pPr>
              <w:spacing w:line="360" w:lineRule="auto"/>
              <w:rPr>
                <w:rFonts w:ascii="宋体" w:cs="宋体"/>
                <w:bCs/>
                <w:szCs w:val="30"/>
              </w:rPr>
            </w:pPr>
            <w:r>
              <w:rPr>
                <w:rFonts w:hint="eastAsia" w:ascii="宋体" w:hAnsi="宋体" w:cs="宋体"/>
                <w:bCs/>
                <w:szCs w:val="30"/>
                <w:lang w:val="en-US" w:eastAsia="zh-CN"/>
              </w:rPr>
              <w:t>0.</w:t>
            </w:r>
            <w:r>
              <w:rPr>
                <w:rFonts w:ascii="宋体" w:hAnsi="宋体" w:cs="宋体"/>
                <w:bCs/>
                <w:szCs w:val="30"/>
              </w:rPr>
              <w:t>5m</w:t>
            </w:r>
            <w:r>
              <w:rPr>
                <w:rFonts w:hint="eastAsia" w:ascii="宋体" w:hAnsi="宋体" w:cs="宋体"/>
                <w:bCs/>
                <w:szCs w:val="30"/>
              </w:rPr>
              <w:t>³萃取槽、</w:t>
            </w:r>
            <w:r>
              <w:rPr>
                <w:rFonts w:hint="eastAsia" w:ascii="宋体" w:hAnsi="宋体" w:cs="宋体"/>
                <w:bCs/>
                <w:szCs w:val="30"/>
                <w:lang w:val="en-US" w:eastAsia="zh-CN"/>
              </w:rPr>
              <w:t>10</w:t>
            </w:r>
            <w:r>
              <w:rPr>
                <w:rFonts w:hint="eastAsia" w:ascii="宋体" w:hAnsi="宋体" w:cs="宋体"/>
                <w:bCs/>
                <w:szCs w:val="30"/>
              </w:rPr>
              <w:t>级、总重</w:t>
            </w:r>
            <w:r>
              <w:rPr>
                <w:rFonts w:hint="eastAsia" w:ascii="宋体" w:hAnsi="宋体" w:cs="宋体"/>
                <w:bCs/>
                <w:szCs w:val="30"/>
                <w:lang w:val="en-US" w:eastAsia="zh-CN"/>
              </w:rPr>
              <w:t>4539.55</w:t>
            </w:r>
            <w:r>
              <w:rPr>
                <w:rFonts w:hint="eastAsia" w:ascii="宋体" w:hAnsi="宋体" w:cs="宋体"/>
                <w:bCs/>
                <w:szCs w:val="30"/>
              </w:rPr>
              <w:t>公斤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5" w:hRule="atLeast"/>
        </w:trPr>
        <w:tc>
          <w:tcPr>
            <w:tcW w:w="675" w:type="dxa"/>
            <w:vAlign w:val="center"/>
          </w:tcPr>
          <w:p>
            <w:pPr>
              <w:spacing w:line="360" w:lineRule="auto"/>
              <w:jc w:val="center"/>
              <w:rPr>
                <w:rFonts w:ascii="宋体" w:cs="宋体"/>
                <w:szCs w:val="21"/>
              </w:rPr>
            </w:pPr>
            <w:r>
              <w:rPr>
                <w:rFonts w:ascii="宋体" w:hAnsi="宋体" w:cs="宋体"/>
                <w:szCs w:val="21"/>
              </w:rPr>
              <w:t>4</w:t>
            </w:r>
          </w:p>
        </w:tc>
        <w:tc>
          <w:tcPr>
            <w:tcW w:w="1843" w:type="dxa"/>
            <w:vAlign w:val="center"/>
          </w:tcPr>
          <w:p>
            <w:pPr>
              <w:spacing w:line="360" w:lineRule="auto"/>
              <w:jc w:val="center"/>
              <w:rPr>
                <w:rFonts w:ascii="宋体" w:cs="宋体"/>
                <w:kern w:val="0"/>
                <w:sz w:val="24"/>
              </w:rPr>
            </w:pPr>
            <w:r>
              <w:rPr>
                <w:rFonts w:hint="eastAsia" w:ascii="宋体" w:cs="宋体"/>
                <w:kern w:val="0"/>
                <w:sz w:val="24"/>
                <w:lang w:eastAsia="zh-CN"/>
              </w:rPr>
              <w:t>萃取器</w:t>
            </w:r>
            <w:r>
              <w:rPr>
                <w:rFonts w:hint="eastAsia" w:ascii="宋体" w:cs="宋体"/>
                <w:kern w:val="0"/>
                <w:sz w:val="24"/>
                <w:lang w:val="en-US" w:eastAsia="zh-CN"/>
              </w:rPr>
              <w:t>4</w:t>
            </w:r>
          </w:p>
        </w:tc>
        <w:tc>
          <w:tcPr>
            <w:tcW w:w="1985" w:type="dxa"/>
            <w:vAlign w:val="center"/>
          </w:tcPr>
          <w:p>
            <w:pPr>
              <w:spacing w:line="360" w:lineRule="auto"/>
              <w:jc w:val="center"/>
              <w:rPr>
                <w:rFonts w:ascii="宋体" w:cs="宋体"/>
                <w:bCs/>
                <w:szCs w:val="30"/>
              </w:rPr>
            </w:pPr>
            <w:r>
              <w:rPr>
                <w:rFonts w:hint="eastAsia" w:ascii="宋体" w:cs="宋体"/>
                <w:kern w:val="0"/>
                <w:sz w:val="24"/>
                <w:lang w:eastAsia="zh-CN"/>
              </w:rPr>
              <w:t>单组尺寸</w:t>
            </w:r>
            <w:r>
              <w:rPr>
                <w:rFonts w:ascii="宋体" w:cs="宋体"/>
                <w:kern w:val="0"/>
                <w:sz w:val="24"/>
              </w:rPr>
              <w:t>6</w:t>
            </w:r>
            <w:r>
              <w:rPr>
                <w:rFonts w:hint="eastAsia" w:ascii="宋体" w:cs="宋体"/>
                <w:kern w:val="0"/>
                <w:sz w:val="24"/>
                <w:lang w:val="en-US" w:eastAsia="zh-CN"/>
              </w:rPr>
              <w:t>92</w:t>
            </w:r>
            <w:r>
              <w:rPr>
                <w:rFonts w:ascii="宋体" w:cs="宋体"/>
                <w:kern w:val="0"/>
                <w:sz w:val="24"/>
              </w:rPr>
              <w:t>0*</w:t>
            </w:r>
            <w:r>
              <w:rPr>
                <w:rFonts w:hint="eastAsia" w:ascii="宋体" w:cs="宋体"/>
                <w:kern w:val="0"/>
                <w:sz w:val="24"/>
                <w:lang w:val="en-US" w:eastAsia="zh-CN"/>
              </w:rPr>
              <w:t>4060</w:t>
            </w:r>
            <w:r>
              <w:rPr>
                <w:rFonts w:ascii="宋体" w:cs="宋体"/>
                <w:kern w:val="0"/>
                <w:sz w:val="24"/>
              </w:rPr>
              <w:t>*</w:t>
            </w:r>
            <w:r>
              <w:rPr>
                <w:rFonts w:hint="eastAsia" w:ascii="宋体" w:cs="宋体"/>
                <w:kern w:val="0"/>
                <w:sz w:val="24"/>
                <w:lang w:val="en-US" w:eastAsia="zh-CN"/>
              </w:rPr>
              <w:t>950</w:t>
            </w:r>
          </w:p>
        </w:tc>
        <w:tc>
          <w:tcPr>
            <w:tcW w:w="992" w:type="dxa"/>
            <w:vAlign w:val="center"/>
          </w:tcPr>
          <w:p>
            <w:pPr>
              <w:spacing w:line="360" w:lineRule="auto"/>
              <w:jc w:val="center"/>
              <w:rPr>
                <w:rFonts w:hint="eastAsia" w:ascii="宋体" w:eastAsia="宋体" w:cs="宋体"/>
                <w:bCs/>
                <w:szCs w:val="30"/>
                <w:lang w:eastAsia="zh-CN"/>
              </w:rPr>
            </w:pPr>
            <w:r>
              <w:rPr>
                <w:rFonts w:hint="eastAsia" w:ascii="宋体" w:cs="宋体"/>
                <w:bCs/>
                <w:szCs w:val="30"/>
                <w:lang w:eastAsia="zh-CN"/>
              </w:rPr>
              <w:t>组</w:t>
            </w:r>
          </w:p>
        </w:tc>
        <w:tc>
          <w:tcPr>
            <w:tcW w:w="850" w:type="dxa"/>
            <w:vAlign w:val="center"/>
          </w:tcPr>
          <w:p>
            <w:pPr>
              <w:spacing w:line="360" w:lineRule="auto"/>
              <w:jc w:val="center"/>
              <w:rPr>
                <w:rFonts w:hint="eastAsia" w:ascii="宋体" w:eastAsia="宋体" w:cs="宋体"/>
                <w:bCs/>
                <w:szCs w:val="30"/>
                <w:lang w:val="en-US" w:eastAsia="zh-CN"/>
              </w:rPr>
            </w:pPr>
            <w:r>
              <w:rPr>
                <w:rFonts w:hint="eastAsia" w:ascii="宋体" w:cs="宋体"/>
                <w:bCs/>
                <w:szCs w:val="30"/>
                <w:lang w:val="en-US" w:eastAsia="zh-CN"/>
              </w:rPr>
              <w:t>1</w:t>
            </w:r>
          </w:p>
        </w:tc>
        <w:tc>
          <w:tcPr>
            <w:tcW w:w="2403" w:type="dxa"/>
            <w:vAlign w:val="center"/>
          </w:tcPr>
          <w:p>
            <w:pPr>
              <w:spacing w:line="360" w:lineRule="auto"/>
              <w:rPr>
                <w:rFonts w:ascii="宋体" w:cs="宋体"/>
                <w:bCs/>
                <w:szCs w:val="30"/>
              </w:rPr>
            </w:pPr>
            <w:r>
              <w:rPr>
                <w:rFonts w:hint="eastAsia" w:ascii="宋体" w:hAnsi="宋体" w:cs="宋体"/>
                <w:bCs/>
                <w:szCs w:val="30"/>
                <w:lang w:val="en-US" w:eastAsia="zh-CN"/>
              </w:rPr>
              <w:t>0.</w:t>
            </w:r>
            <w:r>
              <w:rPr>
                <w:rFonts w:ascii="宋体" w:hAnsi="宋体" w:cs="宋体"/>
                <w:bCs/>
                <w:szCs w:val="30"/>
              </w:rPr>
              <w:t>5m</w:t>
            </w:r>
            <w:r>
              <w:rPr>
                <w:rFonts w:hint="eastAsia" w:ascii="宋体" w:hAnsi="宋体" w:cs="宋体"/>
                <w:bCs/>
                <w:szCs w:val="30"/>
              </w:rPr>
              <w:t>³萃取槽、</w:t>
            </w:r>
            <w:r>
              <w:rPr>
                <w:rFonts w:hint="eastAsia" w:ascii="宋体" w:hAnsi="宋体" w:cs="宋体"/>
                <w:bCs/>
                <w:szCs w:val="30"/>
                <w:lang w:val="en-US" w:eastAsia="zh-CN"/>
              </w:rPr>
              <w:t>10</w:t>
            </w:r>
            <w:r>
              <w:rPr>
                <w:rFonts w:hint="eastAsia" w:ascii="宋体" w:hAnsi="宋体" w:cs="宋体"/>
                <w:bCs/>
                <w:szCs w:val="30"/>
              </w:rPr>
              <w:t>级、总重</w:t>
            </w:r>
            <w:r>
              <w:rPr>
                <w:rFonts w:hint="eastAsia" w:ascii="宋体" w:hAnsi="宋体" w:cs="宋体"/>
                <w:bCs/>
                <w:szCs w:val="30"/>
                <w:lang w:val="en-US" w:eastAsia="zh-CN"/>
              </w:rPr>
              <w:t>3953.07</w:t>
            </w:r>
            <w:r>
              <w:rPr>
                <w:rFonts w:hint="eastAsia" w:ascii="宋体" w:hAnsi="宋体" w:cs="宋体"/>
                <w:bCs/>
                <w:szCs w:val="30"/>
              </w:rPr>
              <w:t>公斤</w:t>
            </w:r>
          </w:p>
        </w:tc>
      </w:tr>
    </w:tbl>
    <w:p>
      <w:pPr>
        <w:widowControl/>
        <w:spacing w:line="360" w:lineRule="auto"/>
        <w:jc w:val="left"/>
        <w:rPr>
          <w:rFonts w:ascii="宋体" w:cs="仿宋_GB2312"/>
          <w:color w:val="000000"/>
          <w:spacing w:val="15"/>
          <w:kern w:val="0"/>
          <w:sz w:val="24"/>
        </w:rPr>
      </w:pPr>
      <w:r>
        <w:rPr>
          <w:rFonts w:hint="eastAsia" w:ascii="宋体" w:hAnsi="宋体" w:cs="宋体"/>
          <w:bCs/>
          <w:sz w:val="24"/>
        </w:rPr>
        <w:t>注：（</w:t>
      </w:r>
      <w:r>
        <w:rPr>
          <w:rFonts w:ascii="宋体" w:hAnsi="宋体" w:cs="宋体"/>
          <w:bCs/>
          <w:sz w:val="24"/>
        </w:rPr>
        <w:t>1</w:t>
      </w:r>
      <w:r>
        <w:rPr>
          <w:rFonts w:hint="eastAsia" w:ascii="宋体" w:hAnsi="宋体" w:cs="宋体"/>
          <w:bCs/>
          <w:sz w:val="24"/>
        </w:rPr>
        <w:t>）招标方提供</w:t>
      </w:r>
      <w:r>
        <w:rPr>
          <w:rFonts w:hint="eastAsia" w:ascii="宋体" w:hAnsi="宋体" w:cs="宋体"/>
          <w:bCs/>
          <w:sz w:val="24"/>
          <w:lang w:eastAsia="zh-CN"/>
        </w:rPr>
        <w:t>萃取器总</w:t>
      </w:r>
      <w:r>
        <w:rPr>
          <w:rFonts w:hint="eastAsia" w:ascii="宋体" w:hAnsi="宋体" w:cs="宋体"/>
          <w:bCs/>
          <w:sz w:val="24"/>
        </w:rPr>
        <w:t>图，</w:t>
      </w:r>
      <w:r>
        <w:rPr>
          <w:rFonts w:hint="eastAsia" w:ascii="宋体" w:hAnsi="宋体" w:cs="仿宋_GB2312"/>
          <w:color w:val="000000"/>
          <w:spacing w:val="15"/>
          <w:kern w:val="0"/>
          <w:sz w:val="24"/>
        </w:rPr>
        <w:t>中标方按照招标方提供的最终</w:t>
      </w:r>
      <w:r>
        <w:rPr>
          <w:rFonts w:hint="eastAsia" w:ascii="宋体" w:hAnsi="宋体" w:cs="仿宋_GB2312"/>
          <w:color w:val="000000"/>
          <w:spacing w:val="15"/>
          <w:kern w:val="0"/>
          <w:sz w:val="24"/>
          <w:lang w:eastAsia="zh-CN"/>
        </w:rPr>
        <w:t>萃取器总</w:t>
      </w:r>
      <w:r>
        <w:rPr>
          <w:rFonts w:hint="eastAsia" w:ascii="宋体" w:hAnsi="宋体" w:cs="仿宋_GB2312"/>
          <w:color w:val="000000"/>
          <w:spacing w:val="15"/>
          <w:kern w:val="0"/>
          <w:sz w:val="24"/>
        </w:rPr>
        <w:t>图施工，板材采用</w:t>
      </w:r>
      <w:r>
        <w:rPr>
          <w:rFonts w:hint="eastAsia" w:ascii="宋体" w:hAnsi="宋体"/>
          <w:sz w:val="24"/>
        </w:rPr>
        <w:t>硬质聚氯乙烯板</w:t>
      </w:r>
      <w:r>
        <w:rPr>
          <w:rFonts w:hint="eastAsia" w:ascii="宋体" w:hAnsi="宋体" w:cs="仿宋_GB2312"/>
          <w:color w:val="000000"/>
          <w:spacing w:val="15"/>
          <w:kern w:val="0"/>
          <w:sz w:val="24"/>
          <w:lang w:val="en-US" w:eastAsia="zh-CN"/>
        </w:rPr>
        <w:t>(耐热级层压板)</w:t>
      </w:r>
      <w:r>
        <w:rPr>
          <w:rFonts w:hint="eastAsia" w:ascii="宋体" w:hAnsi="宋体" w:cs="仿宋_GB2312"/>
          <w:color w:val="000000"/>
          <w:spacing w:val="15"/>
          <w:kern w:val="0"/>
          <w:sz w:val="24"/>
        </w:rPr>
        <w:t>、</w:t>
      </w:r>
      <w:r>
        <w:rPr>
          <w:rFonts w:hint="eastAsia" w:ascii="宋体" w:hAnsi="宋体"/>
          <w:sz w:val="24"/>
        </w:rPr>
        <w:t>投标时注明板材生产厂家，</w:t>
      </w:r>
      <w:r>
        <w:rPr>
          <w:rFonts w:hint="eastAsia" w:ascii="宋体" w:hAnsi="宋体" w:cs="仿宋_GB2312"/>
          <w:color w:val="000000"/>
          <w:spacing w:val="15"/>
          <w:kern w:val="0"/>
          <w:sz w:val="24"/>
        </w:rPr>
        <w:t>视镜采用透明</w:t>
      </w:r>
      <w:r>
        <w:rPr>
          <w:rFonts w:ascii="宋体" w:hAnsi="宋体" w:cs="仿宋_GB2312"/>
          <w:color w:val="000000"/>
          <w:spacing w:val="15"/>
          <w:kern w:val="0"/>
          <w:sz w:val="24"/>
        </w:rPr>
        <w:t>PVC</w:t>
      </w:r>
      <w:r>
        <w:rPr>
          <w:rFonts w:hint="eastAsia" w:ascii="宋体" w:hAnsi="宋体" w:cs="仿宋_GB2312"/>
          <w:color w:val="000000"/>
          <w:spacing w:val="15"/>
          <w:kern w:val="0"/>
          <w:sz w:val="24"/>
        </w:rPr>
        <w:t>板</w:t>
      </w:r>
      <w:r>
        <w:rPr>
          <w:rFonts w:hint="eastAsia" w:ascii="宋体" w:hAnsi="宋体" w:cs="仿宋_GB2312"/>
          <w:color w:val="000000"/>
          <w:spacing w:val="15"/>
          <w:kern w:val="0"/>
          <w:sz w:val="24"/>
          <w:lang w:eastAsia="zh-CN"/>
        </w:rPr>
        <w:t>（板材技术要求见第二章技术要求）</w:t>
      </w:r>
      <w:r>
        <w:rPr>
          <w:rFonts w:hint="eastAsia" w:ascii="宋体" w:hAnsi="宋体" w:cs="仿宋_GB2312"/>
          <w:color w:val="000000"/>
          <w:spacing w:val="15"/>
          <w:kern w:val="0"/>
          <w:sz w:val="24"/>
        </w:rPr>
        <w:t>。</w:t>
      </w:r>
    </w:p>
    <w:p>
      <w:pPr>
        <w:spacing w:line="360" w:lineRule="auto"/>
        <w:ind w:firstLine="480" w:firstLineChars="200"/>
        <w:rPr>
          <w:rFonts w:hint="eastAsia" w:ascii="宋体" w:hAnsi="宋体" w:cs="宋体"/>
          <w:bCs/>
          <w:sz w:val="24"/>
        </w:rPr>
      </w:pPr>
      <w:r>
        <w:rPr>
          <w:rFonts w:hint="eastAsia" w:ascii="宋体" w:hAnsi="宋体" w:cs="宋体"/>
          <w:bCs/>
          <w:sz w:val="24"/>
        </w:rPr>
        <w:t>（</w:t>
      </w:r>
      <w:r>
        <w:rPr>
          <w:rFonts w:ascii="宋体" w:hAnsi="宋体" w:cs="宋体"/>
          <w:bCs/>
          <w:sz w:val="24"/>
        </w:rPr>
        <w:t>2</w:t>
      </w:r>
      <w:r>
        <w:rPr>
          <w:rFonts w:hint="eastAsia" w:ascii="宋体" w:hAnsi="宋体" w:cs="宋体"/>
          <w:bCs/>
          <w:sz w:val="24"/>
        </w:rPr>
        <w:t>）投标人应对上述加工设备提供详细含</w:t>
      </w:r>
      <w:r>
        <w:rPr>
          <w:rFonts w:ascii="宋体" w:hAnsi="宋体" w:cs="宋体"/>
          <w:bCs/>
          <w:sz w:val="24"/>
        </w:rPr>
        <w:t>17%</w:t>
      </w:r>
      <w:r>
        <w:rPr>
          <w:rFonts w:hint="eastAsia" w:ascii="宋体" w:hAnsi="宋体" w:cs="宋体"/>
          <w:bCs/>
          <w:sz w:val="24"/>
        </w:rPr>
        <w:t>增值税报价（报价含材料、人工、料损、运输费、管理费等），由于变更产生的重量变化按照投标的吨单价据实结算。</w:t>
      </w:r>
      <w:bookmarkStart w:id="4" w:name="_Toc249844907"/>
      <w:bookmarkStart w:id="5" w:name="_Toc319947208"/>
    </w:p>
    <w:p>
      <w:pPr>
        <w:spacing w:line="360" w:lineRule="auto"/>
        <w:ind w:firstLine="480" w:firstLineChars="200"/>
        <w:rPr>
          <w:rFonts w:hint="eastAsia" w:ascii="宋体" w:hAnsi="宋体" w:cs="宋体"/>
          <w:bCs/>
          <w:sz w:val="24"/>
        </w:rPr>
      </w:pPr>
      <w:r>
        <w:rPr>
          <w:rFonts w:hint="eastAsia" w:ascii="宋体" w:hAnsi="宋体" w:cs="宋体"/>
          <w:bCs/>
          <w:sz w:val="24"/>
        </w:rPr>
        <w:t>（</w:t>
      </w:r>
      <w:r>
        <w:rPr>
          <w:rFonts w:hint="eastAsia" w:ascii="宋体" w:hAnsi="宋体" w:cs="宋体"/>
          <w:bCs/>
          <w:sz w:val="24"/>
          <w:lang w:val="en-US" w:eastAsia="zh-CN"/>
        </w:rPr>
        <w:t>3</w:t>
      </w:r>
      <w:r>
        <w:rPr>
          <w:rFonts w:hint="eastAsia" w:ascii="宋体" w:hAnsi="宋体" w:cs="宋体"/>
          <w:bCs/>
          <w:sz w:val="24"/>
        </w:rPr>
        <w:t>）</w:t>
      </w:r>
      <w:r>
        <w:rPr>
          <w:rFonts w:hint="eastAsia" w:ascii="宋体" w:hAnsi="宋体" w:cs="宋体"/>
          <w:bCs/>
          <w:sz w:val="24"/>
          <w:lang w:eastAsia="zh-CN"/>
        </w:rPr>
        <w:t>萃取器</w:t>
      </w:r>
      <w:r>
        <w:rPr>
          <w:rFonts w:hint="eastAsia" w:ascii="宋体" w:hAnsi="宋体" w:cs="宋体"/>
          <w:bCs/>
          <w:sz w:val="24"/>
        </w:rPr>
        <w:t>制作包含槽底软板制作安装以及通风法兰口安装，具体工程量据实结算。</w:t>
      </w:r>
    </w:p>
    <w:p>
      <w:pPr>
        <w:spacing w:line="360" w:lineRule="auto"/>
        <w:ind w:firstLine="480" w:firstLineChars="200"/>
        <w:rPr>
          <w:rFonts w:hint="eastAsia" w:ascii="宋体" w:hAnsi="宋体" w:cs="宋体"/>
          <w:bCs/>
          <w:color w:val="FF0000"/>
          <w:sz w:val="24"/>
          <w:lang w:val="en-US" w:eastAsia="zh-CN"/>
        </w:rPr>
      </w:pPr>
      <w:r>
        <w:rPr>
          <w:rFonts w:hint="eastAsia" w:ascii="宋体" w:hAnsi="宋体" w:cs="宋体"/>
          <w:bCs/>
          <w:color w:val="FF0000"/>
          <w:sz w:val="24"/>
          <w:lang w:val="en-US" w:eastAsia="zh-CN"/>
        </w:rPr>
        <w:t>(4 )萃取器槽体质保期为3年。</w:t>
      </w:r>
      <w:bookmarkStart w:id="6" w:name="_GoBack"/>
      <w:bookmarkEnd w:id="6"/>
      <w:r>
        <w:rPr>
          <w:rFonts w:hint="eastAsia" w:ascii="宋体" w:hAnsi="宋体" w:cs="宋体"/>
          <w:bCs/>
          <w:color w:val="FF0000"/>
          <w:sz w:val="24"/>
          <w:lang w:val="en-US" w:eastAsia="zh-CN"/>
        </w:rPr>
        <w:t xml:space="preserve"> </w:t>
      </w:r>
    </w:p>
    <w:p>
      <w:pPr>
        <w:spacing w:line="360" w:lineRule="auto"/>
        <w:ind w:firstLine="482" w:firstLineChars="200"/>
        <w:rPr>
          <w:rFonts w:ascii="宋体" w:cs="宋体"/>
          <w:b/>
          <w:sz w:val="24"/>
        </w:rPr>
      </w:pPr>
    </w:p>
    <w:p>
      <w:pPr>
        <w:keepNext/>
        <w:keepLines/>
        <w:spacing w:before="260" w:after="260" w:line="360" w:lineRule="auto"/>
        <w:ind w:firstLine="3219" w:firstLineChars="1145"/>
        <w:outlineLvl w:val="1"/>
        <w:rPr>
          <w:rFonts w:ascii="宋体" w:cs="宋体"/>
          <w:b/>
          <w:bCs/>
          <w:kern w:val="0"/>
          <w:sz w:val="28"/>
          <w:szCs w:val="28"/>
        </w:rPr>
      </w:pPr>
      <w:r>
        <w:rPr>
          <w:rFonts w:hint="eastAsia" w:ascii="宋体" w:hAnsi="宋体" w:cs="宋体"/>
          <w:b/>
          <w:bCs/>
          <w:kern w:val="0"/>
          <w:sz w:val="28"/>
          <w:szCs w:val="28"/>
        </w:rPr>
        <w:t>二．技术要求</w:t>
      </w:r>
      <w:bookmarkEnd w:id="4"/>
      <w:bookmarkEnd w:id="5"/>
    </w:p>
    <w:p>
      <w:pPr>
        <w:keepNext/>
        <w:keepLines/>
        <w:tabs>
          <w:tab w:val="left" w:pos="-709"/>
          <w:tab w:val="left" w:pos="284"/>
          <w:tab w:val="left" w:pos="1152"/>
        </w:tabs>
        <w:adjustRightInd w:val="0"/>
        <w:spacing w:before="240" w:after="64" w:line="360" w:lineRule="auto"/>
        <w:ind w:left="1152" w:hanging="1152"/>
        <w:textAlignment w:val="baseline"/>
        <w:outlineLvl w:val="5"/>
        <w:rPr>
          <w:rFonts w:ascii="宋体" w:cs="宋体"/>
          <w:b/>
          <w:kern w:val="0"/>
          <w:sz w:val="24"/>
        </w:rPr>
      </w:pPr>
      <w:r>
        <w:rPr>
          <w:rFonts w:ascii="宋体" w:hAnsi="宋体" w:cs="宋体"/>
          <w:b/>
          <w:kern w:val="0"/>
          <w:sz w:val="24"/>
        </w:rPr>
        <w:t>1.</w:t>
      </w:r>
      <w:r>
        <w:rPr>
          <w:rFonts w:hint="eastAsia" w:ascii="宋体" w:hAnsi="宋体" w:cs="宋体"/>
          <w:b/>
          <w:kern w:val="0"/>
          <w:sz w:val="24"/>
        </w:rPr>
        <w:t>总则</w:t>
      </w:r>
    </w:p>
    <w:p>
      <w:pPr>
        <w:rPr>
          <w:rFonts w:ascii="宋体" w:cs="黑体"/>
          <w:sz w:val="24"/>
        </w:rPr>
      </w:pPr>
      <w:r>
        <w:rPr>
          <w:rFonts w:ascii="宋体" w:hAnsi="宋体" w:cs="黑体"/>
          <w:sz w:val="24"/>
        </w:rPr>
        <w:t>1.1</w:t>
      </w:r>
      <w:r>
        <w:rPr>
          <w:rFonts w:hint="eastAsia" w:ascii="宋体" w:hAnsi="宋体" w:cs="黑体"/>
          <w:sz w:val="24"/>
        </w:rPr>
        <w:t>本协议书适用于</w:t>
      </w:r>
      <w:r>
        <w:rPr>
          <w:rFonts w:hint="eastAsia" w:ascii="宋体" w:hAnsi="宋体" w:cs="黑体"/>
          <w:sz w:val="24"/>
          <w:lang w:eastAsia="zh-CN"/>
        </w:rPr>
        <w:t>中国北方稀土（集团）高科技股份有限公司冶炼分公司少钕萃取生产线技改</w:t>
      </w:r>
      <w:r>
        <w:rPr>
          <w:rFonts w:hint="eastAsia" w:ascii="宋体" w:hAnsi="宋体" w:cs="黑体"/>
          <w:sz w:val="24"/>
        </w:rPr>
        <w:t>项目。</w:t>
      </w:r>
    </w:p>
    <w:p>
      <w:pPr>
        <w:tabs>
          <w:tab w:val="center" w:pos="4535"/>
        </w:tabs>
        <w:spacing w:line="360" w:lineRule="auto"/>
        <w:rPr>
          <w:rFonts w:ascii="宋体" w:hAnsi="Calibri" w:cs="黑体"/>
          <w:sz w:val="24"/>
        </w:rPr>
      </w:pPr>
      <w:r>
        <w:rPr>
          <w:rFonts w:ascii="宋体" w:hAnsi="宋体" w:cs="黑体"/>
          <w:sz w:val="24"/>
        </w:rPr>
        <w:t xml:space="preserve">1.2 </w:t>
      </w:r>
      <w:r>
        <w:rPr>
          <w:rFonts w:hint="eastAsia" w:ascii="宋体" w:hAnsi="宋体" w:cs="黑体"/>
          <w:sz w:val="24"/>
        </w:rPr>
        <w:t>投标方提供满足本协议书和标准要求的高质量产品及其服务。同时还应满足国家有关安全、环保等强制性标准的要求</w:t>
      </w:r>
      <w:r>
        <w:rPr>
          <w:rFonts w:ascii="宋体" w:hAnsi="Calibri" w:cs="黑体"/>
          <w:sz w:val="24"/>
        </w:rPr>
        <w:t>.</w:t>
      </w:r>
    </w:p>
    <w:p>
      <w:pPr>
        <w:tabs>
          <w:tab w:val="center" w:pos="4535"/>
        </w:tabs>
        <w:spacing w:line="360" w:lineRule="auto"/>
        <w:rPr>
          <w:rFonts w:ascii="宋体" w:hAnsi="Calibri" w:cs="黑体"/>
          <w:sz w:val="24"/>
        </w:rPr>
      </w:pPr>
      <w:r>
        <w:rPr>
          <w:rFonts w:ascii="宋体" w:hAnsi="宋体" w:cs="黑体"/>
          <w:sz w:val="24"/>
        </w:rPr>
        <w:t xml:space="preserve">1.3 </w:t>
      </w:r>
      <w:r>
        <w:rPr>
          <w:rFonts w:hint="eastAsia" w:ascii="宋体" w:hAnsi="宋体" w:cs="黑体"/>
          <w:sz w:val="24"/>
        </w:rPr>
        <w:t>投标方要严格执行本协议书所列标准及相应的国家和行业相关技术要求和适用的标准。有矛盾时，按较高标准执行。合同签订后按本协议的要求，投标方提出合同设备的设计、制造、检验</w:t>
      </w:r>
      <w:r>
        <w:rPr>
          <w:rFonts w:ascii="宋体" w:hAnsi="宋体" w:cs="黑体"/>
          <w:sz w:val="24"/>
        </w:rPr>
        <w:t>/</w:t>
      </w:r>
      <w:r>
        <w:rPr>
          <w:rFonts w:hint="eastAsia" w:ascii="宋体" w:hAnsi="宋体" w:cs="黑体"/>
          <w:sz w:val="24"/>
        </w:rPr>
        <w:t>试验、装配、安装、调试、试运、试验、运行和维护等标准清单给招标方，由招标方签字确认。</w:t>
      </w:r>
    </w:p>
    <w:p>
      <w:pPr>
        <w:spacing w:line="360" w:lineRule="auto"/>
        <w:rPr>
          <w:rFonts w:ascii="宋体" w:hAnsi="Calibri" w:cs="黑体"/>
          <w:sz w:val="24"/>
          <w:szCs w:val="22"/>
        </w:rPr>
      </w:pPr>
      <w:r>
        <w:rPr>
          <w:rFonts w:ascii="宋体" w:hAnsi="宋体" w:cs="黑体"/>
          <w:sz w:val="24"/>
        </w:rPr>
        <w:t xml:space="preserve">1.4 </w:t>
      </w:r>
      <w:r>
        <w:rPr>
          <w:rFonts w:hint="eastAsia" w:ascii="宋体" w:hAnsi="宋体" w:cs="黑体"/>
          <w:sz w:val="24"/>
          <w:szCs w:val="22"/>
        </w:rPr>
        <w:t>如果投标方没有以书面方式对本技术协议的条文提出异议，那么招标方将认为投标方提供的产品完全符合本技术协议的规定。</w:t>
      </w:r>
    </w:p>
    <w:p>
      <w:pPr>
        <w:tabs>
          <w:tab w:val="center" w:pos="4535"/>
        </w:tabs>
        <w:spacing w:line="360" w:lineRule="auto"/>
        <w:rPr>
          <w:rFonts w:ascii="宋体" w:cs="黑体"/>
          <w:sz w:val="24"/>
        </w:rPr>
      </w:pPr>
      <w:r>
        <w:rPr>
          <w:rFonts w:ascii="宋体" w:hAnsi="宋体" w:cs="黑体"/>
          <w:sz w:val="24"/>
        </w:rPr>
        <w:t xml:space="preserve">1.5 </w:t>
      </w:r>
      <w:r>
        <w:rPr>
          <w:rFonts w:hint="eastAsia" w:ascii="宋体" w:hAnsi="宋体" w:cs="黑体"/>
          <w:sz w:val="24"/>
        </w:rPr>
        <w:t>在签订合同之后，到投标方开始制造之日的这段时间内，招标方有权提出因规范、标准、规程及设计发生变化而产生的一些补充修改要求，投标方应遵守招标方所提要求，具体内容由双方共同商定。</w:t>
      </w:r>
    </w:p>
    <w:p>
      <w:pPr>
        <w:tabs>
          <w:tab w:val="center" w:pos="4535"/>
        </w:tabs>
        <w:spacing w:line="360" w:lineRule="auto"/>
        <w:rPr>
          <w:rFonts w:ascii="宋体" w:cs="黑体"/>
          <w:sz w:val="24"/>
        </w:rPr>
      </w:pPr>
      <w:r>
        <w:rPr>
          <w:rFonts w:ascii="宋体" w:hAnsi="宋体" w:cs="黑体"/>
          <w:sz w:val="24"/>
        </w:rPr>
        <w:t xml:space="preserve">1.6 </w:t>
      </w:r>
      <w:r>
        <w:rPr>
          <w:rFonts w:hint="eastAsia" w:ascii="宋体" w:hAnsi="宋体" w:cs="黑体"/>
          <w:sz w:val="24"/>
        </w:rPr>
        <w:t>本协议作为供货合同的附件，与供货合同具有同等的法律效力。</w:t>
      </w:r>
    </w:p>
    <w:p>
      <w:pPr>
        <w:tabs>
          <w:tab w:val="center" w:pos="4535"/>
        </w:tabs>
        <w:spacing w:line="360" w:lineRule="auto"/>
        <w:rPr>
          <w:rFonts w:ascii="宋体" w:cs="黑体"/>
          <w:sz w:val="24"/>
        </w:rPr>
      </w:pPr>
      <w:r>
        <w:rPr>
          <w:rFonts w:ascii="宋体" w:hAnsi="宋体" w:cs="黑体"/>
          <w:sz w:val="24"/>
        </w:rPr>
        <w:t>1.7</w:t>
      </w:r>
      <w:r>
        <w:rPr>
          <w:rFonts w:hint="eastAsia" w:ascii="宋体" w:hAnsi="宋体" w:cs="黑体"/>
          <w:sz w:val="24"/>
        </w:rPr>
        <w:t>在合同签定以后、设备验收前，招标方为使设备更加完善有权提出一些补充要求。具体项目由双方共同商定。</w:t>
      </w:r>
    </w:p>
    <w:p>
      <w:pPr>
        <w:keepNext/>
        <w:keepLines/>
        <w:tabs>
          <w:tab w:val="left" w:pos="-709"/>
          <w:tab w:val="left" w:pos="284"/>
          <w:tab w:val="left" w:pos="1152"/>
        </w:tabs>
        <w:adjustRightInd w:val="0"/>
        <w:spacing w:before="240" w:after="64" w:line="360" w:lineRule="auto"/>
        <w:ind w:left="1152" w:hanging="1152"/>
        <w:textAlignment w:val="baseline"/>
        <w:outlineLvl w:val="5"/>
        <w:rPr>
          <w:rFonts w:ascii="宋体" w:cs="宋体"/>
          <w:b/>
          <w:kern w:val="0"/>
          <w:sz w:val="24"/>
        </w:rPr>
      </w:pPr>
      <w:r>
        <w:rPr>
          <w:rFonts w:ascii="宋体" w:hAnsi="宋体" w:cs="宋体"/>
          <w:b/>
          <w:kern w:val="0"/>
          <w:sz w:val="24"/>
        </w:rPr>
        <w:t>2.</w:t>
      </w:r>
      <w:r>
        <w:rPr>
          <w:rFonts w:hint="eastAsia" w:ascii="宋体" w:hAnsi="宋体" w:cs="宋体"/>
          <w:b/>
          <w:kern w:val="0"/>
          <w:sz w:val="24"/>
        </w:rPr>
        <w:t>技术规范</w:t>
      </w:r>
    </w:p>
    <w:p>
      <w:pPr>
        <w:tabs>
          <w:tab w:val="center" w:pos="4535"/>
        </w:tabs>
        <w:spacing w:line="360" w:lineRule="auto"/>
        <w:rPr>
          <w:rFonts w:ascii="宋体" w:cs="黑体"/>
          <w:sz w:val="24"/>
        </w:rPr>
      </w:pPr>
      <w:r>
        <w:rPr>
          <w:rFonts w:ascii="宋体" w:hAnsi="宋体" w:cs="黑体"/>
          <w:sz w:val="24"/>
        </w:rPr>
        <w:t xml:space="preserve">2.1 </w:t>
      </w:r>
      <w:r>
        <w:rPr>
          <w:rFonts w:hint="eastAsia" w:ascii="宋体" w:hAnsi="宋体" w:cs="黑体"/>
          <w:sz w:val="24"/>
        </w:rPr>
        <w:t>应遵循的主要标准</w:t>
      </w:r>
    </w:p>
    <w:p>
      <w:pPr>
        <w:spacing w:line="360" w:lineRule="auto"/>
        <w:ind w:firstLine="480" w:firstLineChars="200"/>
        <w:rPr>
          <w:rFonts w:hint="eastAsia" w:cs="黑体"/>
          <w:bCs/>
          <w:sz w:val="24"/>
          <w:szCs w:val="22"/>
        </w:rPr>
      </w:pPr>
      <w:r>
        <w:rPr>
          <w:rFonts w:hint="eastAsia" w:ascii="宋体" w:hAnsi="宋体"/>
          <w:sz w:val="24"/>
        </w:rPr>
        <w:t>依据硬质聚氯乙烯板材国家标准（</w:t>
      </w:r>
      <w:r>
        <w:rPr>
          <w:rFonts w:ascii="宋体" w:hAnsi="宋体"/>
          <w:sz w:val="24"/>
        </w:rPr>
        <w:t>GB/T 22789.1—2008/ISO 11833-1:2007</w:t>
      </w:r>
      <w:r>
        <w:rPr>
          <w:rFonts w:hint="eastAsia" w:ascii="宋体" w:hAnsi="宋体"/>
          <w:sz w:val="24"/>
        </w:rPr>
        <w:t>），</w:t>
      </w:r>
      <w:r>
        <w:rPr>
          <w:rFonts w:hint="eastAsia" w:ascii="宋体" w:hAnsi="宋体"/>
          <w:sz w:val="24"/>
          <w:lang w:eastAsia="zh-CN"/>
        </w:rPr>
        <w:t>基本性能满足该标准中对层压板材耐热级板材的要求；</w:t>
      </w:r>
    </w:p>
    <w:p>
      <w:pPr>
        <w:spacing w:line="360" w:lineRule="auto"/>
        <w:ind w:firstLine="480" w:firstLineChars="200"/>
        <w:rPr>
          <w:rFonts w:hint="eastAsia" w:cs="黑体"/>
          <w:bCs/>
          <w:sz w:val="24"/>
          <w:szCs w:val="22"/>
          <w:lang w:eastAsia="zh-CN"/>
        </w:rPr>
      </w:pPr>
      <w:r>
        <w:rPr>
          <w:rFonts w:hint="eastAsia" w:cs="黑体"/>
          <w:bCs/>
          <w:sz w:val="24"/>
          <w:szCs w:val="22"/>
          <w:lang w:eastAsia="zh-CN"/>
        </w:rPr>
        <w:t>浇铸型工业有机玻璃板材执行国家标准（</w:t>
      </w:r>
      <w:r>
        <w:rPr>
          <w:rFonts w:hint="eastAsia" w:cs="黑体"/>
          <w:bCs/>
          <w:sz w:val="24"/>
          <w:szCs w:val="22"/>
          <w:lang w:val="en-US" w:eastAsia="zh-CN"/>
        </w:rPr>
        <w:t>GB/T 7134-2008</w:t>
      </w:r>
      <w:r>
        <w:rPr>
          <w:rFonts w:hint="eastAsia" w:cs="黑体"/>
          <w:bCs/>
          <w:sz w:val="24"/>
          <w:szCs w:val="22"/>
          <w:lang w:eastAsia="zh-CN"/>
        </w:rPr>
        <w:t>）；</w:t>
      </w:r>
    </w:p>
    <w:p>
      <w:pPr>
        <w:spacing w:line="360" w:lineRule="auto"/>
        <w:ind w:firstLine="480" w:firstLineChars="200"/>
        <w:rPr>
          <w:rFonts w:hint="eastAsia" w:cs="黑体"/>
          <w:bCs/>
          <w:sz w:val="24"/>
          <w:szCs w:val="22"/>
          <w:lang w:eastAsia="zh-CN"/>
        </w:rPr>
      </w:pPr>
      <w:r>
        <w:rPr>
          <w:rFonts w:hint="eastAsia" w:cs="黑体"/>
          <w:bCs/>
          <w:sz w:val="24"/>
          <w:szCs w:val="22"/>
        </w:rPr>
        <w:t>以上应遵循的主要现行标准，但不限于此标准的要求。</w:t>
      </w:r>
    </w:p>
    <w:p>
      <w:pPr>
        <w:keepNext/>
        <w:keepLines/>
        <w:tabs>
          <w:tab w:val="left" w:pos="-709"/>
          <w:tab w:val="left" w:pos="284"/>
          <w:tab w:val="left" w:pos="1152"/>
        </w:tabs>
        <w:adjustRightInd w:val="0"/>
        <w:spacing w:before="240" w:after="64" w:line="360" w:lineRule="auto"/>
        <w:ind w:left="1152" w:hanging="1152"/>
        <w:textAlignment w:val="baseline"/>
        <w:outlineLvl w:val="5"/>
        <w:rPr>
          <w:rFonts w:ascii="宋体" w:cs="宋体"/>
          <w:b/>
          <w:kern w:val="0"/>
          <w:sz w:val="28"/>
          <w:szCs w:val="28"/>
        </w:rPr>
      </w:pPr>
      <w:r>
        <w:rPr>
          <w:rFonts w:ascii="宋体" w:hAnsi="宋体" w:cs="宋体"/>
          <w:b/>
          <w:kern w:val="0"/>
          <w:sz w:val="28"/>
          <w:szCs w:val="28"/>
        </w:rPr>
        <w:t xml:space="preserve">3. </w:t>
      </w:r>
      <w:r>
        <w:rPr>
          <w:rFonts w:hint="eastAsia" w:ascii="宋体" w:hAnsi="宋体" w:cs="宋体"/>
          <w:b/>
          <w:kern w:val="0"/>
          <w:sz w:val="28"/>
          <w:szCs w:val="28"/>
        </w:rPr>
        <w:t>设备技术要求</w:t>
      </w:r>
    </w:p>
    <w:p>
      <w:pPr>
        <w:tabs>
          <w:tab w:val="center" w:pos="4535"/>
        </w:tabs>
        <w:spacing w:line="360" w:lineRule="auto"/>
        <w:rPr>
          <w:rFonts w:ascii="宋体" w:cs="宋体"/>
          <w:sz w:val="24"/>
        </w:rPr>
      </w:pPr>
      <w:r>
        <w:rPr>
          <w:rFonts w:ascii="宋体" w:hAnsi="宋体" w:cs="宋体"/>
          <w:sz w:val="24"/>
        </w:rPr>
        <w:t xml:space="preserve">3.1  </w:t>
      </w:r>
      <w:r>
        <w:rPr>
          <w:rFonts w:hint="eastAsia" w:ascii="宋体" w:hAnsi="宋体" w:cs="宋体"/>
          <w:sz w:val="24"/>
        </w:rPr>
        <w:t>概述</w:t>
      </w:r>
    </w:p>
    <w:p>
      <w:pPr>
        <w:tabs>
          <w:tab w:val="center" w:pos="4535"/>
        </w:tabs>
        <w:spacing w:line="360" w:lineRule="auto"/>
        <w:ind w:firstLine="480" w:firstLineChars="200"/>
        <w:rPr>
          <w:rFonts w:ascii="宋体" w:cs="宋体"/>
          <w:sz w:val="24"/>
        </w:rPr>
      </w:pPr>
      <w:r>
        <w:rPr>
          <w:rFonts w:ascii="宋体" w:hAnsi="宋体" w:cs="宋体"/>
          <w:sz w:val="24"/>
        </w:rPr>
        <w:t xml:space="preserve">3.1.1  </w:t>
      </w:r>
      <w:r>
        <w:rPr>
          <w:rFonts w:hint="eastAsia" w:ascii="宋体" w:hAnsi="宋体" w:cs="宋体"/>
          <w:sz w:val="24"/>
        </w:rPr>
        <w:t>本条的目的在于强调设备应遵照的环境条件要求，因为这会影响投标方的设备的寿命、结构和运行可靠性。</w:t>
      </w:r>
    </w:p>
    <w:p>
      <w:pPr>
        <w:tabs>
          <w:tab w:val="center" w:pos="4535"/>
        </w:tabs>
        <w:spacing w:line="360" w:lineRule="auto"/>
        <w:ind w:firstLine="480" w:firstLineChars="200"/>
        <w:rPr>
          <w:rFonts w:ascii="宋体" w:cs="宋体"/>
          <w:sz w:val="24"/>
        </w:rPr>
      </w:pPr>
      <w:r>
        <w:rPr>
          <w:rFonts w:ascii="宋体" w:hAnsi="宋体" w:cs="宋体"/>
          <w:sz w:val="24"/>
        </w:rPr>
        <w:t xml:space="preserve">3.1.2  </w:t>
      </w:r>
      <w:r>
        <w:rPr>
          <w:rFonts w:hint="eastAsia" w:ascii="宋体" w:hAnsi="宋体" w:cs="宋体"/>
          <w:sz w:val="24"/>
        </w:rPr>
        <w:t>下列环境条件适用按货物需求一览表提供的所有设备和结构。</w:t>
      </w:r>
    </w:p>
    <w:p>
      <w:pPr>
        <w:spacing w:line="360" w:lineRule="auto"/>
        <w:rPr>
          <w:rFonts w:ascii="Calibri" w:hAnsi="Calibri" w:cs="黑体"/>
          <w:szCs w:val="22"/>
        </w:rPr>
      </w:pPr>
      <w:r>
        <w:rPr>
          <w:rFonts w:ascii="宋体" w:hAnsi="宋体" w:cs="宋体"/>
          <w:sz w:val="24"/>
        </w:rPr>
        <w:t xml:space="preserve">3.2  </w:t>
      </w:r>
      <w:r>
        <w:rPr>
          <w:rFonts w:hint="eastAsia" w:ascii="宋体" w:hAnsi="宋体" w:cs="宋体"/>
          <w:sz w:val="24"/>
        </w:rPr>
        <w:t>设备安装环境条件</w:t>
      </w:r>
    </w:p>
    <w:p>
      <w:pPr>
        <w:widowControl/>
        <w:autoSpaceDE w:val="0"/>
        <w:autoSpaceDN w:val="0"/>
        <w:spacing w:line="360" w:lineRule="auto"/>
        <w:ind w:left="420" w:leftChars="200"/>
        <w:rPr>
          <w:rFonts w:ascii="宋体" w:cs="宋体"/>
          <w:kern w:val="0"/>
          <w:sz w:val="24"/>
        </w:rPr>
      </w:pPr>
      <w:r>
        <w:rPr>
          <w:rFonts w:ascii="宋体" w:hAnsi="宋体" w:cs="宋体"/>
          <w:kern w:val="0"/>
          <w:sz w:val="24"/>
        </w:rPr>
        <w:t xml:space="preserve">3.2.1 </w:t>
      </w:r>
      <w:r>
        <w:rPr>
          <w:rFonts w:hint="eastAsia" w:ascii="宋体" w:hAnsi="宋体" w:cs="宋体"/>
          <w:kern w:val="0"/>
          <w:sz w:val="24"/>
        </w:rPr>
        <w:t>安装场所：户内，环境为潮湿，有机挥发气体，酸、碱腐蚀严重。</w:t>
      </w:r>
    </w:p>
    <w:p>
      <w:pPr>
        <w:widowControl/>
        <w:autoSpaceDE w:val="0"/>
        <w:autoSpaceDN w:val="0"/>
        <w:spacing w:line="360" w:lineRule="auto"/>
        <w:ind w:left="420" w:leftChars="200"/>
        <w:rPr>
          <w:rFonts w:ascii="宋体" w:cs="宋体"/>
          <w:kern w:val="0"/>
          <w:sz w:val="24"/>
        </w:rPr>
      </w:pPr>
      <w:r>
        <w:rPr>
          <w:rFonts w:ascii="宋体" w:hAnsi="宋体" w:cs="宋体"/>
          <w:kern w:val="0"/>
          <w:sz w:val="24"/>
        </w:rPr>
        <w:t xml:space="preserve">3.2.2 </w:t>
      </w:r>
      <w:r>
        <w:rPr>
          <w:rFonts w:hint="eastAsia" w:ascii="宋体" w:hAnsi="宋体" w:cs="宋体"/>
          <w:kern w:val="0"/>
          <w:sz w:val="24"/>
        </w:rPr>
        <w:t>海拔高度：</w:t>
      </w:r>
      <w:r>
        <w:rPr>
          <w:rFonts w:ascii="宋体" w:hAnsi="宋体" w:cs="宋体"/>
          <w:kern w:val="0"/>
          <w:sz w:val="24"/>
        </w:rPr>
        <w:t xml:space="preserve"> 1064m</w:t>
      </w:r>
    </w:p>
    <w:p>
      <w:pPr>
        <w:widowControl/>
        <w:autoSpaceDE w:val="0"/>
        <w:autoSpaceDN w:val="0"/>
        <w:spacing w:line="360" w:lineRule="auto"/>
        <w:ind w:left="420" w:leftChars="200"/>
        <w:rPr>
          <w:rFonts w:ascii="宋体" w:cs="宋体"/>
          <w:kern w:val="0"/>
          <w:sz w:val="24"/>
        </w:rPr>
      </w:pPr>
      <w:r>
        <w:rPr>
          <w:rFonts w:ascii="宋体" w:hAnsi="宋体" w:cs="宋体"/>
          <w:kern w:val="0"/>
          <w:sz w:val="24"/>
        </w:rPr>
        <w:t xml:space="preserve">3.2.3 </w:t>
      </w:r>
      <w:r>
        <w:rPr>
          <w:rFonts w:hint="eastAsia" w:ascii="宋体" w:hAnsi="宋体" w:cs="宋体"/>
          <w:kern w:val="0"/>
          <w:sz w:val="24"/>
        </w:rPr>
        <w:t>环境温度：</w:t>
      </w:r>
      <w:r>
        <w:rPr>
          <w:rFonts w:ascii="宋体" w:hAnsi="宋体" w:cs="宋体"/>
          <w:kern w:val="0"/>
          <w:sz w:val="24"/>
        </w:rPr>
        <w:t>10</w:t>
      </w:r>
      <w:r>
        <w:rPr>
          <w:rFonts w:hint="eastAsia" w:ascii="宋体" w:hAnsi="宋体" w:cs="宋体"/>
          <w:kern w:val="0"/>
          <w:sz w:val="24"/>
        </w:rPr>
        <w:t>℃～</w:t>
      </w:r>
      <w:r>
        <w:rPr>
          <w:rFonts w:ascii="宋体" w:hAnsi="宋体" w:cs="宋体"/>
          <w:kern w:val="0"/>
          <w:sz w:val="24"/>
        </w:rPr>
        <w:t>50</w:t>
      </w:r>
      <w:r>
        <w:rPr>
          <w:rFonts w:hint="eastAsia" w:ascii="宋体" w:hAnsi="宋体" w:cs="宋体"/>
          <w:kern w:val="0"/>
          <w:sz w:val="24"/>
        </w:rPr>
        <w:t>℃</w:t>
      </w:r>
    </w:p>
    <w:p>
      <w:pPr>
        <w:widowControl/>
        <w:autoSpaceDE w:val="0"/>
        <w:autoSpaceDN w:val="0"/>
        <w:spacing w:line="360" w:lineRule="auto"/>
        <w:ind w:left="420" w:leftChars="200"/>
        <w:rPr>
          <w:rFonts w:ascii="宋体" w:cs="宋体"/>
          <w:color w:val="FF00FF"/>
          <w:kern w:val="0"/>
          <w:sz w:val="24"/>
        </w:rPr>
      </w:pPr>
      <w:r>
        <w:rPr>
          <w:rFonts w:ascii="宋体" w:hAnsi="宋体" w:cs="宋体"/>
          <w:kern w:val="0"/>
          <w:sz w:val="24"/>
        </w:rPr>
        <w:t xml:space="preserve">3.2.4 </w:t>
      </w:r>
      <w:r>
        <w:rPr>
          <w:rFonts w:hint="eastAsia" w:ascii="宋体" w:hAnsi="宋体" w:cs="宋体"/>
          <w:kern w:val="0"/>
          <w:sz w:val="24"/>
        </w:rPr>
        <w:t>耐受地震能力：</w:t>
      </w:r>
      <w:r>
        <w:rPr>
          <w:rFonts w:ascii="宋体" w:hAnsi="宋体" w:cs="宋体"/>
          <w:kern w:val="0"/>
          <w:sz w:val="24"/>
        </w:rPr>
        <w:t>8</w:t>
      </w:r>
      <w:r>
        <w:rPr>
          <w:rFonts w:hint="eastAsia" w:ascii="宋体" w:hAnsi="宋体" w:cs="宋体"/>
          <w:kern w:val="0"/>
          <w:sz w:val="24"/>
        </w:rPr>
        <w:t>级</w:t>
      </w:r>
    </w:p>
    <w:p>
      <w:pPr>
        <w:widowControl/>
        <w:autoSpaceDE w:val="0"/>
        <w:autoSpaceDN w:val="0"/>
        <w:spacing w:line="360" w:lineRule="auto"/>
        <w:ind w:left="420"/>
        <w:rPr>
          <w:rFonts w:ascii="宋体" w:cs="宋体"/>
          <w:kern w:val="0"/>
          <w:sz w:val="24"/>
        </w:rPr>
      </w:pPr>
      <w:r>
        <w:rPr>
          <w:rFonts w:ascii="宋体" w:hAnsi="宋体" w:cs="宋体"/>
          <w:kern w:val="0"/>
          <w:sz w:val="24"/>
        </w:rPr>
        <w:t xml:space="preserve">3.2.5 </w:t>
      </w:r>
      <w:r>
        <w:rPr>
          <w:rFonts w:hint="eastAsia" w:ascii="宋体" w:hAnsi="宋体" w:cs="宋体"/>
          <w:kern w:val="0"/>
          <w:sz w:val="24"/>
        </w:rPr>
        <w:t>大气压力：</w:t>
      </w:r>
      <w:r>
        <w:rPr>
          <w:rFonts w:ascii="宋体" w:hAnsi="宋体" w:cs="宋体"/>
          <w:kern w:val="0"/>
          <w:sz w:val="24"/>
        </w:rPr>
        <w:t>0.084Mpa</w:t>
      </w:r>
      <w:r>
        <w:rPr>
          <w:rFonts w:hint="eastAsia" w:ascii="宋体" w:hAnsi="宋体" w:cs="宋体"/>
          <w:kern w:val="0"/>
          <w:sz w:val="24"/>
        </w:rPr>
        <w:t>（</w:t>
      </w:r>
      <w:r>
        <w:rPr>
          <w:rFonts w:ascii="宋体" w:hAnsi="宋体" w:cs="宋体"/>
          <w:kern w:val="0"/>
          <w:sz w:val="24"/>
        </w:rPr>
        <w:t>A</w:t>
      </w:r>
      <w:r>
        <w:rPr>
          <w:rFonts w:hint="eastAsia" w:ascii="宋体" w:hAnsi="宋体" w:cs="宋体"/>
          <w:kern w:val="0"/>
          <w:sz w:val="24"/>
        </w:rPr>
        <w:t>）</w:t>
      </w:r>
    </w:p>
    <w:p>
      <w:pPr>
        <w:widowControl/>
        <w:autoSpaceDE w:val="0"/>
        <w:autoSpaceDN w:val="0"/>
        <w:spacing w:line="360" w:lineRule="auto"/>
        <w:rPr>
          <w:rFonts w:ascii="宋体" w:cs="宋体"/>
          <w:kern w:val="0"/>
          <w:sz w:val="24"/>
        </w:rPr>
      </w:pPr>
      <w:r>
        <w:rPr>
          <w:rFonts w:ascii="宋体" w:hAnsi="宋体" w:cs="宋体"/>
          <w:kern w:val="0"/>
          <w:sz w:val="24"/>
        </w:rPr>
        <w:t>3.3</w:t>
      </w:r>
      <w:r>
        <w:rPr>
          <w:rFonts w:hint="eastAsia" w:ascii="宋体" w:hAnsi="宋体" w:cs="宋体"/>
          <w:kern w:val="0"/>
          <w:sz w:val="24"/>
        </w:rPr>
        <w:t>、原料品质及施工要求：</w:t>
      </w:r>
    </w:p>
    <w:p>
      <w:pPr>
        <w:widowControl/>
        <w:autoSpaceDE w:val="0"/>
        <w:autoSpaceDN w:val="0"/>
        <w:spacing w:line="360" w:lineRule="auto"/>
        <w:rPr>
          <w:sz w:val="24"/>
        </w:rPr>
      </w:pPr>
      <w:r>
        <w:rPr>
          <w:rFonts w:ascii="宋体" w:hAnsi="宋体"/>
          <w:sz w:val="24"/>
        </w:rPr>
        <w:t>3.3.1</w:t>
      </w:r>
      <w:r>
        <w:rPr>
          <w:rFonts w:hint="eastAsia"/>
          <w:sz w:val="24"/>
        </w:rPr>
        <w:t>外观质量</w:t>
      </w:r>
      <w:r>
        <w:rPr>
          <w:sz w:val="24"/>
        </w:rPr>
        <w:t> </w:t>
      </w:r>
    </w:p>
    <w:p>
      <w:pPr>
        <w:widowControl/>
        <w:autoSpaceDE w:val="0"/>
        <w:autoSpaceDN w:val="0"/>
        <w:spacing w:line="360" w:lineRule="auto"/>
        <w:rPr>
          <w:rFonts w:hint="eastAsia"/>
          <w:sz w:val="24"/>
          <w:lang w:val="en-US" w:eastAsia="zh-CN"/>
        </w:rPr>
      </w:pPr>
      <w:r>
        <w:rPr>
          <w:rFonts w:hint="eastAsia"/>
          <w:sz w:val="24"/>
          <w:lang w:val="en-US" w:eastAsia="zh-CN"/>
        </w:rPr>
        <w:t>3.3.1.1外观质量</w:t>
      </w:r>
    </w:p>
    <w:p>
      <w:pPr>
        <w:widowControl/>
        <w:autoSpaceDE w:val="0"/>
        <w:autoSpaceDN w:val="0"/>
        <w:spacing w:line="360" w:lineRule="auto"/>
        <w:rPr>
          <w:sz w:val="24"/>
        </w:rPr>
      </w:pPr>
      <w:r>
        <w:rPr>
          <w:rFonts w:hint="eastAsia"/>
          <w:sz w:val="24"/>
          <w:lang w:val="en-US" w:eastAsia="zh-CN"/>
        </w:rPr>
        <w:t xml:space="preserve">    </w:t>
      </w:r>
      <w:r>
        <w:rPr>
          <w:rFonts w:hint="eastAsia"/>
          <w:sz w:val="24"/>
          <w:lang w:eastAsia="zh-CN"/>
        </w:rPr>
        <w:t>板材</w:t>
      </w:r>
      <w:r>
        <w:rPr>
          <w:rFonts w:hint="eastAsia"/>
          <w:sz w:val="24"/>
        </w:rPr>
        <w:t>表面应光滑平整，不允许有</w:t>
      </w:r>
      <w:r>
        <w:rPr>
          <w:rFonts w:hint="eastAsia"/>
          <w:sz w:val="24"/>
          <w:lang w:eastAsia="zh-CN"/>
        </w:rPr>
        <w:t>明显的划伤、斑点、孔眼、气泡、水纹、异物等瑕疵，层压板质地均匀，板材内部不能有斑点、异物、气泡、分层等实际应用中不可接受的缺陷。</w:t>
      </w:r>
    </w:p>
    <w:p>
      <w:pPr>
        <w:spacing w:line="360" w:lineRule="auto"/>
        <w:ind w:firstLine="480" w:firstLineChars="200"/>
        <w:rPr>
          <w:sz w:val="24"/>
        </w:rPr>
      </w:pPr>
      <w:r>
        <w:rPr>
          <w:sz w:val="24"/>
        </w:rPr>
        <w:t> </w:t>
      </w:r>
      <w:r>
        <w:rPr>
          <w:rFonts w:hint="eastAsia"/>
          <w:sz w:val="24"/>
        </w:rPr>
        <w:t>按样板封样件标准检验，颜色与标准样板比较，应无明显区别。</w:t>
      </w:r>
      <w:r>
        <w:rPr>
          <w:sz w:val="24"/>
        </w:rPr>
        <w:t> </w:t>
      </w:r>
      <w:r>
        <w:rPr>
          <w:rFonts w:hint="eastAsia"/>
          <w:sz w:val="24"/>
        </w:rPr>
        <w:t>不允许增添回料等其它颜色杂料使用。从内表面观察，表面色泽（灰色）均匀一致。</w:t>
      </w:r>
    </w:p>
    <w:p>
      <w:pPr>
        <w:spacing w:line="360" w:lineRule="auto"/>
        <w:rPr>
          <w:sz w:val="24"/>
        </w:rPr>
      </w:pPr>
      <w:r>
        <w:rPr>
          <w:rFonts w:hint="eastAsia"/>
          <w:sz w:val="24"/>
          <w:lang w:val="en-US" w:eastAsia="zh-CN"/>
        </w:rPr>
        <w:t>3.3.1.2</w:t>
      </w:r>
      <w:r>
        <w:rPr>
          <w:rFonts w:hint="eastAsia"/>
          <w:sz w:val="24"/>
        </w:rPr>
        <w:t>翘曲度</w:t>
      </w:r>
      <w:r>
        <w:rPr>
          <w:sz w:val="24"/>
        </w:rPr>
        <w:t>   </w:t>
      </w:r>
    </w:p>
    <w:p>
      <w:pPr>
        <w:spacing w:line="360" w:lineRule="auto"/>
        <w:ind w:firstLine="480" w:firstLineChars="200"/>
      </w:pPr>
      <w:r>
        <w:rPr>
          <w:sz w:val="24"/>
        </w:rPr>
        <w:t>  </w:t>
      </w:r>
      <w:r>
        <w:rPr>
          <w:rFonts w:hint="eastAsia"/>
          <w:sz w:val="24"/>
        </w:rPr>
        <w:t>长度≤</w:t>
      </w:r>
      <w:r>
        <w:rPr>
          <w:sz w:val="24"/>
        </w:rPr>
        <w:t>0.5m  </w:t>
      </w:r>
      <w:r>
        <w:rPr>
          <w:rFonts w:hint="eastAsia"/>
          <w:sz w:val="24"/>
        </w:rPr>
        <w:t>翘曲度≤</w:t>
      </w:r>
      <w:r>
        <w:rPr>
          <w:sz w:val="24"/>
        </w:rPr>
        <w:t>0.01mm  </w:t>
      </w:r>
      <w:r>
        <w:rPr>
          <w:rFonts w:hint="eastAsia"/>
          <w:sz w:val="24"/>
        </w:rPr>
        <w:t>；长度≥</w:t>
      </w:r>
      <w:r>
        <w:rPr>
          <w:sz w:val="24"/>
        </w:rPr>
        <w:t>0.5~1m    </w:t>
      </w:r>
      <w:r>
        <w:rPr>
          <w:rFonts w:hint="eastAsia"/>
          <w:sz w:val="24"/>
        </w:rPr>
        <w:t>翘曲度≤</w:t>
      </w:r>
      <w:r>
        <w:rPr>
          <w:sz w:val="24"/>
        </w:rPr>
        <w:t>0.05mm </w:t>
      </w:r>
      <w:r>
        <w:rPr>
          <w:rFonts w:hint="eastAsia"/>
          <w:sz w:val="24"/>
        </w:rPr>
        <w:t>；长度≥</w:t>
      </w:r>
      <w:r>
        <w:rPr>
          <w:sz w:val="24"/>
        </w:rPr>
        <w:t>1m   </w:t>
      </w:r>
      <w:r>
        <w:rPr>
          <w:rFonts w:hint="eastAsia"/>
          <w:sz w:val="24"/>
        </w:rPr>
        <w:t>翘曲度≤</w:t>
      </w:r>
      <w:r>
        <w:rPr>
          <w:sz w:val="24"/>
        </w:rPr>
        <w:t>0.1 mm   </w:t>
      </w:r>
    </w:p>
    <w:p>
      <w:pPr>
        <w:spacing w:line="360" w:lineRule="auto"/>
        <w:rPr>
          <w:rFonts w:ascii="宋体"/>
          <w:sz w:val="24"/>
        </w:rPr>
      </w:pPr>
      <w:r>
        <w:rPr>
          <w:rFonts w:ascii="宋体" w:hAnsi="宋体"/>
          <w:sz w:val="24"/>
        </w:rPr>
        <w:t>3.3.2</w:t>
      </w:r>
      <w:r>
        <w:rPr>
          <w:rFonts w:hint="eastAsia" w:ascii="宋体" w:hAnsi="宋体"/>
          <w:sz w:val="24"/>
        </w:rPr>
        <w:t>投标方所使用的各类板材每一批次</w:t>
      </w:r>
      <w:r>
        <w:rPr>
          <w:rFonts w:hint="eastAsia" w:ascii="宋体" w:hAnsi="宋体"/>
          <w:sz w:val="24"/>
          <w:lang w:eastAsia="zh-CN"/>
        </w:rPr>
        <w:t>均</w:t>
      </w:r>
      <w:r>
        <w:rPr>
          <w:rFonts w:hint="eastAsia" w:ascii="宋体" w:hAnsi="宋体"/>
          <w:sz w:val="24"/>
        </w:rPr>
        <w:t>需提供</w:t>
      </w:r>
      <w:r>
        <w:rPr>
          <w:rFonts w:hint="eastAsia" w:ascii="宋体" w:hAnsi="宋体"/>
          <w:sz w:val="24"/>
          <w:lang w:eastAsia="zh-CN"/>
        </w:rPr>
        <w:t>板材生产地</w:t>
      </w:r>
      <w:r>
        <w:rPr>
          <w:rFonts w:hint="eastAsia" w:ascii="宋体" w:hAnsi="宋体"/>
          <w:sz w:val="24"/>
        </w:rPr>
        <w:t>省级产品质检部门出具的检测报告</w:t>
      </w:r>
      <w:r>
        <w:rPr>
          <w:rFonts w:hint="eastAsia" w:ascii="宋体" w:hAnsi="宋体"/>
          <w:sz w:val="24"/>
          <w:lang w:eastAsia="zh-CN"/>
        </w:rPr>
        <w:t>、合格证等原件，板材到厂后，</w:t>
      </w:r>
      <w:r>
        <w:rPr>
          <w:rFonts w:hint="eastAsia" w:ascii="宋体" w:hAnsi="宋体"/>
          <w:sz w:val="24"/>
        </w:rPr>
        <w:t>招标方</w:t>
      </w:r>
      <w:r>
        <w:rPr>
          <w:rFonts w:hint="eastAsia" w:ascii="宋体" w:hAnsi="宋体"/>
          <w:sz w:val="24"/>
          <w:lang w:eastAsia="zh-CN"/>
        </w:rPr>
        <w:t>进行现场取样，送至具备检测资质的部门进行检测，费用由投标方负责。</w:t>
      </w:r>
    </w:p>
    <w:p>
      <w:pPr>
        <w:spacing w:line="360" w:lineRule="auto"/>
        <w:rPr>
          <w:rFonts w:ascii="宋体"/>
          <w:sz w:val="24"/>
        </w:rPr>
      </w:pPr>
      <w:r>
        <w:rPr>
          <w:rFonts w:ascii="宋体" w:hAnsi="宋体"/>
          <w:sz w:val="24"/>
        </w:rPr>
        <w:t>3.3.3</w:t>
      </w:r>
      <w:r>
        <w:rPr>
          <w:rFonts w:hint="eastAsia" w:ascii="宋体" w:hAnsi="宋体"/>
          <w:sz w:val="24"/>
        </w:rPr>
        <w:t>投标方对板材、焊条供货厂家的质量全权负责，否则在制作过程和交付使用后，由于原材料质量问题而产生的所有不良后果由投标方承担。</w:t>
      </w:r>
    </w:p>
    <w:p>
      <w:pPr>
        <w:spacing w:line="360" w:lineRule="auto"/>
        <w:rPr>
          <w:rFonts w:ascii="宋体"/>
          <w:sz w:val="24"/>
        </w:rPr>
      </w:pPr>
      <w:r>
        <w:rPr>
          <w:rFonts w:ascii="宋体" w:hAnsi="宋体"/>
          <w:sz w:val="24"/>
        </w:rPr>
        <w:t>3.3.4</w:t>
      </w:r>
      <w:r>
        <w:rPr>
          <w:rFonts w:hint="eastAsia" w:ascii="宋体" w:hAnsi="宋体"/>
          <w:sz w:val="24"/>
        </w:rPr>
        <w:t>板材下料、打坡口、预组装等前期工作均在招标方单位完成，招标方可提供提前制作槽体所需的场地，以保证工期。</w:t>
      </w:r>
    </w:p>
    <w:p>
      <w:pPr>
        <w:spacing w:line="360" w:lineRule="auto"/>
        <w:rPr>
          <w:rFonts w:ascii="宋体"/>
          <w:sz w:val="24"/>
        </w:rPr>
      </w:pPr>
      <w:r>
        <w:rPr>
          <w:rFonts w:ascii="宋体" w:hAnsi="宋体"/>
          <w:sz w:val="24"/>
        </w:rPr>
        <w:t>3.3.5</w:t>
      </w:r>
      <w:r>
        <w:rPr>
          <w:rFonts w:hint="eastAsia" w:ascii="宋体" w:hAnsi="宋体"/>
          <w:sz w:val="24"/>
        </w:rPr>
        <w:t>投标方要严格按照图纸技术要求组织施工。</w:t>
      </w:r>
    </w:p>
    <w:p>
      <w:pPr>
        <w:spacing w:line="360" w:lineRule="auto"/>
        <w:rPr>
          <w:rFonts w:ascii="宋体"/>
          <w:sz w:val="24"/>
        </w:rPr>
      </w:pPr>
      <w:r>
        <w:rPr>
          <w:rFonts w:ascii="宋体" w:hAnsi="宋体"/>
          <w:sz w:val="24"/>
        </w:rPr>
        <w:t>3.3.6</w:t>
      </w:r>
      <w:r>
        <w:rPr>
          <w:rFonts w:hint="eastAsia" w:ascii="宋体" w:hAnsi="宋体"/>
          <w:sz w:val="24"/>
        </w:rPr>
        <w:t>投标方从中标之日起，纳入</w:t>
      </w:r>
      <w:r>
        <w:rPr>
          <w:rFonts w:hint="eastAsia" w:ascii="宋体" w:hAnsi="宋体"/>
          <w:sz w:val="24"/>
          <w:lang w:eastAsia="zh-CN"/>
        </w:rPr>
        <w:t>少钕改造项目组</w:t>
      </w:r>
      <w:r>
        <w:rPr>
          <w:rFonts w:hint="eastAsia" w:ascii="宋体" w:hAnsi="宋体"/>
          <w:sz w:val="24"/>
        </w:rPr>
        <w:t>统一管理，投标方要严格执行</w:t>
      </w:r>
      <w:r>
        <w:rPr>
          <w:rFonts w:hint="eastAsia" w:ascii="宋体" w:hAnsi="宋体"/>
          <w:sz w:val="24"/>
          <w:lang w:eastAsia="zh-CN"/>
        </w:rPr>
        <w:t>项目组</w:t>
      </w:r>
      <w:r>
        <w:rPr>
          <w:rFonts w:hint="eastAsia" w:ascii="宋体" w:hAnsi="宋体"/>
          <w:sz w:val="24"/>
        </w:rPr>
        <w:t>各项命令，进入施工现场前，要认真组织学习</w:t>
      </w:r>
      <w:r>
        <w:rPr>
          <w:rFonts w:hint="eastAsia" w:ascii="宋体" w:hAnsi="宋体"/>
          <w:sz w:val="24"/>
          <w:lang w:eastAsia="zh-CN"/>
        </w:rPr>
        <w:t>分公司内有关安全管理</w:t>
      </w:r>
      <w:r>
        <w:rPr>
          <w:rFonts w:hint="eastAsia" w:ascii="宋体" w:hAnsi="宋体"/>
          <w:sz w:val="24"/>
        </w:rPr>
        <w:t>各项管理制度，并按制度规范组织、个人行为。</w:t>
      </w:r>
    </w:p>
    <w:p>
      <w:pPr>
        <w:spacing w:line="360" w:lineRule="auto"/>
        <w:rPr>
          <w:rFonts w:ascii="宋体"/>
          <w:sz w:val="24"/>
        </w:rPr>
      </w:pPr>
      <w:r>
        <w:rPr>
          <w:rFonts w:ascii="宋体" w:hAnsi="宋体"/>
          <w:sz w:val="24"/>
        </w:rPr>
        <w:t>3.3.7</w:t>
      </w:r>
      <w:r>
        <w:rPr>
          <w:rFonts w:hint="eastAsia" w:ascii="宋体" w:hAnsi="宋体"/>
          <w:sz w:val="24"/>
        </w:rPr>
        <w:t>投标方在施工过程中要严格履行标书中的各项承诺。因投标方原因造成工期延误，没有按网络工期完工或发生质量问题的，按照招标方有关管理办法进行考核。</w:t>
      </w:r>
    </w:p>
    <w:p>
      <w:pPr>
        <w:spacing w:line="360" w:lineRule="auto"/>
        <w:rPr>
          <w:rFonts w:ascii="宋体"/>
          <w:sz w:val="24"/>
        </w:rPr>
      </w:pPr>
      <w:r>
        <w:rPr>
          <w:rFonts w:ascii="宋体" w:hAnsi="宋体"/>
          <w:sz w:val="24"/>
        </w:rPr>
        <w:t>3.3.8</w:t>
      </w:r>
      <w:r>
        <w:rPr>
          <w:rFonts w:hint="eastAsia" w:ascii="宋体" w:hAnsi="宋体"/>
          <w:sz w:val="24"/>
        </w:rPr>
        <w:t>招标方对投标方使用的材料进行抽检，发现质量问题，招标方有权要求投标方拆除已安装制作的所有槽体，按规定要求重新制作，所发生的费用全部由投标方承担，同时赔付招标方因工期延误而造成的全部损失。</w:t>
      </w:r>
    </w:p>
    <w:p>
      <w:pPr>
        <w:spacing w:line="360" w:lineRule="auto"/>
        <w:rPr>
          <w:rFonts w:ascii="宋体"/>
          <w:sz w:val="24"/>
        </w:rPr>
      </w:pPr>
      <w:r>
        <w:rPr>
          <w:rFonts w:ascii="宋体" w:hAnsi="宋体"/>
          <w:sz w:val="24"/>
        </w:rPr>
        <w:t>3.4</w:t>
      </w:r>
      <w:r>
        <w:rPr>
          <w:rFonts w:hint="eastAsia" w:ascii="宋体" w:hAnsi="宋体"/>
          <w:sz w:val="24"/>
        </w:rPr>
        <w:t>塑料焊技术严格按以下要求执行：</w:t>
      </w:r>
    </w:p>
    <w:p>
      <w:pPr>
        <w:spacing w:line="360" w:lineRule="auto"/>
        <w:rPr>
          <w:rFonts w:ascii="宋体"/>
          <w:sz w:val="24"/>
        </w:rPr>
      </w:pPr>
      <w:r>
        <w:rPr>
          <w:rFonts w:ascii="宋体" w:hAnsi="宋体"/>
          <w:sz w:val="24"/>
        </w:rPr>
        <w:t>3.4.1</w:t>
      </w:r>
      <w:r>
        <w:rPr>
          <w:rFonts w:hint="eastAsia" w:ascii="宋体" w:hAnsi="宋体"/>
          <w:sz w:val="24"/>
        </w:rPr>
        <w:t>焊接采用热风焊，焊缝结构应均匀、密实，无焊焦现象；制作环境温度要求≥</w:t>
      </w:r>
      <w:r>
        <w:rPr>
          <w:rFonts w:ascii="宋体" w:hAnsi="宋体"/>
          <w:sz w:val="24"/>
        </w:rPr>
        <w:t>10</w:t>
      </w:r>
      <w:r>
        <w:rPr>
          <w:rFonts w:hint="eastAsia" w:ascii="宋体" w:hAnsi="宋体"/>
          <w:sz w:val="24"/>
        </w:rPr>
        <w:t>℃。</w:t>
      </w:r>
    </w:p>
    <w:p>
      <w:pPr>
        <w:spacing w:line="360" w:lineRule="auto"/>
        <w:rPr>
          <w:rFonts w:ascii="宋体"/>
          <w:sz w:val="24"/>
        </w:rPr>
      </w:pPr>
      <w:r>
        <w:rPr>
          <w:rFonts w:ascii="宋体" w:hAnsi="宋体"/>
          <w:sz w:val="24"/>
        </w:rPr>
        <w:t>3.4.2</w:t>
      </w:r>
      <w:r>
        <w:rPr>
          <w:rFonts w:hint="eastAsia" w:ascii="宋体" w:hAnsi="宋体"/>
          <w:sz w:val="24"/>
        </w:rPr>
        <w:t>底板每块大板焊接处两面倒</w:t>
      </w:r>
      <w:r>
        <w:rPr>
          <w:rFonts w:ascii="宋体" w:hAnsi="宋体"/>
          <w:sz w:val="24"/>
        </w:rPr>
        <w:t>70</w:t>
      </w:r>
      <w:r>
        <w:rPr>
          <w:rFonts w:hint="eastAsia" w:ascii="宋体" w:hAnsi="宋体"/>
          <w:sz w:val="24"/>
          <w:vertAlign w:val="superscript"/>
        </w:rPr>
        <w:t>。</w:t>
      </w:r>
      <w:r>
        <w:rPr>
          <w:rFonts w:hint="eastAsia" w:ascii="宋体" w:hAnsi="宋体"/>
          <w:sz w:val="24"/>
        </w:rPr>
        <w:t>角，宽度</w:t>
      </w:r>
      <w:r>
        <w:rPr>
          <w:rFonts w:ascii="宋体" w:hAnsi="宋体"/>
          <w:sz w:val="24"/>
        </w:rPr>
        <w:t>25mm</w:t>
      </w:r>
      <w:r>
        <w:rPr>
          <w:rFonts w:hint="eastAsia" w:ascii="宋体" w:hAnsi="宋体"/>
          <w:sz w:val="24"/>
        </w:rPr>
        <w:t>，底面用</w:t>
      </w:r>
      <w:r>
        <w:rPr>
          <w:rFonts w:ascii="宋体" w:hAnsi="宋体"/>
          <w:sz w:val="24"/>
        </w:rPr>
        <w:t>PVC</w:t>
      </w:r>
      <w:r>
        <w:rPr>
          <w:rFonts w:hint="eastAsia" w:ascii="宋体" w:hAnsi="宋体"/>
          <w:sz w:val="24"/>
        </w:rPr>
        <w:t>焊条填满焊缝后打平，以确保翻身时不会翻断板材焊缝。翻身后用</w:t>
      </w:r>
      <w:r>
        <w:rPr>
          <w:rFonts w:ascii="宋体" w:hAnsi="宋体"/>
          <w:sz w:val="24"/>
        </w:rPr>
        <w:t>PVC</w:t>
      </w:r>
      <w:r>
        <w:rPr>
          <w:rFonts w:hint="eastAsia" w:ascii="宋体" w:hAnsi="宋体"/>
          <w:sz w:val="24"/>
        </w:rPr>
        <w:t>焊条焊接至焊缝填满并打平。</w:t>
      </w:r>
    </w:p>
    <w:p>
      <w:pPr>
        <w:spacing w:line="360" w:lineRule="auto"/>
        <w:ind w:firstLine="480" w:firstLineChars="200"/>
        <w:jc w:val="left"/>
        <w:rPr>
          <w:rFonts w:ascii="宋体"/>
          <w:sz w:val="24"/>
        </w:rPr>
      </w:pPr>
      <w:r>
        <w:rPr>
          <w:rFonts w:hint="eastAsia" w:ascii="宋体" w:hAnsi="宋体"/>
          <w:sz w:val="24"/>
        </w:rPr>
        <w:t>底板、面板、级间板、端板，应选择大尺寸板材，以减少焊缝。各表面的焊缝焊满打磨后要求平整光滑。</w:t>
      </w:r>
    </w:p>
    <w:p>
      <w:pPr>
        <w:spacing w:line="360" w:lineRule="auto"/>
        <w:rPr>
          <w:rFonts w:ascii="宋体"/>
          <w:sz w:val="24"/>
        </w:rPr>
      </w:pPr>
      <w:r>
        <w:rPr>
          <w:rFonts w:ascii="宋体" w:hAnsi="宋体"/>
          <w:sz w:val="24"/>
        </w:rPr>
        <w:t>3.4.3</w:t>
      </w:r>
      <w:r>
        <w:rPr>
          <w:rFonts w:hint="eastAsia" w:ascii="宋体" w:hAnsi="宋体"/>
          <w:sz w:val="24"/>
        </w:rPr>
        <w:t>槽体的焊缝板边厚度方向的偏差量不得大于</w:t>
      </w:r>
      <w:r>
        <w:rPr>
          <w:rFonts w:ascii="宋体" w:hAnsi="宋体"/>
          <w:sz w:val="24"/>
        </w:rPr>
        <w:t>2mm</w:t>
      </w:r>
      <w:r>
        <w:rPr>
          <w:rFonts w:hint="eastAsia" w:ascii="宋体" w:hAnsi="宋体"/>
          <w:sz w:val="24"/>
        </w:rPr>
        <w:t>，两相邻的焊缝距离不得小于</w:t>
      </w:r>
      <w:r>
        <w:rPr>
          <w:rFonts w:ascii="宋体" w:hAnsi="宋体"/>
          <w:sz w:val="24"/>
        </w:rPr>
        <w:t>100mm</w:t>
      </w:r>
      <w:r>
        <w:rPr>
          <w:rFonts w:hint="eastAsia" w:ascii="宋体" w:hAnsi="宋体"/>
          <w:sz w:val="24"/>
        </w:rPr>
        <w:t>；槽体除标注的焊缝结构形式以外，其余全部采用角焊缝；</w:t>
      </w:r>
    </w:p>
    <w:p>
      <w:pPr>
        <w:spacing w:line="360" w:lineRule="auto"/>
        <w:rPr>
          <w:rFonts w:ascii="宋体"/>
          <w:sz w:val="24"/>
        </w:rPr>
      </w:pPr>
      <w:r>
        <w:rPr>
          <w:rFonts w:ascii="宋体" w:hAnsi="宋体"/>
          <w:sz w:val="24"/>
        </w:rPr>
        <w:t>3.4.4</w:t>
      </w:r>
      <w:r>
        <w:rPr>
          <w:rFonts w:hint="eastAsia" w:ascii="宋体" w:hAnsi="宋体"/>
          <w:sz w:val="24"/>
        </w:rPr>
        <w:t>避免在焊缝处开孔，开孔边缘与焊缝的距离不小于</w:t>
      </w:r>
      <w:r>
        <w:rPr>
          <w:rFonts w:ascii="宋体" w:hAnsi="宋体"/>
          <w:sz w:val="24"/>
        </w:rPr>
        <w:t>400mm</w:t>
      </w:r>
      <w:r>
        <w:rPr>
          <w:rFonts w:hint="eastAsia" w:ascii="宋体" w:hAnsi="宋体"/>
          <w:sz w:val="24"/>
        </w:rPr>
        <w:t>，特殊小件除外，在开孔处补强；</w:t>
      </w:r>
    </w:p>
    <w:p>
      <w:pPr>
        <w:spacing w:line="360" w:lineRule="auto"/>
        <w:rPr>
          <w:rFonts w:ascii="宋体"/>
          <w:sz w:val="24"/>
        </w:rPr>
      </w:pPr>
      <w:r>
        <w:rPr>
          <w:rFonts w:ascii="宋体" w:hAnsi="宋体"/>
          <w:sz w:val="24"/>
        </w:rPr>
        <w:t>3.4.5</w:t>
      </w:r>
      <w:r>
        <w:rPr>
          <w:rFonts w:hint="eastAsia" w:ascii="宋体" w:hAnsi="宋体"/>
          <w:sz w:val="24"/>
        </w:rPr>
        <w:t>槽体制作过程中和制造完成后，焊缝要进行全面检查，不得有裂缝存在；</w:t>
      </w:r>
    </w:p>
    <w:p>
      <w:pPr>
        <w:spacing w:line="360" w:lineRule="auto"/>
        <w:rPr>
          <w:rFonts w:ascii="宋体"/>
          <w:sz w:val="24"/>
        </w:rPr>
      </w:pPr>
      <w:r>
        <w:rPr>
          <w:rFonts w:ascii="宋体" w:hAnsi="宋体"/>
          <w:sz w:val="24"/>
        </w:rPr>
        <w:t>3.4.6</w:t>
      </w:r>
      <w:r>
        <w:rPr>
          <w:rFonts w:hint="eastAsia" w:ascii="宋体" w:hAnsi="宋体"/>
          <w:sz w:val="24"/>
        </w:rPr>
        <w:t>三角加强筋板根据萃取器具体尺寸控制在</w:t>
      </w:r>
      <w:r>
        <w:rPr>
          <w:rFonts w:ascii="宋体" w:hAnsi="宋体"/>
          <w:sz w:val="24"/>
        </w:rPr>
        <w:t>300—400mm</w:t>
      </w:r>
      <w:r>
        <w:rPr>
          <w:rFonts w:hint="eastAsia" w:ascii="宋体" w:hAnsi="宋体"/>
          <w:sz w:val="24"/>
        </w:rPr>
        <w:t>之间均布；</w:t>
      </w:r>
    </w:p>
    <w:p>
      <w:pPr>
        <w:spacing w:line="360" w:lineRule="auto"/>
        <w:rPr>
          <w:rFonts w:ascii="宋体"/>
          <w:sz w:val="24"/>
        </w:rPr>
      </w:pPr>
      <w:r>
        <w:rPr>
          <w:rFonts w:ascii="宋体" w:hAnsi="宋体"/>
          <w:sz w:val="24"/>
        </w:rPr>
        <w:t>3.4.7</w:t>
      </w:r>
      <w:r>
        <w:rPr>
          <w:rFonts w:hint="eastAsia" w:ascii="宋体" w:hAnsi="宋体"/>
          <w:sz w:val="24"/>
        </w:rPr>
        <w:t>槽体制完后需进行一次试漏，试漏先用水试漏，后用煤油试渗，观察，</w:t>
      </w:r>
      <w:r>
        <w:rPr>
          <w:rFonts w:ascii="宋体" w:hAnsi="宋体"/>
          <w:sz w:val="24"/>
        </w:rPr>
        <w:t>24</w:t>
      </w:r>
      <w:r>
        <w:rPr>
          <w:rFonts w:hint="eastAsia" w:ascii="宋体" w:hAnsi="宋体"/>
          <w:sz w:val="24"/>
        </w:rPr>
        <w:t>小时后槽体及焊缝无任何渗漏现象，方为合格；</w:t>
      </w:r>
    </w:p>
    <w:p>
      <w:pPr>
        <w:spacing w:line="360" w:lineRule="auto"/>
        <w:ind w:firstLine="480" w:firstLineChars="200"/>
        <w:rPr>
          <w:rFonts w:ascii="宋体"/>
          <w:sz w:val="24"/>
        </w:rPr>
      </w:pPr>
      <w:r>
        <w:rPr>
          <w:rFonts w:hint="eastAsia" w:ascii="宋体" w:hAnsi="宋体"/>
          <w:sz w:val="24"/>
        </w:rPr>
        <w:t>未提及技术要求，按图纸技术要求施工；</w:t>
      </w:r>
    </w:p>
    <w:p>
      <w:pPr>
        <w:rPr>
          <w:rFonts w:ascii="宋体"/>
          <w:sz w:val="24"/>
        </w:rPr>
      </w:pPr>
    </w:p>
    <w:p>
      <w:pPr>
        <w:widowControl/>
        <w:autoSpaceDE w:val="0"/>
        <w:autoSpaceDN w:val="0"/>
        <w:spacing w:line="360" w:lineRule="auto"/>
        <w:rPr>
          <w:rFonts w:ascii="宋体" w:cs="宋体"/>
          <w:kern w:val="0"/>
          <w:sz w:val="24"/>
        </w:rPr>
      </w:pPr>
      <w:r>
        <w:rPr>
          <w:rFonts w:ascii="宋体" w:hAnsi="宋体" w:cs="宋体"/>
          <w:kern w:val="0"/>
          <w:sz w:val="24"/>
        </w:rPr>
        <w:t>3.5</w:t>
      </w:r>
      <w:r>
        <w:rPr>
          <w:rFonts w:ascii="宋体" w:hAnsi="宋体" w:cs="宋体"/>
          <w:b/>
          <w:kern w:val="0"/>
          <w:sz w:val="24"/>
        </w:rPr>
        <w:t xml:space="preserve"> </w:t>
      </w:r>
      <w:r>
        <w:rPr>
          <w:rFonts w:hint="eastAsia" w:ascii="宋体" w:hAnsi="宋体" w:cs="宋体"/>
          <w:kern w:val="0"/>
          <w:sz w:val="24"/>
        </w:rPr>
        <w:t>设备使用介质条件：</w:t>
      </w:r>
    </w:p>
    <w:p>
      <w:pPr>
        <w:widowControl/>
        <w:autoSpaceDE w:val="0"/>
        <w:autoSpaceDN w:val="0"/>
        <w:spacing w:line="360" w:lineRule="auto"/>
        <w:ind w:firstLine="480" w:firstLineChars="200"/>
        <w:rPr>
          <w:rFonts w:ascii="宋体" w:cs="宋体"/>
          <w:kern w:val="0"/>
          <w:sz w:val="24"/>
        </w:rPr>
      </w:pPr>
    </w:p>
    <w:tbl>
      <w:tblPr>
        <w:tblStyle w:val="5"/>
        <w:tblW w:w="9159"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074"/>
        <w:gridCol w:w="708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13" w:hRule="atLeast"/>
        </w:trPr>
        <w:tc>
          <w:tcPr>
            <w:tcW w:w="2074" w:type="dxa"/>
            <w:tcBorders>
              <w:top w:val="single" w:color="auto" w:sz="12" w:space="0"/>
            </w:tcBorders>
            <w:vAlign w:val="center"/>
          </w:tcPr>
          <w:p>
            <w:pPr>
              <w:autoSpaceDE w:val="0"/>
              <w:autoSpaceDN w:val="0"/>
              <w:adjustRightInd w:val="0"/>
              <w:snapToGrid w:val="0"/>
              <w:spacing w:line="360" w:lineRule="auto"/>
              <w:rPr>
                <w:rFonts w:ascii="宋体" w:cs="宋体"/>
                <w:kern w:val="0"/>
                <w:sz w:val="24"/>
              </w:rPr>
            </w:pPr>
            <w:r>
              <w:rPr>
                <w:rFonts w:hint="eastAsia" w:ascii="宋体" w:hAnsi="宋体" w:cs="宋体"/>
                <w:kern w:val="0"/>
                <w:sz w:val="24"/>
              </w:rPr>
              <w:t>设备名称</w:t>
            </w:r>
          </w:p>
        </w:tc>
        <w:tc>
          <w:tcPr>
            <w:tcW w:w="7085" w:type="dxa"/>
            <w:tcBorders>
              <w:top w:val="single" w:color="auto" w:sz="12" w:space="0"/>
            </w:tcBorders>
            <w:vAlign w:val="center"/>
          </w:tcPr>
          <w:p>
            <w:pPr>
              <w:autoSpaceDE w:val="0"/>
              <w:autoSpaceDN w:val="0"/>
              <w:adjustRightInd w:val="0"/>
              <w:snapToGrid w:val="0"/>
              <w:spacing w:line="360" w:lineRule="auto"/>
              <w:rPr>
                <w:rFonts w:ascii="宋体" w:cs="宋体"/>
                <w:kern w:val="0"/>
                <w:sz w:val="24"/>
              </w:rPr>
            </w:pPr>
            <w:r>
              <w:rPr>
                <w:rFonts w:hint="eastAsia" w:ascii="宋体" w:hAnsi="宋体" w:cs="宋体"/>
                <w:kern w:val="0"/>
                <w:sz w:val="24"/>
              </w:rPr>
              <w:t>介质条件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830" w:hRule="atLeast"/>
        </w:trPr>
        <w:tc>
          <w:tcPr>
            <w:tcW w:w="2074" w:type="dxa"/>
            <w:tcBorders>
              <w:bottom w:val="single" w:color="auto" w:sz="12" w:space="0"/>
            </w:tcBorders>
            <w:vAlign w:val="center"/>
          </w:tcPr>
          <w:p>
            <w:pPr>
              <w:spacing w:line="360" w:lineRule="auto"/>
              <w:jc w:val="center"/>
              <w:rPr>
                <w:rFonts w:hint="eastAsia" w:ascii="宋体" w:eastAsia="宋体" w:cs="宋体"/>
                <w:bCs/>
                <w:szCs w:val="30"/>
                <w:lang w:eastAsia="zh-CN"/>
              </w:rPr>
            </w:pPr>
            <w:r>
              <w:rPr>
                <w:rFonts w:hint="eastAsia" w:ascii="宋体" w:hAnsi="宋体" w:cs="宋体"/>
                <w:kern w:val="0"/>
                <w:sz w:val="24"/>
                <w:lang w:eastAsia="zh-CN"/>
              </w:rPr>
              <w:t>萃取器</w:t>
            </w:r>
          </w:p>
        </w:tc>
        <w:tc>
          <w:tcPr>
            <w:tcW w:w="7085" w:type="dxa"/>
            <w:tcBorders>
              <w:bottom w:val="single" w:color="auto" w:sz="12" w:space="0"/>
            </w:tcBorders>
            <w:vAlign w:val="center"/>
          </w:tcPr>
          <w:p>
            <w:pPr>
              <w:spacing w:line="360" w:lineRule="auto"/>
              <w:rPr>
                <w:rFonts w:ascii="宋体" w:cs="宋体"/>
                <w:bCs/>
                <w:sz w:val="24"/>
              </w:rPr>
            </w:pPr>
            <w:r>
              <w:rPr>
                <w:rFonts w:hint="eastAsia" w:ascii="宋体" w:hAnsi="宋体" w:cs="宋体"/>
                <w:bCs/>
                <w:sz w:val="24"/>
              </w:rPr>
              <w:t>温度：</w:t>
            </w:r>
            <w:r>
              <w:rPr>
                <w:rFonts w:ascii="宋体" w:hAnsi="宋体" w:cs="宋体"/>
                <w:bCs/>
                <w:sz w:val="24"/>
              </w:rPr>
              <w:t>20-50</w:t>
            </w:r>
            <w:r>
              <w:rPr>
                <w:rFonts w:hint="eastAsia" w:ascii="宋体" w:hAnsi="宋体" w:cs="宋体"/>
                <w:bCs/>
                <w:sz w:val="24"/>
              </w:rPr>
              <w:t>℃；常压；承载溶液：煤油、有机、氯化稀土溶液（</w:t>
            </w:r>
            <w:r>
              <w:rPr>
                <w:rFonts w:ascii="宋体" w:hAnsi="宋体" w:cs="宋体"/>
                <w:bCs/>
                <w:sz w:val="24"/>
              </w:rPr>
              <w:t>PH=1-2</w:t>
            </w:r>
            <w:r>
              <w:rPr>
                <w:rFonts w:hint="eastAsia" w:ascii="宋体" w:hAnsi="宋体" w:cs="宋体"/>
                <w:bCs/>
                <w:sz w:val="24"/>
              </w:rPr>
              <w:t>）、盐酸（</w:t>
            </w:r>
            <w:r>
              <w:rPr>
                <w:rFonts w:ascii="宋体" w:hAnsi="宋体" w:cs="宋体"/>
                <w:bCs/>
                <w:sz w:val="24"/>
              </w:rPr>
              <w:t>1-6N</w:t>
            </w:r>
            <w:r>
              <w:rPr>
                <w:rFonts w:hint="eastAsia" w:ascii="宋体" w:hAnsi="宋体" w:cs="宋体"/>
                <w:bCs/>
                <w:sz w:val="24"/>
              </w:rPr>
              <w:t>）</w:t>
            </w:r>
          </w:p>
        </w:tc>
      </w:tr>
    </w:tbl>
    <w:p>
      <w:pPr>
        <w:keepNext/>
        <w:keepLines/>
        <w:tabs>
          <w:tab w:val="left" w:pos="-709"/>
          <w:tab w:val="left" w:pos="284"/>
          <w:tab w:val="left" w:pos="1152"/>
        </w:tabs>
        <w:adjustRightInd w:val="0"/>
        <w:spacing w:before="240" w:after="64" w:line="360" w:lineRule="auto"/>
        <w:ind w:left="1152" w:hanging="1152"/>
        <w:textAlignment w:val="baseline"/>
        <w:outlineLvl w:val="5"/>
        <w:rPr>
          <w:rFonts w:ascii="宋体" w:cs="宋体"/>
          <w:b/>
          <w:sz w:val="28"/>
          <w:szCs w:val="28"/>
        </w:rPr>
      </w:pPr>
      <w:r>
        <w:rPr>
          <w:rFonts w:ascii="宋体" w:hAnsi="宋体" w:cs="宋体"/>
          <w:b/>
          <w:sz w:val="28"/>
          <w:szCs w:val="28"/>
        </w:rPr>
        <w:t xml:space="preserve">4  </w:t>
      </w:r>
      <w:r>
        <w:rPr>
          <w:rFonts w:hint="eastAsia" w:ascii="宋体" w:hAnsi="宋体" w:cs="宋体"/>
          <w:b/>
          <w:sz w:val="28"/>
          <w:szCs w:val="28"/>
        </w:rPr>
        <w:t>技术资料</w:t>
      </w:r>
    </w:p>
    <w:p>
      <w:pPr>
        <w:spacing w:line="360" w:lineRule="auto"/>
        <w:ind w:firstLine="480" w:firstLineChars="200"/>
        <w:rPr>
          <w:rFonts w:ascii="宋体" w:cs="宋体"/>
          <w:bCs/>
          <w:sz w:val="24"/>
        </w:rPr>
      </w:pPr>
      <w:r>
        <w:rPr>
          <w:rFonts w:ascii="宋体" w:hAnsi="宋体" w:cs="宋体"/>
          <w:bCs/>
          <w:sz w:val="24"/>
        </w:rPr>
        <w:t>1</w:t>
      </w:r>
      <w:r>
        <w:rPr>
          <w:rFonts w:hint="eastAsia" w:ascii="宋体" w:hAnsi="宋体" w:cs="宋体"/>
          <w:bCs/>
          <w:sz w:val="24"/>
        </w:rPr>
        <w:t>）产品样本</w:t>
      </w:r>
      <w:r>
        <w:rPr>
          <w:rFonts w:ascii="宋体" w:hAnsi="宋体" w:cs="宋体"/>
          <w:bCs/>
          <w:sz w:val="24"/>
        </w:rPr>
        <w:t xml:space="preserve">                  </w:t>
      </w:r>
      <w:r>
        <w:rPr>
          <w:rFonts w:hint="eastAsia" w:ascii="宋体" w:hAnsi="宋体" w:cs="宋体"/>
          <w:bCs/>
          <w:sz w:val="24"/>
        </w:rPr>
        <w:t>投标方生产前交招标方确认</w:t>
      </w:r>
    </w:p>
    <w:p>
      <w:pPr>
        <w:spacing w:line="360" w:lineRule="auto"/>
        <w:ind w:firstLine="480" w:firstLineChars="200"/>
        <w:rPr>
          <w:rFonts w:ascii="宋体" w:cs="宋体"/>
          <w:bCs/>
          <w:sz w:val="24"/>
        </w:rPr>
      </w:pPr>
      <w:r>
        <w:rPr>
          <w:rFonts w:ascii="宋体" w:hAnsi="宋体" w:cs="宋体"/>
          <w:bCs/>
          <w:sz w:val="24"/>
        </w:rPr>
        <w:t>2</w:t>
      </w:r>
      <w:r>
        <w:rPr>
          <w:rFonts w:hint="eastAsia" w:ascii="宋体" w:hAnsi="宋体" w:cs="宋体"/>
          <w:bCs/>
          <w:sz w:val="24"/>
        </w:rPr>
        <w:t>）板材检验报告</w:t>
      </w:r>
      <w:r>
        <w:rPr>
          <w:rFonts w:ascii="宋体" w:hAnsi="宋体" w:cs="宋体"/>
          <w:bCs/>
          <w:sz w:val="24"/>
        </w:rPr>
        <w:t xml:space="preserve">              </w:t>
      </w:r>
      <w:r>
        <w:rPr>
          <w:rFonts w:hint="eastAsia" w:ascii="宋体" w:hAnsi="宋体" w:cs="宋体"/>
          <w:bCs/>
          <w:sz w:val="24"/>
        </w:rPr>
        <w:t>投标方生产前交招标方确认</w:t>
      </w:r>
    </w:p>
    <w:p>
      <w:pPr>
        <w:spacing w:line="360" w:lineRule="auto"/>
        <w:ind w:firstLine="480" w:firstLineChars="200"/>
        <w:rPr>
          <w:rFonts w:ascii="宋体"/>
          <w:sz w:val="24"/>
        </w:rPr>
      </w:pPr>
      <w:r>
        <w:rPr>
          <w:rFonts w:ascii="宋体" w:hAnsi="宋体"/>
          <w:sz w:val="24"/>
        </w:rPr>
        <w:t>3)</w:t>
      </w:r>
      <w:r>
        <w:rPr>
          <w:rFonts w:hint="eastAsia" w:ascii="宋体" w:hAnsi="宋体"/>
          <w:sz w:val="24"/>
        </w:rPr>
        <w:t>焊接试样检测报告</w:t>
      </w:r>
    </w:p>
    <w:p>
      <w:pPr>
        <w:spacing w:line="360" w:lineRule="auto"/>
        <w:rPr>
          <w:rFonts w:hint="eastAsia" w:ascii="宋体" w:hAnsi="宋体" w:cs="宋体"/>
          <w:bCs/>
          <w:sz w:val="24"/>
        </w:rPr>
      </w:pPr>
    </w:p>
    <w:p>
      <w:pPr>
        <w:spacing w:line="360" w:lineRule="auto"/>
        <w:rPr>
          <w:rFonts w:hint="eastAsia" w:ascii="宋体" w:hAnsi="宋体" w:cs="宋体"/>
          <w:bCs/>
          <w:sz w:val="24"/>
        </w:rPr>
      </w:pPr>
    </w:p>
    <w:p>
      <w:pPr>
        <w:spacing w:line="360" w:lineRule="auto"/>
        <w:rPr>
          <w:rFonts w:hint="eastAsia" w:ascii="宋体" w:hAnsi="宋体" w:cs="宋体"/>
          <w:bCs/>
          <w:sz w:val="24"/>
        </w:rPr>
      </w:pPr>
    </w:p>
    <w:p>
      <w:pPr>
        <w:spacing w:line="360" w:lineRule="auto"/>
        <w:rPr>
          <w:rFonts w:hint="eastAsia" w:ascii="宋体" w:hAnsi="宋体" w:cs="宋体"/>
          <w:bCs/>
          <w:sz w:val="24"/>
        </w:rPr>
      </w:pPr>
    </w:p>
    <w:p>
      <w:pPr>
        <w:spacing w:line="360" w:lineRule="auto"/>
        <w:rPr>
          <w:rFonts w:hint="eastAsia" w:ascii="宋体" w:hAnsi="宋体" w:cs="宋体"/>
          <w:bCs/>
          <w:sz w:val="24"/>
        </w:rPr>
      </w:pPr>
    </w:p>
    <w:p>
      <w:pPr>
        <w:spacing w:line="360" w:lineRule="auto"/>
        <w:rPr>
          <w:rFonts w:ascii="宋体" w:hAnsi="宋体" w:cs="宋体"/>
          <w:bCs/>
          <w:sz w:val="24"/>
        </w:rPr>
      </w:pPr>
      <w:r>
        <w:rPr>
          <w:rFonts w:hint="eastAsia" w:ascii="宋体" w:hAnsi="宋体" w:cs="宋体"/>
          <w:bCs/>
          <w:sz w:val="24"/>
        </w:rPr>
        <w:t>甲方：                                 乙方：</w:t>
      </w:r>
    </w:p>
    <w:p>
      <w:pPr>
        <w:spacing w:line="360" w:lineRule="auto"/>
        <w:rPr>
          <w:rFonts w:ascii="宋体" w:hAnsi="宋体" w:cs="宋体"/>
          <w:bCs/>
          <w:sz w:val="24"/>
        </w:rPr>
      </w:pPr>
    </w:p>
    <w:p>
      <w:pPr>
        <w:spacing w:line="360" w:lineRule="auto"/>
        <w:rPr>
          <w:rFonts w:ascii="宋体" w:hAnsi="宋体" w:cs="宋体"/>
          <w:bCs/>
          <w:sz w:val="24"/>
        </w:rPr>
      </w:pPr>
    </w:p>
    <w:p>
      <w:pPr>
        <w:spacing w:line="360" w:lineRule="auto"/>
        <w:rPr>
          <w:rFonts w:ascii="宋体" w:hAnsi="宋体" w:cs="宋体"/>
          <w:bCs/>
          <w:sz w:val="24"/>
        </w:rPr>
      </w:pPr>
      <w:r>
        <w:rPr>
          <w:rFonts w:hint="eastAsia" w:ascii="宋体" w:hAnsi="宋体" w:cs="宋体"/>
          <w:bCs/>
          <w:sz w:val="24"/>
        </w:rPr>
        <w:t>甲方代表：                             乙方代表：</w:t>
      </w:r>
    </w:p>
    <w:p>
      <w:pPr>
        <w:spacing w:line="360" w:lineRule="auto"/>
        <w:rPr>
          <w:rFonts w:ascii="宋体" w:hAnsi="宋体" w:cs="宋体"/>
          <w:bCs/>
          <w:sz w:val="24"/>
        </w:rPr>
      </w:pPr>
    </w:p>
    <w:p>
      <w:pPr>
        <w:spacing w:line="360" w:lineRule="auto"/>
        <w:rPr>
          <w:rFonts w:ascii="宋体" w:hAnsi="宋体" w:cs="宋体"/>
          <w:bCs/>
          <w:sz w:val="24"/>
        </w:rPr>
      </w:pPr>
    </w:p>
    <w:p>
      <w:pPr>
        <w:spacing w:line="360" w:lineRule="auto"/>
        <w:ind w:firstLine="960" w:firstLineChars="400"/>
        <w:rPr>
          <w:rFonts w:ascii="宋体" w:hAnsi="宋体" w:cs="宋体"/>
          <w:bCs/>
          <w:sz w:val="24"/>
        </w:rPr>
      </w:pPr>
      <w:r>
        <w:rPr>
          <w:rFonts w:hint="eastAsia" w:ascii="宋体" w:hAnsi="宋体" w:cs="宋体"/>
          <w:bCs/>
          <w:sz w:val="24"/>
        </w:rPr>
        <w:t xml:space="preserve">  年   月   日                        年   月   日</w:t>
      </w:r>
    </w:p>
    <w:p>
      <w:pPr>
        <w:spacing w:line="360" w:lineRule="auto"/>
        <w:rPr>
          <w:rFonts w:ascii="宋体" w:cs="宋体"/>
          <w:b/>
          <w:sz w:val="28"/>
          <w:szCs w:val="28"/>
        </w:rPr>
      </w:pPr>
    </w:p>
    <w:p>
      <w:pPr>
        <w:spacing w:line="360" w:lineRule="auto"/>
        <w:rPr>
          <w:rFonts w:ascii="宋体" w:cs="宋体"/>
          <w:bCs/>
          <w:sz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Bookshelf Symbol 7">
    <w:panose1 w:val="05010101010101010101"/>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2F249B"/>
    <w:multiLevelType w:val="singleLevel"/>
    <w:tmpl w:val="552F249B"/>
    <w:lvl w:ilvl="0" w:tentative="0">
      <w:start w:val="1"/>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D1DF5"/>
    <w:rsid w:val="00031F29"/>
    <w:rsid w:val="000513B3"/>
    <w:rsid w:val="00062DB7"/>
    <w:rsid w:val="0006637E"/>
    <w:rsid w:val="00072B5A"/>
    <w:rsid w:val="00077493"/>
    <w:rsid w:val="000A0268"/>
    <w:rsid w:val="000B4EB2"/>
    <w:rsid w:val="000E7B59"/>
    <w:rsid w:val="001039DB"/>
    <w:rsid w:val="00112271"/>
    <w:rsid w:val="0014166D"/>
    <w:rsid w:val="00144D58"/>
    <w:rsid w:val="0014776D"/>
    <w:rsid w:val="001820DC"/>
    <w:rsid w:val="001C6113"/>
    <w:rsid w:val="00225E55"/>
    <w:rsid w:val="002900DF"/>
    <w:rsid w:val="002A4091"/>
    <w:rsid w:val="002B0C8F"/>
    <w:rsid w:val="00316761"/>
    <w:rsid w:val="00354E67"/>
    <w:rsid w:val="00360DD8"/>
    <w:rsid w:val="003664F2"/>
    <w:rsid w:val="003A1640"/>
    <w:rsid w:val="003D3D3B"/>
    <w:rsid w:val="003F1F63"/>
    <w:rsid w:val="00412C6D"/>
    <w:rsid w:val="00473584"/>
    <w:rsid w:val="004B29C3"/>
    <w:rsid w:val="004D5F06"/>
    <w:rsid w:val="004D6281"/>
    <w:rsid w:val="00522BB8"/>
    <w:rsid w:val="00575CE7"/>
    <w:rsid w:val="005B01A4"/>
    <w:rsid w:val="005B120D"/>
    <w:rsid w:val="00603862"/>
    <w:rsid w:val="00611336"/>
    <w:rsid w:val="00622C11"/>
    <w:rsid w:val="006555A0"/>
    <w:rsid w:val="00682308"/>
    <w:rsid w:val="0069002F"/>
    <w:rsid w:val="006A5276"/>
    <w:rsid w:val="006B5003"/>
    <w:rsid w:val="006D1DF5"/>
    <w:rsid w:val="006D2C33"/>
    <w:rsid w:val="006E31A6"/>
    <w:rsid w:val="007123F5"/>
    <w:rsid w:val="00731542"/>
    <w:rsid w:val="00751B66"/>
    <w:rsid w:val="007631A5"/>
    <w:rsid w:val="00786910"/>
    <w:rsid w:val="00796EC9"/>
    <w:rsid w:val="007A191A"/>
    <w:rsid w:val="007A46FD"/>
    <w:rsid w:val="007D0D95"/>
    <w:rsid w:val="007D3CD7"/>
    <w:rsid w:val="007F5FD2"/>
    <w:rsid w:val="00815CED"/>
    <w:rsid w:val="00825171"/>
    <w:rsid w:val="0083266D"/>
    <w:rsid w:val="0086305F"/>
    <w:rsid w:val="00872BCB"/>
    <w:rsid w:val="00890556"/>
    <w:rsid w:val="009067DE"/>
    <w:rsid w:val="0091698E"/>
    <w:rsid w:val="00985D49"/>
    <w:rsid w:val="009E2AB5"/>
    <w:rsid w:val="009F054B"/>
    <w:rsid w:val="00A00DA4"/>
    <w:rsid w:val="00A13140"/>
    <w:rsid w:val="00A6072B"/>
    <w:rsid w:val="00A764A9"/>
    <w:rsid w:val="00A861CE"/>
    <w:rsid w:val="00A910EA"/>
    <w:rsid w:val="00A97C14"/>
    <w:rsid w:val="00AE5327"/>
    <w:rsid w:val="00B072B0"/>
    <w:rsid w:val="00B27CF8"/>
    <w:rsid w:val="00B36C82"/>
    <w:rsid w:val="00B5040F"/>
    <w:rsid w:val="00B9059B"/>
    <w:rsid w:val="00B9312D"/>
    <w:rsid w:val="00BB2B61"/>
    <w:rsid w:val="00BF0B5B"/>
    <w:rsid w:val="00C13B62"/>
    <w:rsid w:val="00C234B9"/>
    <w:rsid w:val="00C303E3"/>
    <w:rsid w:val="00C6335B"/>
    <w:rsid w:val="00C65E0E"/>
    <w:rsid w:val="00C83F9D"/>
    <w:rsid w:val="00C92212"/>
    <w:rsid w:val="00CC562F"/>
    <w:rsid w:val="00CF202A"/>
    <w:rsid w:val="00D114B9"/>
    <w:rsid w:val="00D11CA0"/>
    <w:rsid w:val="00D13593"/>
    <w:rsid w:val="00D32542"/>
    <w:rsid w:val="00D34F08"/>
    <w:rsid w:val="00D3778A"/>
    <w:rsid w:val="00D56C78"/>
    <w:rsid w:val="00D61AF7"/>
    <w:rsid w:val="00D7234C"/>
    <w:rsid w:val="00DA0AFE"/>
    <w:rsid w:val="00DD0774"/>
    <w:rsid w:val="00DF74CA"/>
    <w:rsid w:val="00E455EA"/>
    <w:rsid w:val="00EB26D7"/>
    <w:rsid w:val="00EC650E"/>
    <w:rsid w:val="00ED3CAC"/>
    <w:rsid w:val="00EF5964"/>
    <w:rsid w:val="00EF5A5D"/>
    <w:rsid w:val="00F05A4D"/>
    <w:rsid w:val="00F11DCC"/>
    <w:rsid w:val="00F21D1B"/>
    <w:rsid w:val="00F260CB"/>
    <w:rsid w:val="00F75FFA"/>
    <w:rsid w:val="00F84ECE"/>
    <w:rsid w:val="00FB2BC9"/>
    <w:rsid w:val="00FE1044"/>
    <w:rsid w:val="0B5E0830"/>
    <w:rsid w:val="0B75728C"/>
    <w:rsid w:val="20D45F74"/>
    <w:rsid w:val="23652563"/>
    <w:rsid w:val="299D6068"/>
    <w:rsid w:val="39FC2872"/>
    <w:rsid w:val="3A070FA1"/>
    <w:rsid w:val="408214B8"/>
    <w:rsid w:val="44154DB3"/>
    <w:rsid w:val="60FB2ED8"/>
    <w:rsid w:val="66F42B42"/>
    <w:rsid w:val="75D00033"/>
    <w:rsid w:val="76190E6A"/>
    <w:rsid w:val="79F420B1"/>
    <w:rsid w:val="7D94376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locked/>
    <w:uiPriority w:val="99"/>
    <w:rPr>
      <w:rFonts w:cs="Times New Roman"/>
      <w:kern w:val="2"/>
      <w:sz w:val="18"/>
      <w:szCs w:val="18"/>
    </w:rPr>
  </w:style>
  <w:style w:type="character" w:customStyle="1" w:styleId="7">
    <w:name w:val="页脚 Char"/>
    <w:basedOn w:val="4"/>
    <w:link w:val="2"/>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408</Words>
  <Characters>2326</Characters>
  <Lines>19</Lines>
  <Paragraphs>5</Paragraphs>
  <ScaleCrop>false</ScaleCrop>
  <LinksUpToDate>false</LinksUpToDate>
  <CharactersWithSpaces>2729</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2017-04-22T01:43:00Z</dcterms:created>
  <dc:creator>bz</dc:creator>
  <cp:lastModifiedBy>Administrator</cp:lastModifiedBy>
  <cp:lastPrinted>2017-05-27T04:08:00Z</cp:lastPrinted>
  <dcterms:modified xsi:type="dcterms:W3CDTF">2017-05-31T08:03:37Z</dcterms:modified>
  <dc:title>PVC槽体制作 </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