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80" w:lineRule="exact"/>
        <w:jc w:val="center"/>
        <w:rPr>
          <w:rFonts w:eastAsia="黑体"/>
          <w:kern w:val="0"/>
          <w:sz w:val="44"/>
          <w:szCs w:val="44"/>
        </w:rPr>
      </w:pPr>
      <w:r>
        <w:rPr>
          <w:rFonts w:hint="eastAsia" w:hAnsi="宋体" w:eastAsia="黑体" w:cs="宋体"/>
          <w:kern w:val="0"/>
          <w:sz w:val="44"/>
          <w:szCs w:val="44"/>
        </w:rPr>
        <w:t>评 估 委 托 合 同</w:t>
      </w:r>
    </w:p>
    <w:p>
      <w:pPr>
        <w:widowControl/>
        <w:shd w:val="clear" w:color="auto" w:fill="FFFFFF"/>
        <w:autoSpaceDE w:val="0"/>
        <w:snapToGrid w:val="0"/>
        <w:spacing w:line="580" w:lineRule="exact"/>
        <w:ind w:firstLine="482" w:firstLineChars="200"/>
        <w:rPr>
          <w:rFonts w:hint="eastAsia" w:hAnsi="宋体" w:cs="宋体"/>
          <w:b/>
          <w:sz w:val="24"/>
          <w:szCs w:val="20"/>
        </w:rPr>
      </w:pPr>
    </w:p>
    <w:p>
      <w:pPr>
        <w:widowControl/>
        <w:shd w:val="clear" w:color="auto" w:fill="FFFFFF"/>
        <w:autoSpaceDE w:val="0"/>
        <w:snapToGrid w:val="0"/>
        <w:spacing w:line="580" w:lineRule="exact"/>
        <w:ind w:firstLine="482" w:firstLineChars="200"/>
        <w:rPr>
          <w:b/>
          <w:sz w:val="24"/>
          <w:szCs w:val="20"/>
        </w:rPr>
      </w:pPr>
      <w:r>
        <w:rPr>
          <w:rFonts w:hAnsi="宋体" w:cs="宋体"/>
          <w:b/>
          <w:sz w:val="24"/>
          <w:szCs w:val="20"/>
        </w:rPr>
        <w:t>甲</w:t>
      </w:r>
      <w:r>
        <w:rPr>
          <w:rFonts w:hint="eastAsia" w:hAnsi="宋体" w:cs="宋体"/>
          <w:b/>
          <w:sz w:val="24"/>
          <w:szCs w:val="20"/>
        </w:rPr>
        <w:t xml:space="preserve">  </w:t>
      </w:r>
      <w:r>
        <w:rPr>
          <w:rFonts w:hAnsi="宋体" w:cs="宋体"/>
          <w:b/>
          <w:sz w:val="24"/>
          <w:szCs w:val="20"/>
        </w:rPr>
        <w:t>方：</w:t>
      </w:r>
      <w:r>
        <w:rPr>
          <w:rFonts w:hint="eastAsia" w:hAnsi="宋体" w:cs="宋体"/>
          <w:b/>
          <w:kern w:val="0"/>
          <w:sz w:val="24"/>
          <w:szCs w:val="20"/>
        </w:rPr>
        <w:t>包头钢铁（集团）有限责任公司</w:t>
      </w:r>
    </w:p>
    <w:p>
      <w:pPr>
        <w:widowControl/>
        <w:shd w:val="clear" w:color="auto" w:fill="FFFFFF"/>
        <w:autoSpaceDE w:val="0"/>
        <w:snapToGrid w:val="0"/>
        <w:spacing w:line="580" w:lineRule="exact"/>
        <w:ind w:firstLine="480" w:firstLineChars="200"/>
        <w:rPr>
          <w:sz w:val="24"/>
          <w:szCs w:val="20"/>
        </w:rPr>
      </w:pPr>
      <w:r>
        <w:rPr>
          <w:rFonts w:hAnsi="宋体" w:cs="宋体"/>
          <w:sz w:val="24"/>
          <w:szCs w:val="20"/>
        </w:rPr>
        <w:t>地</w:t>
      </w:r>
      <w:r>
        <w:rPr>
          <w:rFonts w:hint="eastAsia" w:hAnsi="宋体" w:cs="宋体"/>
          <w:sz w:val="24"/>
          <w:szCs w:val="20"/>
        </w:rPr>
        <w:t xml:space="preserve">  </w:t>
      </w:r>
      <w:r>
        <w:rPr>
          <w:rFonts w:hAnsi="宋体" w:cs="宋体"/>
          <w:sz w:val="24"/>
          <w:szCs w:val="20"/>
        </w:rPr>
        <w:t>址：</w:t>
      </w:r>
      <w:r>
        <w:rPr>
          <w:rFonts w:hint="eastAsia" w:hAnsi="宋体" w:cs="宋体"/>
          <w:sz w:val="24"/>
          <w:szCs w:val="20"/>
        </w:rPr>
        <w:t>包头市昆区河西工业区</w:t>
      </w:r>
    </w:p>
    <w:p>
      <w:pPr>
        <w:widowControl/>
        <w:shd w:val="clear" w:color="auto" w:fill="FFFFFF"/>
        <w:autoSpaceDE w:val="0"/>
        <w:snapToGrid w:val="0"/>
        <w:spacing w:line="580" w:lineRule="exact"/>
        <w:ind w:firstLine="482" w:firstLineChars="200"/>
        <w:rPr>
          <w:b/>
          <w:sz w:val="24"/>
          <w:szCs w:val="20"/>
        </w:rPr>
      </w:pPr>
      <w:r>
        <w:rPr>
          <w:rFonts w:hAnsi="宋体" w:cs="宋体"/>
          <w:b/>
          <w:sz w:val="24"/>
          <w:szCs w:val="20"/>
        </w:rPr>
        <w:t>乙</w:t>
      </w:r>
      <w:r>
        <w:rPr>
          <w:rFonts w:hint="eastAsia" w:hAnsi="宋体" w:cs="宋体"/>
          <w:b/>
          <w:sz w:val="24"/>
          <w:szCs w:val="20"/>
        </w:rPr>
        <w:t xml:space="preserve">  </w:t>
      </w:r>
      <w:r>
        <w:rPr>
          <w:rFonts w:hAnsi="宋体" w:cs="宋体"/>
          <w:b/>
          <w:sz w:val="24"/>
          <w:szCs w:val="20"/>
        </w:rPr>
        <w:t>方：</w:t>
      </w:r>
    </w:p>
    <w:p>
      <w:pPr>
        <w:widowControl/>
        <w:shd w:val="clear" w:color="auto" w:fill="FFFFFF"/>
        <w:autoSpaceDE w:val="0"/>
        <w:snapToGrid w:val="0"/>
        <w:spacing w:line="580" w:lineRule="exact"/>
        <w:ind w:firstLine="480" w:firstLineChars="200"/>
        <w:rPr>
          <w:sz w:val="24"/>
          <w:szCs w:val="20"/>
        </w:rPr>
      </w:pPr>
      <w:r>
        <w:rPr>
          <w:rFonts w:ascii="宋体" w:hAnsi="宋体" w:cs="宋体"/>
          <w:sz w:val="24"/>
          <w:szCs w:val="20"/>
        </w:rPr>
        <w:t>地址：</w:t>
      </w:r>
    </w:p>
    <w:p>
      <w:pPr>
        <w:widowControl/>
        <w:shd w:val="clear" w:color="auto" w:fill="FFFFFF"/>
        <w:spacing w:line="580" w:lineRule="exact"/>
        <w:ind w:firstLine="480" w:firstLineChars="200"/>
        <w:rPr>
          <w:sz w:val="24"/>
        </w:rPr>
      </w:pPr>
      <w:r>
        <w:rPr>
          <w:rFonts w:ascii="宋体" w:hAnsi="宋体" w:cs="宋体"/>
          <w:sz w:val="24"/>
        </w:rPr>
        <w:t>甲方</w:t>
      </w:r>
      <w:r>
        <w:rPr>
          <w:rFonts w:hint="eastAsia" w:ascii="宋体" w:hAnsi="宋体" w:cs="宋体"/>
          <w:sz w:val="24"/>
        </w:rPr>
        <w:t>拟</w:t>
      </w:r>
      <w:r>
        <w:rPr>
          <w:rFonts w:hint="eastAsia" w:ascii="宋体" w:hAnsi="宋体" w:cs="宋体"/>
          <w:sz w:val="24"/>
          <w:lang w:val="en-US" w:eastAsia="zh-CN"/>
        </w:rPr>
        <w:t>*****</w:t>
      </w:r>
      <w:r>
        <w:rPr>
          <w:rFonts w:ascii="宋体" w:hAnsi="宋体" w:cs="宋体"/>
          <w:sz w:val="24"/>
        </w:rPr>
        <w:t>，依据《中华人民共和国合同法》及《资产评估准则</w:t>
      </w:r>
      <w:r>
        <w:rPr>
          <w:sz w:val="24"/>
        </w:rPr>
        <w:t>-</w:t>
      </w:r>
      <w:r>
        <w:rPr>
          <w:rFonts w:hAnsi="宋体" w:cs="宋体"/>
          <w:sz w:val="24"/>
        </w:rPr>
        <w:t>委托合同》，甲方</w:t>
      </w:r>
      <w:r>
        <w:rPr>
          <w:rFonts w:hint="eastAsia" w:hAnsi="宋体" w:cs="宋体"/>
          <w:sz w:val="24"/>
        </w:rPr>
        <w:t>作为委托方特</w:t>
      </w:r>
      <w:r>
        <w:rPr>
          <w:rFonts w:hAnsi="宋体" w:cs="宋体"/>
          <w:sz w:val="24"/>
        </w:rPr>
        <w:t>委托乙方对</w:t>
      </w:r>
      <w:r>
        <w:rPr>
          <w:rFonts w:hint="eastAsia" w:hAnsi="宋体" w:cs="宋体"/>
          <w:sz w:val="24"/>
        </w:rPr>
        <w:t>本次债转股及转增资本金所涉及的甲方股东全部权益市场价值</w:t>
      </w:r>
      <w:r>
        <w:rPr>
          <w:rFonts w:hAnsi="宋体" w:cs="宋体"/>
          <w:sz w:val="24"/>
        </w:rPr>
        <w:t>进行评估，经双方认真协商达成以下协议：</w:t>
      </w:r>
    </w:p>
    <w:p>
      <w:pPr>
        <w:widowControl/>
        <w:shd w:val="clear" w:color="auto" w:fill="FFFFFF"/>
        <w:spacing w:line="580" w:lineRule="exact"/>
        <w:ind w:firstLine="482" w:firstLineChars="200"/>
        <w:outlineLvl w:val="0"/>
        <w:rPr>
          <w:b/>
          <w:kern w:val="0"/>
          <w:sz w:val="24"/>
        </w:rPr>
      </w:pPr>
      <w:r>
        <w:rPr>
          <w:rFonts w:hAnsi="宋体" w:cs="宋体"/>
          <w:b/>
          <w:kern w:val="0"/>
          <w:sz w:val="24"/>
        </w:rPr>
        <w:t>一、评估要素</w:t>
      </w:r>
    </w:p>
    <w:p>
      <w:pPr>
        <w:widowControl/>
        <w:shd w:val="clear" w:color="auto" w:fill="FFFFFF"/>
        <w:spacing w:line="580" w:lineRule="exact"/>
        <w:ind w:firstLine="480" w:firstLineChars="200"/>
        <w:rPr>
          <w:kern w:val="0"/>
          <w:sz w:val="24"/>
        </w:rPr>
      </w:pPr>
      <w:r>
        <w:rPr>
          <w:kern w:val="0"/>
          <w:sz w:val="24"/>
        </w:rPr>
        <w:t>1</w:t>
      </w:r>
      <w:r>
        <w:rPr>
          <w:rFonts w:hAnsi="宋体" w:cs="宋体"/>
          <w:kern w:val="0"/>
          <w:sz w:val="24"/>
        </w:rPr>
        <w:t>．评估目的：</w:t>
      </w:r>
      <w:r>
        <w:rPr>
          <w:rFonts w:hint="eastAsia" w:hAnsi="宋体" w:cs="宋体"/>
          <w:kern w:val="0"/>
          <w:sz w:val="24"/>
        </w:rPr>
        <w:t>对甲方股东全部权益市场价值进行评估，为</w:t>
      </w:r>
      <w:r>
        <w:rPr>
          <w:rFonts w:hAnsi="宋体" w:cs="宋体"/>
          <w:kern w:val="0"/>
          <w:sz w:val="24"/>
        </w:rPr>
        <w:t>甲方</w:t>
      </w:r>
      <w:r>
        <w:rPr>
          <w:rFonts w:hint="eastAsia" w:hAnsi="宋体" w:cs="宋体"/>
          <w:kern w:val="0"/>
          <w:sz w:val="24"/>
        </w:rPr>
        <w:t>实施债转股及转增资本金之</w:t>
      </w:r>
      <w:r>
        <w:rPr>
          <w:rFonts w:hAnsi="宋体" w:cs="宋体"/>
          <w:sz w:val="24"/>
        </w:rPr>
        <w:t>经济行为提供价值参考</w:t>
      </w:r>
      <w:r>
        <w:rPr>
          <w:rFonts w:hAnsi="宋体" w:cs="宋体"/>
          <w:kern w:val="0"/>
          <w:sz w:val="24"/>
        </w:rPr>
        <w:t>。</w:t>
      </w:r>
    </w:p>
    <w:p>
      <w:pPr>
        <w:widowControl/>
        <w:shd w:val="clear" w:color="auto" w:fill="FFFFFF"/>
        <w:spacing w:line="580" w:lineRule="exact"/>
        <w:ind w:firstLine="480" w:firstLineChars="200"/>
        <w:rPr>
          <w:rFonts w:hint="eastAsia" w:ascii="宋体" w:hAnsi="宋体" w:cs="宋体"/>
          <w:kern w:val="0"/>
          <w:sz w:val="24"/>
        </w:rPr>
      </w:pPr>
      <w:r>
        <w:rPr>
          <w:kern w:val="0"/>
          <w:sz w:val="24"/>
        </w:rPr>
        <w:t>2</w:t>
      </w:r>
      <w:r>
        <w:rPr>
          <w:rFonts w:ascii="宋体" w:hAnsi="宋体" w:cs="宋体"/>
          <w:kern w:val="0"/>
          <w:sz w:val="24"/>
        </w:rPr>
        <w:t>．评估对象</w:t>
      </w:r>
      <w:r>
        <w:rPr>
          <w:rFonts w:hint="eastAsia" w:ascii="宋体" w:hAnsi="宋体" w:cs="宋体"/>
          <w:kern w:val="0"/>
          <w:sz w:val="24"/>
        </w:rPr>
        <w:t>和评估范围</w:t>
      </w:r>
      <w:r>
        <w:rPr>
          <w:rFonts w:ascii="宋体" w:hAnsi="宋体" w:cs="宋体"/>
          <w:kern w:val="0"/>
          <w:sz w:val="24"/>
        </w:rPr>
        <w:t>：</w:t>
      </w:r>
      <w:r>
        <w:rPr>
          <w:rFonts w:hint="eastAsia" w:ascii="宋体" w:hAnsi="宋体" w:cs="宋体"/>
          <w:kern w:val="0"/>
          <w:sz w:val="24"/>
        </w:rPr>
        <w:t>甲方股东全部权益，评估范围为甲方于评估基准日经审定后的全部资产及相关负债，具体以甲方提供的评估申报明细表为准。</w:t>
      </w:r>
    </w:p>
    <w:p>
      <w:pPr>
        <w:widowControl/>
        <w:shd w:val="clear" w:color="auto" w:fill="FFFFFF"/>
        <w:spacing w:line="580" w:lineRule="exact"/>
        <w:ind w:firstLine="480" w:firstLineChars="200"/>
        <w:rPr>
          <w:kern w:val="0"/>
          <w:sz w:val="24"/>
        </w:rPr>
      </w:pPr>
      <w:r>
        <w:rPr>
          <w:kern w:val="0"/>
          <w:sz w:val="24"/>
        </w:rPr>
        <w:t>3</w:t>
      </w:r>
      <w:r>
        <w:rPr>
          <w:rFonts w:ascii="宋体" w:hAnsi="宋体" w:cs="宋体"/>
          <w:kern w:val="0"/>
          <w:sz w:val="24"/>
        </w:rPr>
        <w:t>．评估基准日：</w:t>
      </w:r>
      <w:r>
        <w:rPr>
          <w:kern w:val="0"/>
          <w:sz w:val="24"/>
        </w:rPr>
        <w:t>2017</w:t>
      </w:r>
      <w:r>
        <w:rPr>
          <w:rFonts w:hAnsi="宋体" w:cs="宋体"/>
          <w:kern w:val="0"/>
          <w:sz w:val="24"/>
        </w:rPr>
        <w:t>年</w:t>
      </w:r>
      <w:r>
        <w:rPr>
          <w:rFonts w:hint="eastAsia" w:hAnsi="宋体" w:cs="宋体"/>
          <w:kern w:val="0"/>
          <w:sz w:val="24"/>
          <w:lang w:val="en-US" w:eastAsia="zh-CN"/>
        </w:rPr>
        <w:t xml:space="preserve">   </w:t>
      </w:r>
      <w:r>
        <w:rPr>
          <w:rFonts w:hAnsi="宋体" w:cs="宋体"/>
          <w:kern w:val="0"/>
          <w:sz w:val="24"/>
        </w:rPr>
        <w:t>月</w:t>
      </w:r>
      <w:r>
        <w:rPr>
          <w:rFonts w:hint="eastAsia" w:hAnsi="宋体" w:cs="宋体"/>
          <w:kern w:val="0"/>
          <w:sz w:val="24"/>
          <w:lang w:val="en-US" w:eastAsia="zh-CN"/>
        </w:rPr>
        <w:t xml:space="preserve">   </w:t>
      </w:r>
      <w:r>
        <w:rPr>
          <w:rFonts w:hAnsi="宋体" w:cs="宋体"/>
          <w:kern w:val="0"/>
          <w:sz w:val="24"/>
        </w:rPr>
        <w:t>日。</w:t>
      </w:r>
    </w:p>
    <w:p>
      <w:pPr>
        <w:widowControl/>
        <w:shd w:val="clear" w:color="auto" w:fill="FFFFFF"/>
        <w:spacing w:line="580" w:lineRule="exact"/>
        <w:ind w:firstLine="480" w:firstLineChars="200"/>
        <w:rPr>
          <w:rFonts w:hint="eastAsia" w:hAnsi="宋体" w:cs="宋体"/>
          <w:kern w:val="0"/>
          <w:sz w:val="24"/>
        </w:rPr>
      </w:pPr>
      <w:r>
        <w:rPr>
          <w:kern w:val="0"/>
          <w:sz w:val="24"/>
        </w:rPr>
        <w:t>4</w:t>
      </w:r>
      <w:r>
        <w:rPr>
          <w:rFonts w:hint="eastAsia"/>
          <w:kern w:val="0"/>
          <w:sz w:val="24"/>
        </w:rPr>
        <w:t>．</w:t>
      </w:r>
      <w:r>
        <w:rPr>
          <w:rFonts w:hAnsi="宋体" w:cs="宋体"/>
          <w:kern w:val="0"/>
          <w:sz w:val="24"/>
        </w:rPr>
        <w:t>价值类型：市场价值。</w:t>
      </w:r>
    </w:p>
    <w:p>
      <w:pPr>
        <w:widowControl/>
        <w:shd w:val="clear" w:color="auto" w:fill="FFFFFF"/>
        <w:spacing w:line="580" w:lineRule="exact"/>
        <w:ind w:firstLine="480" w:firstLineChars="200"/>
        <w:rPr>
          <w:kern w:val="0"/>
          <w:sz w:val="24"/>
        </w:rPr>
      </w:pPr>
      <w:r>
        <w:rPr>
          <w:rFonts w:hint="eastAsia"/>
          <w:kern w:val="0"/>
          <w:sz w:val="24"/>
        </w:rPr>
        <w:t>5</w:t>
      </w:r>
      <w:r>
        <w:rPr>
          <w:rFonts w:hAnsi="宋体" w:cs="宋体"/>
          <w:kern w:val="0"/>
          <w:sz w:val="24"/>
        </w:rPr>
        <w:t>．评估报告使用者：</w:t>
      </w:r>
      <w:r>
        <w:rPr>
          <w:rFonts w:hint="eastAsia" w:hAnsi="宋体" w:cs="宋体"/>
          <w:kern w:val="0"/>
          <w:sz w:val="24"/>
        </w:rPr>
        <w:t>甲方</w:t>
      </w:r>
      <w:r>
        <w:rPr>
          <w:rFonts w:hAnsi="宋体" w:cs="宋体"/>
          <w:kern w:val="0"/>
          <w:sz w:val="24"/>
        </w:rPr>
        <w:t>。</w:t>
      </w:r>
    </w:p>
    <w:p>
      <w:pPr>
        <w:widowControl/>
        <w:shd w:val="clear" w:color="auto" w:fill="FFFFFF"/>
        <w:spacing w:line="580" w:lineRule="exact"/>
        <w:ind w:firstLine="480" w:firstLineChars="200"/>
        <w:rPr>
          <w:kern w:val="0"/>
          <w:sz w:val="24"/>
        </w:rPr>
      </w:pPr>
      <w:r>
        <w:rPr>
          <w:rFonts w:hAnsi="宋体" w:cs="宋体"/>
          <w:kern w:val="0"/>
          <w:sz w:val="24"/>
        </w:rPr>
        <w:t>评估报告仅供甲方用于本次评估目的，法律、法规另有规定的除外。</w:t>
      </w:r>
    </w:p>
    <w:p>
      <w:pPr>
        <w:widowControl/>
        <w:shd w:val="clear" w:color="auto" w:fill="FFFFFF"/>
        <w:spacing w:line="580" w:lineRule="exact"/>
        <w:ind w:firstLine="482" w:firstLineChars="200"/>
        <w:outlineLvl w:val="0"/>
        <w:rPr>
          <w:b/>
          <w:sz w:val="24"/>
        </w:rPr>
      </w:pPr>
      <w:r>
        <w:rPr>
          <w:rFonts w:hAnsi="宋体" w:cs="宋体"/>
          <w:b/>
          <w:sz w:val="24"/>
        </w:rPr>
        <w:t>二、甲方的责任和义务</w:t>
      </w:r>
    </w:p>
    <w:p>
      <w:pPr>
        <w:widowControl/>
        <w:shd w:val="clear" w:color="auto" w:fill="FFFFFF"/>
        <w:spacing w:line="580" w:lineRule="exact"/>
        <w:ind w:firstLine="480" w:firstLineChars="200"/>
        <w:rPr>
          <w:sz w:val="24"/>
        </w:rPr>
      </w:pPr>
      <w:r>
        <w:rPr>
          <w:sz w:val="24"/>
        </w:rPr>
        <w:t>1</w:t>
      </w:r>
      <w:r>
        <w:rPr>
          <w:rFonts w:hAnsi="宋体" w:cs="宋体"/>
          <w:sz w:val="24"/>
        </w:rPr>
        <w:t>．甲方根据乙方资产评估工作的需要，安排财务管理人员、资产管理人员等对评估范围内的资产及负债进行清查，根据双方约定的时间完成资产清点和资产申报工作，填报相关资产状况及业务调查表。</w:t>
      </w:r>
    </w:p>
    <w:p>
      <w:pPr>
        <w:widowControl/>
        <w:shd w:val="clear" w:color="auto" w:fill="FFFFFF"/>
        <w:spacing w:line="580" w:lineRule="exact"/>
        <w:ind w:firstLine="480" w:firstLineChars="200"/>
        <w:rPr>
          <w:sz w:val="24"/>
        </w:rPr>
      </w:pPr>
      <w:r>
        <w:rPr>
          <w:sz w:val="24"/>
        </w:rPr>
        <w:t>2</w:t>
      </w:r>
      <w:r>
        <w:rPr>
          <w:rFonts w:hAnsi="宋体" w:cs="宋体"/>
          <w:sz w:val="24"/>
        </w:rPr>
        <w:t>．甲方按约定的日期为乙方提供评估对象法律权属证明文件及其他与评估相关的资料，</w:t>
      </w:r>
      <w:r>
        <w:rPr>
          <w:rFonts w:hAnsi="宋体" w:cs="宋体"/>
          <w:kern w:val="0"/>
          <w:sz w:val="24"/>
        </w:rPr>
        <w:t>并保证所提供资料的真实性、合法性、完整性，</w:t>
      </w:r>
      <w:r>
        <w:rPr>
          <w:rFonts w:hAnsi="宋体" w:cs="宋体"/>
          <w:sz w:val="24"/>
        </w:rPr>
        <w:t>并对其提供的评估明细表、收益预测表及相关证明材料签章确认。</w:t>
      </w:r>
    </w:p>
    <w:p>
      <w:pPr>
        <w:widowControl/>
        <w:shd w:val="clear" w:color="auto" w:fill="FFFFFF"/>
        <w:spacing w:line="580" w:lineRule="exact"/>
        <w:ind w:firstLine="480" w:firstLineChars="200"/>
        <w:rPr>
          <w:sz w:val="24"/>
        </w:rPr>
      </w:pPr>
      <w:r>
        <w:rPr>
          <w:sz w:val="24"/>
        </w:rPr>
        <w:t>3</w:t>
      </w:r>
      <w:r>
        <w:rPr>
          <w:rFonts w:hAnsi="宋体" w:cs="宋体"/>
          <w:sz w:val="24"/>
        </w:rPr>
        <w:t>．恰当使用评估报告是甲方和相关当事方的责任。乙方对甲方和其他评估报告使用者不当使用评估报告所造成的后果不承担责任。</w:t>
      </w:r>
    </w:p>
    <w:p>
      <w:pPr>
        <w:widowControl/>
        <w:shd w:val="clear" w:color="auto" w:fill="FFFFFF"/>
        <w:spacing w:line="580" w:lineRule="exact"/>
        <w:ind w:firstLine="480" w:firstLineChars="200"/>
        <w:rPr>
          <w:sz w:val="24"/>
        </w:rPr>
      </w:pPr>
      <w:r>
        <w:rPr>
          <w:sz w:val="24"/>
        </w:rPr>
        <w:t>4.</w:t>
      </w:r>
      <w:r>
        <w:rPr>
          <w:rFonts w:hAnsi="宋体" w:cs="宋体"/>
          <w:sz w:val="24"/>
        </w:rPr>
        <w:t>甲方或其他评估报告使用者未经乙方书面同意，不得将评估报告的内容摘抄、引用或者披露于公开媒体，法律、法规规定以及相关当事方另有约定的除外。</w:t>
      </w:r>
    </w:p>
    <w:p>
      <w:pPr>
        <w:widowControl/>
        <w:shd w:val="clear" w:color="auto" w:fill="FFFFFF"/>
        <w:spacing w:line="580" w:lineRule="exact"/>
        <w:ind w:firstLine="480" w:firstLineChars="200"/>
        <w:rPr>
          <w:sz w:val="24"/>
        </w:rPr>
      </w:pPr>
      <w:r>
        <w:rPr>
          <w:sz w:val="24"/>
        </w:rPr>
        <w:t>5</w:t>
      </w:r>
      <w:r>
        <w:rPr>
          <w:rFonts w:hAnsi="宋体" w:cs="宋体"/>
          <w:sz w:val="24"/>
        </w:rPr>
        <w:t>．甲方按照本约定书的约定向乙方支付评估费用。</w:t>
      </w:r>
    </w:p>
    <w:p>
      <w:pPr>
        <w:widowControl/>
        <w:shd w:val="clear" w:color="auto" w:fill="FFFFFF"/>
        <w:spacing w:line="580" w:lineRule="exact"/>
        <w:ind w:firstLine="482" w:firstLineChars="200"/>
        <w:outlineLvl w:val="0"/>
        <w:rPr>
          <w:b/>
          <w:sz w:val="24"/>
        </w:rPr>
      </w:pPr>
      <w:r>
        <w:rPr>
          <w:rFonts w:hAnsi="宋体" w:cs="宋体"/>
          <w:b/>
          <w:sz w:val="24"/>
        </w:rPr>
        <w:t>三、乙方的责任和义务</w:t>
      </w:r>
    </w:p>
    <w:p>
      <w:pPr>
        <w:widowControl/>
        <w:shd w:val="clear" w:color="auto" w:fill="FFFFFF"/>
        <w:spacing w:line="580" w:lineRule="exact"/>
        <w:ind w:firstLine="480" w:firstLineChars="200"/>
        <w:rPr>
          <w:sz w:val="24"/>
        </w:rPr>
      </w:pPr>
      <w:r>
        <w:rPr>
          <w:sz w:val="24"/>
        </w:rPr>
        <w:t>1</w:t>
      </w:r>
      <w:r>
        <w:rPr>
          <w:rFonts w:hAnsi="宋体" w:cs="宋体"/>
          <w:sz w:val="24"/>
        </w:rPr>
        <w:t>．甲方完成资产清查和评估申报、填报相关资产状况及业务调查表后，乙方组织</w:t>
      </w:r>
      <w:r>
        <w:rPr>
          <w:rFonts w:hint="eastAsia" w:hAnsi="宋体" w:cs="宋体"/>
          <w:sz w:val="24"/>
        </w:rPr>
        <w:t>具有相应评估资质的</w:t>
      </w:r>
      <w:r>
        <w:rPr>
          <w:rFonts w:hAnsi="宋体" w:cs="宋体"/>
          <w:sz w:val="24"/>
        </w:rPr>
        <w:t>评估人员到现场执行评估业务。</w:t>
      </w:r>
    </w:p>
    <w:p>
      <w:pPr>
        <w:widowControl/>
        <w:shd w:val="clear" w:color="auto" w:fill="FFFFFF"/>
        <w:spacing w:line="580" w:lineRule="exact"/>
        <w:ind w:firstLine="480" w:firstLineChars="200"/>
        <w:rPr>
          <w:sz w:val="24"/>
        </w:rPr>
      </w:pPr>
      <w:r>
        <w:rPr>
          <w:sz w:val="24"/>
        </w:rPr>
        <w:t>2</w:t>
      </w:r>
      <w:r>
        <w:rPr>
          <w:rFonts w:hAnsi="宋体" w:cs="宋体"/>
          <w:sz w:val="24"/>
        </w:rPr>
        <w:t>．遵守相关法律、法规和资产评估准则，对评估对象在评估基准日特定目的下的价值进行分析、估算并发表专业意见，并对资产评估报告的合理性、合法性负责。</w:t>
      </w:r>
    </w:p>
    <w:p>
      <w:pPr>
        <w:widowControl/>
        <w:shd w:val="clear" w:color="auto" w:fill="FFFFFF"/>
        <w:spacing w:line="580" w:lineRule="exact"/>
        <w:ind w:firstLine="480" w:firstLineChars="200"/>
        <w:rPr>
          <w:rFonts w:hint="eastAsia" w:hAnsi="宋体" w:cs="宋体"/>
          <w:color w:val="FF0000"/>
          <w:sz w:val="24"/>
        </w:rPr>
      </w:pPr>
      <w:r>
        <w:rPr>
          <w:sz w:val="24"/>
        </w:rPr>
        <w:t>3</w:t>
      </w:r>
      <w:r>
        <w:rPr>
          <w:rFonts w:hAnsi="宋体" w:cs="宋体"/>
          <w:sz w:val="24"/>
        </w:rPr>
        <w:t>．按照本</w:t>
      </w:r>
      <w:r>
        <w:rPr>
          <w:rFonts w:hint="eastAsia" w:hAnsi="宋体" w:cs="宋体"/>
          <w:sz w:val="24"/>
        </w:rPr>
        <w:t>评估委托合同</w:t>
      </w:r>
      <w:r>
        <w:rPr>
          <w:rFonts w:hAnsi="宋体" w:cs="宋体"/>
          <w:sz w:val="24"/>
        </w:rPr>
        <w:t>的约定，完成评估工作并提交符合资产评估准则的评估报告</w:t>
      </w:r>
      <w:r>
        <w:rPr>
          <w:rFonts w:hint="eastAsia" w:hAnsi="宋体" w:cs="宋体"/>
          <w:sz w:val="24"/>
        </w:rPr>
        <w:t>。</w:t>
      </w:r>
    </w:p>
    <w:p>
      <w:pPr>
        <w:widowControl/>
        <w:shd w:val="clear" w:color="auto" w:fill="FFFFFF"/>
        <w:spacing w:line="580" w:lineRule="exact"/>
        <w:ind w:firstLine="480" w:firstLineChars="200"/>
        <w:rPr>
          <w:color w:val="000000"/>
          <w:sz w:val="24"/>
        </w:rPr>
      </w:pPr>
      <w:r>
        <w:rPr>
          <w:rFonts w:hint="eastAsia" w:hAnsi="宋体" w:cs="宋体"/>
          <w:color w:val="000000"/>
          <w:sz w:val="24"/>
        </w:rPr>
        <w:t>4．乙方向甲方</w:t>
      </w:r>
      <w:r>
        <w:rPr>
          <w:rFonts w:hint="eastAsia" w:hAnsi="宋体" w:cs="宋体"/>
          <w:color w:val="000000"/>
          <w:sz w:val="24"/>
          <w:lang w:eastAsia="zh-CN"/>
        </w:rPr>
        <w:t>提供的</w:t>
      </w:r>
      <w:r>
        <w:rPr>
          <w:rFonts w:hint="eastAsia" w:hAnsi="宋体" w:cs="宋体"/>
          <w:color w:val="000000"/>
          <w:sz w:val="24"/>
        </w:rPr>
        <w:t>资产评估报告</w:t>
      </w:r>
      <w:r>
        <w:rPr>
          <w:rFonts w:hint="eastAsia" w:hAnsi="宋体" w:cs="宋体"/>
          <w:color w:val="000000"/>
          <w:sz w:val="24"/>
          <w:lang w:eastAsia="zh-CN"/>
        </w:rPr>
        <w:t>分项包括</w:t>
      </w:r>
      <w:r>
        <w:rPr>
          <w:rFonts w:hint="eastAsia" w:hAnsi="宋体" w:cs="宋体"/>
          <w:color w:val="000000"/>
          <w:sz w:val="24"/>
          <w:lang w:val="en-US" w:eastAsia="zh-CN"/>
        </w:rPr>
        <w:t>****</w:t>
      </w:r>
      <w:r>
        <w:rPr>
          <w:rFonts w:hint="eastAsia" w:hAnsi="宋体" w:cs="宋体"/>
          <w:color w:val="000000"/>
          <w:sz w:val="24"/>
        </w:rPr>
        <w:t>。</w:t>
      </w:r>
    </w:p>
    <w:p>
      <w:pPr>
        <w:widowControl/>
        <w:shd w:val="clear" w:color="auto" w:fill="FFFFFF"/>
        <w:spacing w:line="580" w:lineRule="exact"/>
        <w:ind w:firstLine="480" w:firstLineChars="200"/>
        <w:rPr>
          <w:rFonts w:hint="eastAsia" w:hAnsi="宋体" w:cs="宋体"/>
          <w:sz w:val="24"/>
        </w:rPr>
      </w:pPr>
      <w:r>
        <w:rPr>
          <w:rFonts w:hint="eastAsia"/>
          <w:sz w:val="24"/>
        </w:rPr>
        <w:t>5</w:t>
      </w:r>
      <w:r>
        <w:rPr>
          <w:rFonts w:ascii="宋体" w:hAnsi="宋体" w:cs="宋体"/>
          <w:sz w:val="24"/>
        </w:rPr>
        <w:t>．除下列情况外，乙方及其相关工作人员应当对执行业务过程中知悉的甲方、被评估单位一切未公开披露信息予以保密：（</w:t>
      </w:r>
      <w:r>
        <w:rPr>
          <w:sz w:val="24"/>
        </w:rPr>
        <w:t>1</w:t>
      </w:r>
      <w:r>
        <w:rPr>
          <w:rFonts w:ascii="宋体" w:hAnsi="宋体" w:cs="宋体"/>
          <w:sz w:val="24"/>
        </w:rPr>
        <w:t>）取得甲方、被评估单位的书面授权；（</w:t>
      </w:r>
      <w:r>
        <w:rPr>
          <w:sz w:val="24"/>
        </w:rPr>
        <w:t>2</w:t>
      </w:r>
      <w:r>
        <w:rPr>
          <w:rFonts w:ascii="宋体" w:hAnsi="宋体" w:cs="宋体"/>
          <w:sz w:val="24"/>
        </w:rPr>
        <w:t>）根据法律法规的规定，为法律诉讼准备文件或提供证据，以及向监管机构报告发现的违反法规行为；（</w:t>
      </w:r>
      <w:r>
        <w:rPr>
          <w:sz w:val="24"/>
        </w:rPr>
        <w:t>3</w:t>
      </w:r>
      <w:r>
        <w:rPr>
          <w:rFonts w:ascii="宋体" w:hAnsi="宋体" w:cs="宋体"/>
          <w:sz w:val="24"/>
        </w:rPr>
        <w:t>）接受行业协会和监管机构依法进行的质量检查；（</w:t>
      </w:r>
      <w:r>
        <w:rPr>
          <w:sz w:val="24"/>
        </w:rPr>
        <w:t>4</w:t>
      </w:r>
      <w:r>
        <w:rPr>
          <w:rFonts w:hAnsi="宋体" w:cs="宋体"/>
          <w:sz w:val="24"/>
        </w:rPr>
        <w:t>）监管机构对乙方进行行政处罚（包括监管机构处罚前的调查、听证）以及乙方对此提起行政复议。</w:t>
      </w:r>
    </w:p>
    <w:p>
      <w:pPr>
        <w:widowControl/>
        <w:shd w:val="clear" w:color="auto" w:fill="FFFFFF"/>
        <w:spacing w:line="580" w:lineRule="exact"/>
        <w:ind w:firstLine="480" w:firstLineChars="200"/>
        <w:rPr>
          <w:rFonts w:hint="eastAsia"/>
          <w:sz w:val="24"/>
        </w:rPr>
      </w:pPr>
      <w:r>
        <w:rPr>
          <w:rFonts w:hint="eastAsia" w:hAnsi="宋体" w:cs="宋体"/>
          <w:sz w:val="24"/>
        </w:rPr>
        <w:t>6．</w:t>
      </w:r>
      <w:r>
        <w:rPr>
          <w:rFonts w:hint="eastAsia"/>
          <w:kern w:val="0"/>
          <w:sz w:val="24"/>
        </w:rPr>
        <w:t>在甲方及甲方下属各单位能够完全配合乙方工作的前提下，乙方应在收到甲方通知进场工作之日起</w:t>
      </w:r>
      <w:r>
        <w:rPr>
          <w:rFonts w:hint="eastAsia"/>
          <w:kern w:val="0"/>
          <w:sz w:val="24"/>
          <w:lang w:val="en-US" w:eastAsia="zh-CN"/>
        </w:rPr>
        <w:t xml:space="preserve">    </w:t>
      </w:r>
      <w:r>
        <w:rPr>
          <w:rFonts w:hint="eastAsia"/>
          <w:kern w:val="0"/>
          <w:sz w:val="24"/>
        </w:rPr>
        <w:t>个月内完成评估工作，向甲方提交《资产评估报告》并协助甲方完成备案工作。</w:t>
      </w:r>
    </w:p>
    <w:p>
      <w:pPr>
        <w:widowControl/>
        <w:shd w:val="clear" w:color="auto" w:fill="FFFFFF"/>
        <w:spacing w:line="580" w:lineRule="exact"/>
        <w:ind w:firstLine="482" w:firstLineChars="200"/>
        <w:outlineLvl w:val="0"/>
        <w:rPr>
          <w:b/>
          <w:sz w:val="24"/>
        </w:rPr>
      </w:pPr>
      <w:r>
        <w:rPr>
          <w:rFonts w:hAnsi="宋体" w:cs="宋体"/>
          <w:b/>
          <w:sz w:val="24"/>
        </w:rPr>
        <w:t>四、评估费用及支付方式</w:t>
      </w:r>
    </w:p>
    <w:p>
      <w:pPr>
        <w:spacing w:line="580" w:lineRule="exact"/>
        <w:ind w:firstLine="480" w:firstLineChars="200"/>
        <w:rPr>
          <w:sz w:val="24"/>
        </w:rPr>
      </w:pPr>
      <w:r>
        <w:rPr>
          <w:rFonts w:ascii="宋体" w:hAnsi="宋体" w:cs="宋体"/>
          <w:sz w:val="24"/>
        </w:rPr>
        <w:t>根据评估机构收费标准，本次评估费用确定为人民币</w:t>
      </w:r>
      <w:r>
        <w:rPr>
          <w:rFonts w:hint="eastAsia" w:ascii="宋体" w:hAnsi="宋体" w:cs="宋体"/>
          <w:sz w:val="24"/>
          <w:lang w:val="en-US" w:eastAsia="zh-CN"/>
        </w:rPr>
        <w:t xml:space="preserve">     元整</w:t>
      </w:r>
      <w:r>
        <w:rPr>
          <w:rFonts w:hAnsi="宋体" w:cs="宋体"/>
          <w:sz w:val="24"/>
        </w:rPr>
        <w:t>。</w:t>
      </w:r>
      <w:r>
        <w:rPr>
          <w:sz w:val="24"/>
        </w:rPr>
        <w:t>此评估费用包含</w:t>
      </w:r>
      <w:r>
        <w:rPr>
          <w:rFonts w:hint="eastAsia"/>
          <w:sz w:val="24"/>
        </w:rPr>
        <w:t>增值税及</w:t>
      </w:r>
      <w:r>
        <w:rPr>
          <w:sz w:val="24"/>
        </w:rPr>
        <w:t>差旅费（全部资产评估业务人员为本项目所发生的由评估机构所在地至工作现场的交通费用及工作现场发生的食宿费等现场工作费用）</w:t>
      </w:r>
      <w:r>
        <w:rPr>
          <w:rFonts w:hint="eastAsia"/>
          <w:sz w:val="24"/>
          <w:lang w:eastAsia="zh-CN"/>
        </w:rPr>
        <w:t>，甲方不再额外支付或承担任何费用</w:t>
      </w:r>
      <w:r>
        <w:rPr>
          <w:sz w:val="24"/>
        </w:rPr>
        <w:t>。评估费用是以下述条件为基础计算的：</w:t>
      </w:r>
    </w:p>
    <w:p>
      <w:pPr>
        <w:spacing w:line="580" w:lineRule="exact"/>
        <w:ind w:firstLine="480" w:firstLineChars="200"/>
        <w:rPr>
          <w:sz w:val="24"/>
        </w:rPr>
      </w:pPr>
      <w:r>
        <w:rPr>
          <w:sz w:val="24"/>
        </w:rPr>
        <w:t>1．甲方的评估范围及评估工作内容按此约定书的有关条款所约定。</w:t>
      </w:r>
    </w:p>
    <w:p>
      <w:pPr>
        <w:spacing w:line="580" w:lineRule="exact"/>
        <w:ind w:firstLine="480" w:firstLineChars="200"/>
        <w:rPr>
          <w:sz w:val="24"/>
        </w:rPr>
      </w:pPr>
      <w:r>
        <w:rPr>
          <w:sz w:val="24"/>
        </w:rPr>
        <w:t>2．甲方、乙方履行本约定书所规定的各自的责任和义务。</w:t>
      </w:r>
    </w:p>
    <w:p>
      <w:pPr>
        <w:spacing w:line="580" w:lineRule="exact"/>
        <w:ind w:firstLine="480" w:firstLineChars="200"/>
        <w:rPr>
          <w:sz w:val="24"/>
        </w:rPr>
      </w:pPr>
      <w:r>
        <w:rPr>
          <w:sz w:val="24"/>
        </w:rPr>
        <w:t>3．费用支付方式。</w:t>
      </w:r>
    </w:p>
    <w:p>
      <w:pPr>
        <w:widowControl/>
        <w:shd w:val="clear" w:color="auto" w:fill="FFFFFF"/>
        <w:spacing w:line="580" w:lineRule="exact"/>
        <w:ind w:firstLine="480" w:firstLineChars="200"/>
        <w:rPr>
          <w:rFonts w:hint="eastAsia"/>
          <w:sz w:val="24"/>
        </w:rPr>
      </w:pPr>
      <w:r>
        <w:rPr>
          <w:rFonts w:hint="eastAsia"/>
          <w:sz w:val="24"/>
        </w:rPr>
        <w:t>乙方向甲方提交最终资产评估报告并开具增值税专用发票后的15个工作日内，甲方向乙方支付全部评估费用，即人民币</w:t>
      </w:r>
      <w:r>
        <w:rPr>
          <w:rFonts w:hint="eastAsia"/>
          <w:sz w:val="24"/>
          <w:lang w:val="en-US" w:eastAsia="zh-CN"/>
        </w:rPr>
        <w:t xml:space="preserve">     万元（      </w:t>
      </w:r>
      <w:r>
        <w:rPr>
          <w:rFonts w:hint="eastAsia"/>
          <w:sz w:val="24"/>
        </w:rPr>
        <w:t>万元整</w:t>
      </w:r>
      <w:r>
        <w:rPr>
          <w:rFonts w:hint="eastAsia"/>
          <w:sz w:val="24"/>
          <w:lang w:val="en-US" w:eastAsia="zh-CN"/>
        </w:rPr>
        <w:t>）</w:t>
      </w:r>
      <w:r>
        <w:rPr>
          <w:rFonts w:hint="eastAsia"/>
          <w:sz w:val="24"/>
        </w:rPr>
        <w:t>。</w:t>
      </w:r>
    </w:p>
    <w:p>
      <w:pPr>
        <w:widowControl/>
        <w:shd w:val="clear" w:color="auto" w:fill="FFFFFF"/>
        <w:spacing w:line="580" w:lineRule="exact"/>
        <w:ind w:firstLine="480" w:firstLineChars="200"/>
        <w:rPr>
          <w:sz w:val="24"/>
        </w:rPr>
      </w:pPr>
      <w:r>
        <w:rPr>
          <w:rFonts w:hAnsi="宋体" w:cs="宋体"/>
          <w:sz w:val="24"/>
        </w:rPr>
        <w:t>乙方指定的银行</w:t>
      </w:r>
      <w:r>
        <w:rPr>
          <w:rFonts w:hint="eastAsia" w:hAnsi="宋体" w:cs="宋体"/>
          <w:sz w:val="24"/>
        </w:rPr>
        <w:t>账</w:t>
      </w:r>
      <w:r>
        <w:rPr>
          <w:rFonts w:hAnsi="宋体" w:cs="宋体"/>
          <w:sz w:val="24"/>
        </w:rPr>
        <w:t>户为：</w:t>
      </w:r>
    </w:p>
    <w:p>
      <w:pPr>
        <w:widowControl/>
        <w:shd w:val="clear" w:color="auto" w:fill="FFFFFF"/>
        <w:spacing w:line="580" w:lineRule="exact"/>
        <w:ind w:firstLine="482" w:firstLineChars="200"/>
        <w:rPr>
          <w:b/>
          <w:sz w:val="24"/>
        </w:rPr>
      </w:pPr>
      <w:r>
        <w:rPr>
          <w:rFonts w:hAnsi="宋体" w:cs="宋体"/>
          <w:b/>
          <w:sz w:val="24"/>
        </w:rPr>
        <w:t>户名：</w:t>
      </w:r>
    </w:p>
    <w:p>
      <w:pPr>
        <w:widowControl/>
        <w:shd w:val="clear" w:color="auto" w:fill="FFFFFF"/>
        <w:spacing w:line="580" w:lineRule="exact"/>
        <w:ind w:firstLine="482" w:firstLineChars="200"/>
        <w:rPr>
          <w:b/>
          <w:sz w:val="24"/>
        </w:rPr>
      </w:pPr>
      <w:r>
        <w:rPr>
          <w:rFonts w:ascii="宋体" w:hAnsi="宋体" w:cs="宋体"/>
          <w:b/>
          <w:sz w:val="24"/>
        </w:rPr>
        <w:t>账号：</w:t>
      </w:r>
    </w:p>
    <w:p>
      <w:pPr>
        <w:widowControl/>
        <w:shd w:val="clear" w:color="auto" w:fill="FFFFFF"/>
        <w:spacing w:line="580" w:lineRule="exact"/>
        <w:ind w:firstLine="482" w:firstLineChars="200"/>
        <w:rPr>
          <w:b/>
          <w:sz w:val="24"/>
        </w:rPr>
      </w:pPr>
      <w:r>
        <w:rPr>
          <w:rFonts w:hAnsi="宋体" w:cs="宋体"/>
          <w:b/>
          <w:sz w:val="24"/>
        </w:rPr>
        <w:t>开户行：</w:t>
      </w:r>
    </w:p>
    <w:p>
      <w:pPr>
        <w:widowControl/>
        <w:shd w:val="clear" w:color="auto" w:fill="FFFFFF"/>
        <w:spacing w:line="580" w:lineRule="exact"/>
        <w:ind w:firstLine="480" w:firstLineChars="200"/>
        <w:rPr>
          <w:rFonts w:hint="eastAsia" w:hAnsi="宋体" w:cs="宋体"/>
          <w:sz w:val="24"/>
        </w:rPr>
      </w:pPr>
      <w:r>
        <w:rPr>
          <w:sz w:val="24"/>
        </w:rPr>
        <w:t>4</w:t>
      </w:r>
      <w:r>
        <w:rPr>
          <w:rFonts w:hAnsi="宋体" w:cs="宋体"/>
          <w:sz w:val="24"/>
        </w:rPr>
        <w:t>．</w:t>
      </w:r>
      <w:r>
        <w:rPr>
          <w:rFonts w:hint="eastAsia" w:hAnsi="宋体" w:cs="宋体"/>
          <w:sz w:val="24"/>
          <w:lang w:eastAsia="zh-CN"/>
        </w:rPr>
        <w:t>如因乙方原因无法</w:t>
      </w:r>
      <w:r>
        <w:rPr>
          <w:rFonts w:hint="eastAsia" w:hAnsi="宋体" w:cs="宋体"/>
          <w:sz w:val="24"/>
        </w:rPr>
        <w:t>进驻评估现场</w:t>
      </w:r>
      <w:r>
        <w:rPr>
          <w:rFonts w:hint="eastAsia" w:hAnsi="宋体" w:cs="宋体"/>
          <w:sz w:val="24"/>
          <w:lang w:eastAsia="zh-CN"/>
        </w:rPr>
        <w:t>或者无法出具</w:t>
      </w:r>
      <w:r>
        <w:rPr>
          <w:rFonts w:hint="eastAsia" w:hAnsi="宋体" w:cs="宋体"/>
          <w:sz w:val="24"/>
        </w:rPr>
        <w:t>评估报告</w:t>
      </w:r>
      <w:r>
        <w:rPr>
          <w:rFonts w:hint="eastAsia" w:hAnsi="宋体" w:cs="宋体"/>
          <w:sz w:val="24"/>
          <w:lang w:eastAsia="zh-CN"/>
        </w:rPr>
        <w:t>（无论初稿或者</w:t>
      </w:r>
      <w:r>
        <w:rPr>
          <w:rFonts w:hint="eastAsia"/>
          <w:sz w:val="24"/>
        </w:rPr>
        <w:t>最终资产评估报告</w:t>
      </w:r>
      <w:r>
        <w:rPr>
          <w:rFonts w:hint="eastAsia" w:hAnsi="宋体" w:cs="宋体"/>
          <w:sz w:val="24"/>
          <w:lang w:eastAsia="zh-CN"/>
        </w:rPr>
        <w:t>），甲方将不向乙方支付任何评估费用。</w:t>
      </w:r>
    </w:p>
    <w:p>
      <w:pPr>
        <w:widowControl/>
        <w:shd w:val="clear" w:color="auto" w:fill="FFFFFF"/>
        <w:spacing w:line="580" w:lineRule="exact"/>
        <w:ind w:firstLine="480" w:firstLineChars="200"/>
        <w:rPr>
          <w:rFonts w:hint="eastAsia" w:hAnsi="宋体" w:cs="宋体"/>
          <w:sz w:val="24"/>
        </w:rPr>
      </w:pPr>
      <w:r>
        <w:rPr>
          <w:rFonts w:hint="eastAsia" w:hAnsi="宋体" w:cs="宋体"/>
          <w:sz w:val="24"/>
          <w:lang w:val="en-US" w:eastAsia="zh-CN"/>
        </w:rPr>
        <w:t>5.</w:t>
      </w:r>
      <w:r>
        <w:rPr>
          <w:rFonts w:hint="eastAsia" w:hAnsi="宋体" w:cs="宋体"/>
          <w:sz w:val="24"/>
        </w:rPr>
        <w:t>如果由于无法预见的原因或由于甲方其他原因，甲方需要对乙方所承担的评估项目进行调整时，甲方需及时告知乙方，并在双方协商一致的情况下，甲方按照项目调整后乙方实际完成的评估项目及成交通知书中各项报告的报价金额，为乙方支付评估服务费。</w:t>
      </w:r>
    </w:p>
    <w:p>
      <w:pPr>
        <w:spacing w:line="580" w:lineRule="exact"/>
        <w:ind w:firstLine="482" w:firstLineChars="200"/>
        <w:outlineLvl w:val="0"/>
        <w:rPr>
          <w:b/>
          <w:sz w:val="24"/>
        </w:rPr>
      </w:pPr>
      <w:r>
        <w:rPr>
          <w:b/>
          <w:sz w:val="24"/>
        </w:rPr>
        <w:t>五、关于评估报告是否可以被摘抄、引用或者披露于公开媒体的特别约定</w:t>
      </w:r>
    </w:p>
    <w:p>
      <w:pPr>
        <w:spacing w:line="580" w:lineRule="exact"/>
        <w:ind w:firstLine="480" w:firstLineChars="200"/>
        <w:rPr>
          <w:sz w:val="24"/>
        </w:rPr>
      </w:pPr>
      <w:r>
        <w:rPr>
          <w:sz w:val="24"/>
        </w:rPr>
        <w:t>1．未征得乙方书面同意，本报告不可以被摘抄、引用，披露于公开媒体。</w:t>
      </w:r>
    </w:p>
    <w:p>
      <w:pPr>
        <w:spacing w:line="580" w:lineRule="exact"/>
        <w:ind w:firstLine="480" w:firstLineChars="200"/>
        <w:rPr>
          <w:sz w:val="24"/>
        </w:rPr>
      </w:pPr>
      <w:r>
        <w:rPr>
          <w:sz w:val="24"/>
        </w:rPr>
        <w:t>2．恰当理解和使用评估报告是委托方和相关当事方的责任。</w:t>
      </w:r>
    </w:p>
    <w:p>
      <w:pPr>
        <w:spacing w:line="580" w:lineRule="exact"/>
        <w:ind w:firstLine="480" w:firstLineChars="200"/>
        <w:rPr>
          <w:sz w:val="24"/>
        </w:rPr>
      </w:pPr>
      <w:r>
        <w:rPr>
          <w:sz w:val="24"/>
        </w:rPr>
        <w:t>3．乙方对委托方和其他评估报告使用者不当使用评估报告所造成的后果不承担责任。</w:t>
      </w:r>
    </w:p>
    <w:p>
      <w:pPr>
        <w:widowControl/>
        <w:shd w:val="clear" w:color="auto" w:fill="FFFFFF"/>
        <w:spacing w:line="580" w:lineRule="exact"/>
        <w:ind w:firstLine="482" w:firstLineChars="200"/>
        <w:outlineLvl w:val="0"/>
        <w:rPr>
          <w:b/>
          <w:sz w:val="24"/>
        </w:rPr>
      </w:pPr>
      <w:r>
        <w:rPr>
          <w:rFonts w:hAnsi="宋体" w:cs="宋体"/>
          <w:b/>
          <w:sz w:val="24"/>
        </w:rPr>
        <w:t>六、委托合同的变更</w:t>
      </w:r>
    </w:p>
    <w:p>
      <w:pPr>
        <w:widowControl/>
        <w:shd w:val="clear" w:color="auto" w:fill="FFFFFF"/>
        <w:spacing w:line="580" w:lineRule="exact"/>
        <w:ind w:firstLine="480" w:firstLineChars="200"/>
        <w:rPr>
          <w:kern w:val="0"/>
          <w:sz w:val="24"/>
        </w:rPr>
      </w:pPr>
      <w:r>
        <w:rPr>
          <w:kern w:val="0"/>
          <w:sz w:val="24"/>
        </w:rPr>
        <w:t>1</w:t>
      </w:r>
      <w:r>
        <w:rPr>
          <w:rFonts w:hAnsi="宋体" w:cs="宋体"/>
          <w:sz w:val="24"/>
        </w:rPr>
        <w:t>．</w:t>
      </w:r>
      <w:r>
        <w:rPr>
          <w:rFonts w:hAnsi="宋体" w:cs="宋体"/>
          <w:kern w:val="0"/>
          <w:sz w:val="24"/>
        </w:rPr>
        <w:t>本委托合同执行过程中，如发现相关事项约定不明确，或者履行评估程序受到限制需要增加、调整约定事项的，甲乙双方可以协商对委托合同相关条款进行变更，并签订补充协议或者重新签订委托合同。</w:t>
      </w:r>
    </w:p>
    <w:p>
      <w:pPr>
        <w:widowControl/>
        <w:shd w:val="clear" w:color="auto" w:fill="FFFFFF"/>
        <w:spacing w:line="580" w:lineRule="exact"/>
        <w:ind w:firstLine="480" w:firstLineChars="200"/>
        <w:rPr>
          <w:kern w:val="0"/>
          <w:sz w:val="24"/>
        </w:rPr>
      </w:pPr>
      <w:r>
        <w:rPr>
          <w:kern w:val="0"/>
          <w:sz w:val="24"/>
        </w:rPr>
        <w:t>2</w:t>
      </w:r>
      <w:r>
        <w:rPr>
          <w:rFonts w:hAnsi="宋体" w:cs="宋体"/>
          <w:sz w:val="24"/>
        </w:rPr>
        <w:t>．</w:t>
      </w:r>
      <w:r>
        <w:rPr>
          <w:rFonts w:hAnsi="宋体" w:cs="宋体"/>
          <w:kern w:val="0"/>
          <w:sz w:val="24"/>
        </w:rPr>
        <w:t>签订本约定书后或执行本委托合同过程中，评估目的、评估对象、评估范围、评估基准日等评估要素发生变化，甲乙双方签订补充协议或者重新签订委托合同。</w:t>
      </w:r>
    </w:p>
    <w:p>
      <w:pPr>
        <w:widowControl/>
        <w:shd w:val="clear" w:color="auto" w:fill="FFFFFF"/>
        <w:spacing w:line="580" w:lineRule="exact"/>
        <w:ind w:firstLine="482" w:firstLineChars="200"/>
        <w:outlineLvl w:val="0"/>
        <w:rPr>
          <w:b/>
          <w:sz w:val="24"/>
        </w:rPr>
      </w:pPr>
      <w:r>
        <w:rPr>
          <w:rFonts w:hAnsi="宋体" w:cs="宋体"/>
          <w:b/>
          <w:sz w:val="24"/>
        </w:rPr>
        <w:t>七、违约责任和争议的解决</w:t>
      </w:r>
    </w:p>
    <w:p>
      <w:pPr>
        <w:widowControl/>
        <w:shd w:val="clear" w:color="auto" w:fill="FFFFFF"/>
        <w:spacing w:line="580" w:lineRule="exact"/>
        <w:ind w:firstLine="480" w:firstLineChars="200"/>
        <w:rPr>
          <w:kern w:val="0"/>
          <w:sz w:val="24"/>
        </w:rPr>
      </w:pPr>
      <w:r>
        <w:rPr>
          <w:kern w:val="0"/>
          <w:sz w:val="24"/>
        </w:rPr>
        <w:t>1</w:t>
      </w:r>
      <w:r>
        <w:rPr>
          <w:rFonts w:hAnsi="宋体" w:cs="宋体"/>
          <w:sz w:val="24"/>
        </w:rPr>
        <w:t>．</w:t>
      </w:r>
      <w:r>
        <w:rPr>
          <w:rFonts w:hAnsi="宋体" w:cs="宋体"/>
          <w:kern w:val="0"/>
          <w:sz w:val="24"/>
        </w:rPr>
        <w:t>因不可抗力导致双方或某一方无法履行本委托合同，根据不可抗力的影响，可部分或者全部免除无法履约方的责任，法律另有规定的除外。</w:t>
      </w:r>
    </w:p>
    <w:p>
      <w:pPr>
        <w:widowControl/>
        <w:shd w:val="clear" w:color="auto" w:fill="FFFFFF"/>
        <w:spacing w:line="580" w:lineRule="exact"/>
        <w:ind w:firstLine="480" w:firstLineChars="200"/>
        <w:rPr>
          <w:kern w:val="0"/>
          <w:sz w:val="24"/>
        </w:rPr>
      </w:pPr>
      <w:r>
        <w:rPr>
          <w:kern w:val="0"/>
          <w:sz w:val="24"/>
        </w:rPr>
        <w:t>2</w:t>
      </w:r>
      <w:r>
        <w:rPr>
          <w:rFonts w:hAnsi="宋体" w:cs="宋体"/>
          <w:sz w:val="24"/>
        </w:rPr>
        <w:t>．</w:t>
      </w:r>
      <w:r>
        <w:rPr>
          <w:rFonts w:hAnsi="宋体" w:cs="宋体"/>
          <w:kern w:val="0"/>
          <w:sz w:val="24"/>
        </w:rPr>
        <w:t>甲方或乙方如因一方违反本约定书，应根据《中华人民共和国合同法》的有关规定，向对方支付违约金。</w:t>
      </w:r>
    </w:p>
    <w:p>
      <w:pPr>
        <w:widowControl/>
        <w:shd w:val="clear" w:color="auto" w:fill="FFFFFF"/>
        <w:spacing w:line="580" w:lineRule="exact"/>
        <w:ind w:firstLine="480" w:firstLineChars="200"/>
        <w:rPr>
          <w:kern w:val="0"/>
          <w:sz w:val="24"/>
        </w:rPr>
      </w:pPr>
      <w:r>
        <w:rPr>
          <w:kern w:val="0"/>
          <w:sz w:val="24"/>
        </w:rPr>
        <w:t>3</w:t>
      </w:r>
      <w:r>
        <w:rPr>
          <w:rFonts w:hAnsi="宋体" w:cs="宋体"/>
          <w:sz w:val="24"/>
        </w:rPr>
        <w:t>．</w:t>
      </w:r>
      <w:r>
        <w:rPr>
          <w:rFonts w:hAnsi="宋体" w:cs="宋体"/>
          <w:kern w:val="0"/>
          <w:sz w:val="24"/>
        </w:rPr>
        <w:t>因本约定书或执行本约定书产生的任何争议，应当由甲乙双方协商解决，如果协商不成，应</w:t>
      </w:r>
      <w:r>
        <w:rPr>
          <w:rFonts w:hint="eastAsia" w:hAnsi="宋体" w:cs="宋体"/>
          <w:kern w:val="0"/>
          <w:sz w:val="24"/>
        </w:rPr>
        <w:t>就</w:t>
      </w:r>
      <w:r>
        <w:rPr>
          <w:rFonts w:hAnsi="宋体" w:cs="宋体"/>
          <w:kern w:val="0"/>
          <w:sz w:val="24"/>
        </w:rPr>
        <w:t>争议</w:t>
      </w:r>
      <w:r>
        <w:rPr>
          <w:rFonts w:hint="eastAsia" w:hAnsi="宋体" w:cs="宋体"/>
          <w:kern w:val="0"/>
          <w:sz w:val="24"/>
        </w:rPr>
        <w:t>向</w:t>
      </w:r>
      <w:r>
        <w:rPr>
          <w:rFonts w:hint="eastAsia" w:hAnsi="宋体" w:cs="宋体"/>
          <w:kern w:val="0"/>
          <w:sz w:val="24"/>
          <w:lang w:eastAsia="zh-CN"/>
        </w:rPr>
        <w:t>甲方所在地</w:t>
      </w:r>
      <w:r>
        <w:rPr>
          <w:rFonts w:hint="eastAsia" w:hAnsi="宋体" w:cs="宋体"/>
          <w:kern w:val="0"/>
          <w:sz w:val="24"/>
        </w:rPr>
        <w:t>有管辖权的人民法院提起诉讼</w:t>
      </w:r>
      <w:r>
        <w:rPr>
          <w:rFonts w:hAnsi="宋体" w:cs="宋体"/>
          <w:kern w:val="0"/>
          <w:sz w:val="24"/>
        </w:rPr>
        <w:t>解决。</w:t>
      </w:r>
    </w:p>
    <w:p>
      <w:pPr>
        <w:widowControl/>
        <w:shd w:val="clear" w:color="auto" w:fill="FFFFFF"/>
        <w:spacing w:line="580" w:lineRule="exact"/>
        <w:ind w:firstLine="482" w:firstLineChars="200"/>
        <w:outlineLvl w:val="0"/>
        <w:rPr>
          <w:b/>
          <w:sz w:val="24"/>
        </w:rPr>
      </w:pPr>
      <w:r>
        <w:rPr>
          <w:rFonts w:hAnsi="宋体" w:cs="宋体"/>
          <w:b/>
          <w:sz w:val="24"/>
        </w:rPr>
        <w:t>八、约定书的有效期间</w:t>
      </w:r>
    </w:p>
    <w:p>
      <w:pPr>
        <w:widowControl/>
        <w:shd w:val="clear" w:color="auto" w:fill="FFFFFF"/>
        <w:spacing w:line="580" w:lineRule="exact"/>
        <w:ind w:firstLine="480" w:firstLineChars="200"/>
        <w:rPr>
          <w:kern w:val="0"/>
          <w:sz w:val="24"/>
        </w:rPr>
      </w:pPr>
      <w:r>
        <w:rPr>
          <w:rFonts w:hAnsi="宋体" w:cs="宋体"/>
          <w:kern w:val="0"/>
          <w:sz w:val="24"/>
        </w:rPr>
        <w:t>本约定书一式</w:t>
      </w:r>
      <w:r>
        <w:rPr>
          <w:rFonts w:hint="eastAsia" w:hAnsi="宋体" w:cs="宋体"/>
          <w:kern w:val="0"/>
          <w:sz w:val="24"/>
        </w:rPr>
        <w:t>肆</w:t>
      </w:r>
      <w:r>
        <w:rPr>
          <w:rFonts w:hAnsi="宋体" w:cs="宋体"/>
          <w:kern w:val="0"/>
          <w:sz w:val="24"/>
        </w:rPr>
        <w:t>份，甲</w:t>
      </w:r>
      <w:r>
        <w:rPr>
          <w:rFonts w:hint="eastAsia" w:hAnsi="宋体" w:cs="宋体"/>
          <w:kern w:val="0"/>
          <w:sz w:val="24"/>
        </w:rPr>
        <w:t>、乙双方各</w:t>
      </w:r>
      <w:r>
        <w:rPr>
          <w:rFonts w:hAnsi="宋体" w:cs="宋体"/>
          <w:kern w:val="0"/>
          <w:sz w:val="24"/>
        </w:rPr>
        <w:t>执</w:t>
      </w:r>
      <w:r>
        <w:rPr>
          <w:rFonts w:hint="eastAsia" w:hAnsi="宋体" w:cs="宋体"/>
          <w:kern w:val="0"/>
          <w:sz w:val="24"/>
        </w:rPr>
        <w:t>贰</w:t>
      </w:r>
      <w:r>
        <w:rPr>
          <w:rFonts w:hAnsi="宋体" w:cs="宋体"/>
          <w:kern w:val="0"/>
          <w:sz w:val="24"/>
        </w:rPr>
        <w:t>份，</w:t>
      </w:r>
      <w:r>
        <w:rPr>
          <w:rFonts w:hint="eastAsia" w:hAnsi="宋体" w:cs="宋体"/>
          <w:kern w:val="0"/>
          <w:sz w:val="24"/>
        </w:rPr>
        <w:t>并具有同等法律效力。</w:t>
      </w:r>
    </w:p>
    <w:p>
      <w:pPr>
        <w:widowControl/>
        <w:shd w:val="clear" w:color="auto" w:fill="FFFFFF"/>
        <w:spacing w:line="580" w:lineRule="exact"/>
        <w:ind w:firstLine="480" w:firstLineChars="200"/>
        <w:rPr>
          <w:kern w:val="0"/>
          <w:sz w:val="24"/>
        </w:rPr>
      </w:pPr>
      <w:r>
        <w:rPr>
          <w:rFonts w:hAnsi="宋体" w:cs="宋体"/>
          <w:kern w:val="0"/>
          <w:sz w:val="24"/>
        </w:rPr>
        <w:t>本约定书自双方签字盖章之日起生效，并在约定事项全部完成日前有效。</w:t>
      </w:r>
    </w:p>
    <w:p>
      <w:pPr>
        <w:widowControl/>
        <w:shd w:val="clear" w:color="auto" w:fill="FFFFFF"/>
        <w:spacing w:line="580" w:lineRule="exact"/>
        <w:ind w:firstLine="480" w:firstLineChars="200"/>
        <w:rPr>
          <w:kern w:val="0"/>
          <w:sz w:val="24"/>
        </w:rPr>
      </w:pPr>
    </w:p>
    <w:p>
      <w:pPr>
        <w:widowControl/>
        <w:shd w:val="clear" w:color="auto" w:fill="FFFFFF"/>
        <w:spacing w:line="580" w:lineRule="exact"/>
        <w:ind w:firstLine="480" w:firstLineChars="200"/>
        <w:rPr>
          <w:kern w:val="0"/>
          <w:sz w:val="24"/>
        </w:rPr>
      </w:pPr>
    </w:p>
    <w:tbl>
      <w:tblPr>
        <w:tblStyle w:val="6"/>
        <w:tblW w:w="9180" w:type="dxa"/>
        <w:tblInd w:w="0" w:type="dxa"/>
        <w:tblBorders>
          <w:top w:val="dotted" w:color="F2F2F2" w:sz="4" w:space="0"/>
          <w:left w:val="dotted" w:color="F2F2F2" w:sz="4" w:space="0"/>
          <w:bottom w:val="dotted" w:color="F2F2F2" w:sz="4" w:space="0"/>
          <w:right w:val="dotted" w:color="F2F2F2" w:sz="4" w:space="0"/>
          <w:insideH w:val="dotted" w:color="F2F2F2" w:sz="4" w:space="0"/>
          <w:insideV w:val="dotted" w:color="F2F2F2" w:sz="4" w:space="0"/>
        </w:tblBorders>
        <w:tblLayout w:type="fixed"/>
        <w:tblCellMar>
          <w:top w:w="0" w:type="dxa"/>
          <w:left w:w="108" w:type="dxa"/>
          <w:bottom w:w="0" w:type="dxa"/>
          <w:right w:w="108" w:type="dxa"/>
        </w:tblCellMar>
      </w:tblPr>
      <w:tblGrid>
        <w:gridCol w:w="4503"/>
        <w:gridCol w:w="283"/>
        <w:gridCol w:w="4394"/>
      </w:tblGrid>
      <w:tr>
        <w:tblPrEx>
          <w:tblBorders>
            <w:top w:val="dotted" w:color="F2F2F2" w:sz="4" w:space="0"/>
            <w:left w:val="dotted" w:color="F2F2F2" w:sz="4" w:space="0"/>
            <w:bottom w:val="dotted" w:color="F2F2F2" w:sz="4" w:space="0"/>
            <w:right w:val="dotted" w:color="F2F2F2" w:sz="4" w:space="0"/>
            <w:insideH w:val="dotted" w:color="F2F2F2" w:sz="4" w:space="0"/>
            <w:insideV w:val="dotted" w:color="F2F2F2" w:sz="4" w:space="0"/>
          </w:tblBorders>
          <w:tblLayout w:type="fixed"/>
          <w:tblCellMar>
            <w:top w:w="0" w:type="dxa"/>
            <w:left w:w="108" w:type="dxa"/>
            <w:bottom w:w="0" w:type="dxa"/>
            <w:right w:w="108" w:type="dxa"/>
          </w:tblCellMar>
        </w:tblPrEx>
        <w:tc>
          <w:tcPr>
            <w:tcW w:w="4503" w:type="dxa"/>
            <w:tcBorders>
              <w:top w:val="dotted" w:color="F2F2F2" w:sz="4" w:space="0"/>
              <w:left w:val="dotted" w:color="F2F2F2" w:sz="4" w:space="0"/>
              <w:bottom w:val="dotted" w:color="F2F2F2" w:sz="4" w:space="0"/>
              <w:right w:val="dotted" w:color="F2F2F2" w:sz="4" w:space="0"/>
            </w:tcBorders>
            <w:vAlign w:val="top"/>
          </w:tcPr>
          <w:p>
            <w:pPr>
              <w:widowControl/>
              <w:spacing w:line="580" w:lineRule="exact"/>
              <w:ind w:left="723" w:hanging="723" w:hangingChars="300"/>
              <w:jc w:val="left"/>
              <w:rPr>
                <w:b/>
                <w:kern w:val="0"/>
                <w:sz w:val="24"/>
              </w:rPr>
            </w:pPr>
            <w:r>
              <w:rPr>
                <w:rFonts w:ascii="宋体" w:hAnsi="宋体" w:cs="宋体"/>
                <w:b/>
                <w:kern w:val="0"/>
                <w:sz w:val="24"/>
              </w:rPr>
              <w:t>甲方：</w:t>
            </w:r>
            <w:r>
              <w:rPr>
                <w:rFonts w:hint="eastAsia" w:hAnsi="宋体" w:cs="宋体"/>
                <w:b/>
                <w:kern w:val="0"/>
                <w:sz w:val="24"/>
                <w:szCs w:val="20"/>
                <w:lang w:val="en-US" w:eastAsia="zh-CN"/>
              </w:rPr>
              <w:t xml:space="preserve">   </w:t>
            </w:r>
          </w:p>
        </w:tc>
        <w:tc>
          <w:tcPr>
            <w:tcW w:w="283" w:type="dxa"/>
            <w:tcBorders>
              <w:top w:val="dotted" w:color="F2F2F2" w:sz="4" w:space="0"/>
              <w:left w:val="dotted" w:color="F2F2F2" w:sz="4" w:space="0"/>
              <w:bottom w:val="dotted" w:color="F2F2F2" w:sz="4" w:space="0"/>
              <w:right w:val="dotted" w:color="F2F2F2" w:sz="4" w:space="0"/>
            </w:tcBorders>
            <w:vAlign w:val="top"/>
          </w:tcPr>
          <w:p>
            <w:pPr>
              <w:widowControl/>
              <w:spacing w:line="580" w:lineRule="exact"/>
              <w:jc w:val="center"/>
              <w:rPr>
                <w:b/>
                <w:kern w:val="0"/>
                <w:sz w:val="24"/>
              </w:rPr>
            </w:pPr>
          </w:p>
        </w:tc>
        <w:tc>
          <w:tcPr>
            <w:tcW w:w="4394" w:type="dxa"/>
            <w:tcBorders>
              <w:top w:val="dotted" w:color="F2F2F2" w:sz="4" w:space="0"/>
              <w:left w:val="dotted" w:color="F2F2F2" w:sz="4" w:space="0"/>
              <w:bottom w:val="dotted" w:color="F2F2F2" w:sz="4" w:space="0"/>
              <w:right w:val="dotted" w:color="F2F2F2" w:sz="4" w:space="0"/>
            </w:tcBorders>
            <w:vAlign w:val="top"/>
          </w:tcPr>
          <w:p>
            <w:pPr>
              <w:widowControl/>
              <w:spacing w:line="580" w:lineRule="exact"/>
              <w:ind w:left="723" w:hanging="723" w:hangingChars="300"/>
              <w:jc w:val="left"/>
              <w:rPr>
                <w:b/>
                <w:kern w:val="0"/>
                <w:sz w:val="24"/>
              </w:rPr>
            </w:pPr>
            <w:r>
              <w:rPr>
                <w:rFonts w:hAnsi="宋体" w:cs="宋体"/>
                <w:b/>
                <w:kern w:val="0"/>
                <w:sz w:val="24"/>
              </w:rPr>
              <w:t>乙方：</w:t>
            </w:r>
          </w:p>
        </w:tc>
      </w:tr>
      <w:tr>
        <w:tblPrEx>
          <w:tblBorders>
            <w:top w:val="dotted" w:color="F2F2F2" w:sz="4" w:space="0"/>
            <w:left w:val="dotted" w:color="F2F2F2" w:sz="4" w:space="0"/>
            <w:bottom w:val="dotted" w:color="F2F2F2" w:sz="4" w:space="0"/>
            <w:right w:val="dotted" w:color="F2F2F2" w:sz="4" w:space="0"/>
            <w:insideH w:val="dotted" w:color="F2F2F2" w:sz="4" w:space="0"/>
            <w:insideV w:val="dotted" w:color="F2F2F2" w:sz="4" w:space="0"/>
          </w:tblBorders>
          <w:tblLayout w:type="fixed"/>
          <w:tblCellMar>
            <w:top w:w="0" w:type="dxa"/>
            <w:left w:w="108" w:type="dxa"/>
            <w:bottom w:w="0" w:type="dxa"/>
            <w:right w:w="108" w:type="dxa"/>
          </w:tblCellMar>
        </w:tblPrEx>
        <w:trPr>
          <w:trHeight w:val="755" w:hRule="atLeast"/>
        </w:trPr>
        <w:tc>
          <w:tcPr>
            <w:tcW w:w="4503"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left"/>
              <w:rPr>
                <w:rFonts w:hAnsi="宋体" w:cs="宋体"/>
                <w:b/>
                <w:kern w:val="0"/>
                <w:sz w:val="24"/>
              </w:rPr>
            </w:pPr>
          </w:p>
        </w:tc>
        <w:tc>
          <w:tcPr>
            <w:tcW w:w="283"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center"/>
              <w:rPr>
                <w:b/>
                <w:kern w:val="0"/>
                <w:sz w:val="24"/>
              </w:rPr>
            </w:pPr>
          </w:p>
        </w:tc>
        <w:tc>
          <w:tcPr>
            <w:tcW w:w="4394"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left"/>
              <w:rPr>
                <w:rFonts w:hAnsi="宋体" w:cs="宋体"/>
                <w:b/>
                <w:kern w:val="0"/>
                <w:sz w:val="24"/>
              </w:rPr>
            </w:pPr>
          </w:p>
        </w:tc>
      </w:tr>
      <w:tr>
        <w:tblPrEx>
          <w:tblBorders>
            <w:top w:val="dotted" w:color="F2F2F2" w:sz="4" w:space="0"/>
            <w:left w:val="dotted" w:color="F2F2F2" w:sz="4" w:space="0"/>
            <w:bottom w:val="dotted" w:color="F2F2F2" w:sz="4" w:space="0"/>
            <w:right w:val="dotted" w:color="F2F2F2" w:sz="4" w:space="0"/>
            <w:insideH w:val="dotted" w:color="F2F2F2" w:sz="4" w:space="0"/>
            <w:insideV w:val="dotted" w:color="F2F2F2" w:sz="4" w:space="0"/>
          </w:tblBorders>
          <w:tblLayout w:type="fixed"/>
          <w:tblCellMar>
            <w:top w:w="0" w:type="dxa"/>
            <w:left w:w="108" w:type="dxa"/>
            <w:bottom w:w="0" w:type="dxa"/>
            <w:right w:w="108" w:type="dxa"/>
          </w:tblCellMar>
        </w:tblPrEx>
        <w:trPr>
          <w:trHeight w:val="994" w:hRule="atLeast"/>
        </w:trPr>
        <w:tc>
          <w:tcPr>
            <w:tcW w:w="4503"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left"/>
              <w:rPr>
                <w:rFonts w:hint="eastAsia" w:hAnsi="宋体" w:cs="宋体"/>
                <w:b/>
                <w:kern w:val="0"/>
                <w:sz w:val="24"/>
              </w:rPr>
            </w:pPr>
            <w:r>
              <w:rPr>
                <w:rFonts w:hAnsi="宋体" w:cs="宋体"/>
                <w:b/>
                <w:kern w:val="0"/>
                <w:sz w:val="24"/>
              </w:rPr>
              <w:t>法定代表人</w:t>
            </w:r>
          </w:p>
          <w:p>
            <w:pPr>
              <w:widowControl/>
              <w:spacing w:line="580" w:lineRule="exact"/>
              <w:jc w:val="left"/>
              <w:rPr>
                <w:b/>
                <w:kern w:val="0"/>
                <w:sz w:val="24"/>
              </w:rPr>
            </w:pPr>
            <w:r>
              <w:rPr>
                <w:rFonts w:hAnsi="宋体" w:cs="宋体"/>
                <w:b/>
                <w:kern w:val="0"/>
                <w:sz w:val="24"/>
              </w:rPr>
              <w:t>或授权代表：</w:t>
            </w:r>
          </w:p>
        </w:tc>
        <w:tc>
          <w:tcPr>
            <w:tcW w:w="283"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center"/>
              <w:rPr>
                <w:b/>
                <w:kern w:val="0"/>
                <w:sz w:val="24"/>
              </w:rPr>
            </w:pPr>
          </w:p>
        </w:tc>
        <w:tc>
          <w:tcPr>
            <w:tcW w:w="4394"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left"/>
              <w:rPr>
                <w:rFonts w:hint="eastAsia" w:hAnsi="宋体" w:cs="宋体"/>
                <w:b/>
                <w:kern w:val="0"/>
                <w:sz w:val="24"/>
              </w:rPr>
            </w:pPr>
            <w:r>
              <w:rPr>
                <w:rFonts w:hAnsi="宋体" w:cs="宋体"/>
                <w:b/>
                <w:kern w:val="0"/>
                <w:sz w:val="24"/>
              </w:rPr>
              <w:t>法定代表人</w:t>
            </w:r>
          </w:p>
          <w:p>
            <w:pPr>
              <w:widowControl/>
              <w:spacing w:line="580" w:lineRule="exact"/>
              <w:jc w:val="left"/>
              <w:rPr>
                <w:b/>
                <w:kern w:val="0"/>
                <w:sz w:val="24"/>
              </w:rPr>
            </w:pPr>
            <w:r>
              <w:rPr>
                <w:rFonts w:hAnsi="宋体" w:cs="宋体"/>
                <w:b/>
                <w:kern w:val="0"/>
                <w:sz w:val="24"/>
              </w:rPr>
              <w:t>或授权代表：</w:t>
            </w:r>
          </w:p>
        </w:tc>
      </w:tr>
      <w:tr>
        <w:tblPrEx>
          <w:tblBorders>
            <w:top w:val="dotted" w:color="F2F2F2" w:sz="4" w:space="0"/>
            <w:left w:val="dotted" w:color="F2F2F2" w:sz="4" w:space="0"/>
            <w:bottom w:val="dotted" w:color="F2F2F2" w:sz="4" w:space="0"/>
            <w:right w:val="dotted" w:color="F2F2F2" w:sz="4" w:space="0"/>
            <w:insideH w:val="dotted" w:color="F2F2F2" w:sz="4" w:space="0"/>
            <w:insideV w:val="dotted" w:color="F2F2F2" w:sz="4" w:space="0"/>
          </w:tblBorders>
          <w:tblLayout w:type="fixed"/>
          <w:tblCellMar>
            <w:top w:w="0" w:type="dxa"/>
            <w:left w:w="108" w:type="dxa"/>
            <w:bottom w:w="0" w:type="dxa"/>
            <w:right w:w="108" w:type="dxa"/>
          </w:tblCellMar>
        </w:tblPrEx>
        <w:trPr>
          <w:trHeight w:val="838" w:hRule="atLeast"/>
        </w:trPr>
        <w:tc>
          <w:tcPr>
            <w:tcW w:w="4503"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left"/>
              <w:rPr>
                <w:rFonts w:hAnsi="宋体" w:cs="宋体"/>
                <w:b/>
                <w:kern w:val="0"/>
                <w:sz w:val="24"/>
              </w:rPr>
            </w:pPr>
          </w:p>
        </w:tc>
        <w:tc>
          <w:tcPr>
            <w:tcW w:w="283"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center"/>
              <w:rPr>
                <w:b/>
                <w:kern w:val="0"/>
                <w:sz w:val="24"/>
              </w:rPr>
            </w:pPr>
          </w:p>
        </w:tc>
        <w:tc>
          <w:tcPr>
            <w:tcW w:w="4394" w:type="dxa"/>
            <w:tcBorders>
              <w:top w:val="dotted" w:color="F2F2F2" w:sz="4" w:space="0"/>
              <w:left w:val="dotted" w:color="F2F2F2" w:sz="4" w:space="0"/>
              <w:bottom w:val="dotted" w:color="F2F2F2" w:sz="4" w:space="0"/>
              <w:right w:val="dotted" w:color="F2F2F2" w:sz="4" w:space="0"/>
            </w:tcBorders>
            <w:shd w:val="clear" w:color="auto" w:fill="FFFFFF"/>
            <w:vAlign w:val="top"/>
          </w:tcPr>
          <w:p>
            <w:pPr>
              <w:widowControl/>
              <w:spacing w:line="580" w:lineRule="exact"/>
              <w:jc w:val="left"/>
              <w:rPr>
                <w:rFonts w:hAnsi="宋体" w:cs="宋体"/>
                <w:b/>
                <w:kern w:val="0"/>
                <w:sz w:val="24"/>
              </w:rPr>
            </w:pPr>
          </w:p>
        </w:tc>
      </w:tr>
    </w:tbl>
    <w:p>
      <w:pPr>
        <w:widowControl/>
        <w:shd w:val="clear" w:color="auto" w:fill="FFFFFF"/>
        <w:spacing w:line="580" w:lineRule="exact"/>
        <w:jc w:val="left"/>
        <w:rPr>
          <w:b/>
          <w:kern w:val="0"/>
          <w:sz w:val="24"/>
        </w:rPr>
      </w:pPr>
      <w:r>
        <w:rPr>
          <w:rFonts w:ascii="宋体" w:hAnsi="宋体" w:cs="宋体"/>
          <w:b/>
          <w:kern w:val="0"/>
          <w:sz w:val="24"/>
        </w:rPr>
        <w:t>签约日期：</w:t>
      </w:r>
      <w:r>
        <w:rPr>
          <w:rFonts w:hint="eastAsia" w:ascii="宋体" w:hAnsi="宋体" w:cs="宋体"/>
          <w:b/>
          <w:kern w:val="0"/>
          <w:sz w:val="24"/>
        </w:rPr>
        <w:t xml:space="preserve">                          </w:t>
      </w:r>
      <w:r>
        <w:rPr>
          <w:rFonts w:ascii="宋体" w:hAnsi="宋体" w:cs="宋体"/>
          <w:b/>
          <w:kern w:val="0"/>
          <w:sz w:val="24"/>
        </w:rPr>
        <w:t>签约日期：</w:t>
      </w:r>
    </w:p>
    <w:p>
      <w:pPr>
        <w:spacing w:line="580" w:lineRule="exact"/>
      </w:pPr>
    </w:p>
    <w:p>
      <w:bookmarkStart w:id="0" w:name="_GoBack"/>
      <w:bookmarkEnd w:id="0"/>
    </w:p>
    <w:sectPr>
      <w:footerReference r:id="rId3" w:type="default"/>
      <w:footerReference r:id="rId4" w:type="even"/>
      <w:pgSz w:w="11906" w:h="16838"/>
      <w:pgMar w:top="1701" w:right="1588" w:bottom="158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第</w:t>
    </w: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840847"/>
    <w:rsid w:val="56840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3">
    <w:name w:val="Default Paragraph Font"/>
    <w:link w:val="4"/>
    <w:semiHidden/>
    <w:uiPriority w:val="0"/>
    <w:rPr>
      <w:rFonts w:ascii="Calibri" w:hAnsi="Calibri"/>
      <w:szCs w:val="20"/>
    </w:rPr>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customStyle="1" w:styleId="4">
    <w:name w:val="_Style 5"/>
    <w:basedOn w:val="1"/>
    <w:link w:val="3"/>
    <w:qFormat/>
    <w:uiPriority w:val="0"/>
    <w:pPr>
      <w:spacing w:beforeLines="50"/>
    </w:pPr>
    <w:rPr>
      <w:rFonts w:ascii="Calibri" w:hAnsi="Calibri"/>
      <w:szCs w:val="20"/>
    </w:rPr>
  </w:style>
  <w:style w:type="character" w:styleId="5">
    <w:name w:val="page number"/>
    <w:basedOn w:val="3"/>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2017-09-25T02:09:00Z</dcterms:created>
  <dc:creator>吴瑶</dc:creator>
  <cp:lastModifiedBy>吴瑶</cp:lastModifiedBy>
  <dcterms:modified xsi:type="dcterms:W3CDTF">2017-09-25T02:10:03Z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