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color w:val="000000"/>
        </w:rPr>
      </w:pPr>
      <w:bookmarkStart w:id="6" w:name="_GoBack"/>
      <w:bookmarkEnd w:id="6"/>
    </w:p>
    <w:p>
      <w:pPr>
        <w:rPr>
          <w:color w:val="000000"/>
        </w:rPr>
      </w:pPr>
    </w:p>
    <w:p>
      <w:pPr>
        <w:rPr>
          <w:color w:val="000000"/>
        </w:rPr>
      </w:pPr>
    </w:p>
    <w:p>
      <w:pPr>
        <w:autoSpaceDE w:val="0"/>
        <w:autoSpaceDN w:val="0"/>
        <w:jc w:val="center"/>
        <w:rPr>
          <w:rFonts w:ascii="黑体" w:eastAsia="黑体" w:cs="黑体"/>
          <w:b/>
          <w:color w:val="000000"/>
          <w:sz w:val="44"/>
          <w:szCs w:val="44"/>
        </w:rPr>
      </w:pPr>
      <w:r>
        <w:rPr>
          <w:rFonts w:hint="eastAsia" w:ascii="黑体" w:eastAsia="黑体" w:cs="黑体"/>
          <w:b/>
          <w:color w:val="000000"/>
          <w:sz w:val="44"/>
          <w:szCs w:val="44"/>
        </w:rPr>
        <w:t>包钢稀土钢板材厂</w:t>
      </w:r>
    </w:p>
    <w:p>
      <w:pPr>
        <w:autoSpaceDE w:val="0"/>
        <w:autoSpaceDN w:val="0"/>
        <w:jc w:val="center"/>
        <w:rPr>
          <w:rFonts w:ascii="黑体" w:eastAsia="黑体" w:cs="黑体"/>
          <w:b/>
          <w:color w:val="000000"/>
          <w:sz w:val="40"/>
          <w:szCs w:val="44"/>
        </w:rPr>
      </w:pPr>
      <w:r>
        <w:rPr>
          <w:rFonts w:hint="eastAsia" w:ascii="黑体" w:eastAsia="黑体" w:cs="黑体"/>
          <w:b/>
          <w:color w:val="000000"/>
          <w:sz w:val="40"/>
          <w:szCs w:val="44"/>
        </w:rPr>
        <w:t>冷轧磨辊间SARCLAD毛化床专用300目石墨采购</w:t>
      </w:r>
    </w:p>
    <w:p>
      <w:pPr>
        <w:autoSpaceDE w:val="0"/>
        <w:autoSpaceDN w:val="0"/>
        <w:jc w:val="center"/>
        <w:rPr>
          <w:rFonts w:ascii="黑体" w:eastAsia="黑体" w:cs="黑体"/>
          <w:color w:val="000000"/>
          <w:sz w:val="36"/>
          <w:szCs w:val="36"/>
        </w:rPr>
      </w:pPr>
    </w:p>
    <w:p>
      <w:pPr>
        <w:autoSpaceDE w:val="0"/>
        <w:autoSpaceDN w:val="0"/>
        <w:jc w:val="center"/>
        <w:rPr>
          <w:rFonts w:ascii="黑体" w:eastAsia="黑体" w:cs="黑体"/>
          <w:b/>
          <w:color w:val="000000"/>
          <w:sz w:val="52"/>
          <w:szCs w:val="52"/>
        </w:rPr>
      </w:pPr>
      <w:r>
        <w:rPr>
          <w:rFonts w:hint="eastAsia" w:ascii="黑体" w:eastAsia="黑体" w:cs="黑体"/>
          <w:b/>
          <w:color w:val="000000"/>
          <w:sz w:val="52"/>
          <w:szCs w:val="52"/>
        </w:rPr>
        <w:t>技</w:t>
      </w:r>
    </w:p>
    <w:p>
      <w:pPr>
        <w:autoSpaceDE w:val="0"/>
        <w:autoSpaceDN w:val="0"/>
        <w:jc w:val="center"/>
        <w:rPr>
          <w:rFonts w:ascii="黑体" w:eastAsia="黑体" w:cs="黑体"/>
          <w:b/>
          <w:color w:val="000000"/>
          <w:sz w:val="52"/>
          <w:szCs w:val="52"/>
        </w:rPr>
      </w:pPr>
      <w:r>
        <w:rPr>
          <w:rFonts w:hint="eastAsia" w:ascii="黑体" w:eastAsia="黑体" w:cs="黑体"/>
          <w:b/>
          <w:color w:val="000000"/>
          <w:sz w:val="52"/>
          <w:szCs w:val="52"/>
        </w:rPr>
        <w:t>术</w:t>
      </w:r>
    </w:p>
    <w:p>
      <w:pPr>
        <w:autoSpaceDE w:val="0"/>
        <w:autoSpaceDN w:val="0"/>
        <w:jc w:val="center"/>
        <w:rPr>
          <w:rFonts w:ascii="黑体" w:eastAsia="黑体" w:cs="黑体"/>
          <w:b/>
          <w:color w:val="000000"/>
          <w:sz w:val="52"/>
          <w:szCs w:val="52"/>
        </w:rPr>
      </w:pPr>
      <w:r>
        <w:rPr>
          <w:rFonts w:hint="eastAsia" w:ascii="黑体" w:eastAsia="黑体" w:cs="黑体"/>
          <w:b/>
          <w:color w:val="000000"/>
          <w:sz w:val="52"/>
          <w:szCs w:val="52"/>
        </w:rPr>
        <w:t>协</w:t>
      </w:r>
    </w:p>
    <w:p>
      <w:pPr>
        <w:autoSpaceDE w:val="0"/>
        <w:autoSpaceDN w:val="0"/>
        <w:jc w:val="center"/>
        <w:rPr>
          <w:rFonts w:ascii="黑体" w:eastAsia="黑体" w:cs="黑体"/>
          <w:b/>
          <w:color w:val="000000"/>
          <w:sz w:val="52"/>
          <w:szCs w:val="52"/>
        </w:rPr>
      </w:pPr>
      <w:r>
        <w:rPr>
          <w:rFonts w:hint="eastAsia" w:ascii="黑体" w:eastAsia="黑体" w:cs="黑体"/>
          <w:b/>
          <w:color w:val="000000"/>
          <w:sz w:val="52"/>
          <w:szCs w:val="52"/>
        </w:rPr>
        <w:t>议</w:t>
      </w:r>
    </w:p>
    <w:p>
      <w:pPr>
        <w:autoSpaceDE w:val="0"/>
        <w:autoSpaceDN w:val="0"/>
        <w:rPr>
          <w:rFonts w:ascii="黑体" w:eastAsia="黑体" w:cs="黑体"/>
          <w:b/>
          <w:color w:val="000000"/>
          <w:sz w:val="36"/>
          <w:szCs w:val="36"/>
        </w:rPr>
      </w:pPr>
    </w:p>
    <w:p>
      <w:pPr>
        <w:autoSpaceDE w:val="0"/>
        <w:autoSpaceDN w:val="0"/>
        <w:rPr>
          <w:rFonts w:ascii="黑体" w:eastAsia="黑体" w:cs="黑体"/>
          <w:color w:val="000000"/>
          <w:sz w:val="72"/>
          <w:szCs w:val="72"/>
        </w:rPr>
      </w:pPr>
    </w:p>
    <w:p>
      <w:pPr>
        <w:autoSpaceDE w:val="0"/>
        <w:autoSpaceDN w:val="0"/>
        <w:ind w:firstLine="1638" w:firstLineChars="544"/>
        <w:rPr>
          <w:rFonts w:ascii="楷体_GB2312" w:eastAsia="楷体_GB2312"/>
          <w:b/>
          <w:color w:val="000000"/>
          <w:sz w:val="30"/>
          <w:szCs w:val="30"/>
        </w:rPr>
      </w:pPr>
      <w:r>
        <w:rPr>
          <w:rFonts w:hint="eastAsia" w:ascii="楷体_GB2312" w:hAnsi="宋体" w:eastAsia="楷体_GB2312"/>
          <w:b/>
          <w:color w:val="000000"/>
          <w:sz w:val="30"/>
          <w:szCs w:val="30"/>
        </w:rPr>
        <w:t>买方：包钢稀土钢板材厂</w:t>
      </w:r>
    </w:p>
    <w:p>
      <w:pPr>
        <w:autoSpaceDE w:val="0"/>
        <w:autoSpaceDN w:val="0"/>
        <w:ind w:firstLine="1638" w:firstLineChars="544"/>
        <w:rPr>
          <w:rFonts w:ascii="楷体_GB2312" w:hAnsi="宋体" w:eastAsia="楷体_GB2312"/>
          <w:b/>
          <w:color w:val="000000"/>
          <w:sz w:val="30"/>
          <w:szCs w:val="30"/>
        </w:rPr>
      </w:pPr>
      <w:r>
        <w:rPr>
          <w:rFonts w:hint="eastAsia" w:ascii="楷体_GB2312" w:hAnsi="宋体" w:eastAsia="楷体_GB2312"/>
          <w:b/>
          <w:color w:val="000000"/>
          <w:sz w:val="30"/>
          <w:szCs w:val="30"/>
        </w:rPr>
        <w:t xml:space="preserve">卖方： </w:t>
      </w:r>
    </w:p>
    <w:p>
      <w:pPr>
        <w:autoSpaceDE w:val="0"/>
        <w:autoSpaceDN w:val="0"/>
        <w:ind w:firstLine="1638" w:firstLineChars="544"/>
        <w:rPr>
          <w:rFonts w:ascii="楷体_GB2312" w:hAnsi="宋体" w:eastAsia="楷体_GB2312"/>
          <w:b/>
          <w:color w:val="000000"/>
          <w:sz w:val="30"/>
          <w:szCs w:val="30"/>
        </w:rPr>
      </w:pPr>
      <w:r>
        <w:rPr>
          <w:rFonts w:hint="eastAsia" w:ascii="楷体_GB2312" w:hAnsi="宋体" w:eastAsia="楷体_GB2312"/>
          <w:b/>
          <w:color w:val="000000"/>
          <w:sz w:val="30"/>
          <w:szCs w:val="30"/>
        </w:rPr>
        <w:t>制造</w:t>
      </w:r>
      <w:r>
        <w:rPr>
          <w:rFonts w:ascii="楷体_GB2312" w:hAnsi="宋体" w:eastAsia="楷体_GB2312"/>
          <w:b/>
          <w:color w:val="000000"/>
          <w:sz w:val="30"/>
          <w:szCs w:val="30"/>
        </w:rPr>
        <w:t>方：</w:t>
      </w:r>
    </w:p>
    <w:p>
      <w:pPr>
        <w:autoSpaceDE w:val="0"/>
        <w:autoSpaceDN w:val="0"/>
        <w:jc w:val="center"/>
        <w:rPr>
          <w:rFonts w:ascii="楷体_GB2312" w:hAnsi="宋体" w:eastAsia="楷体_GB2312"/>
          <w:b/>
          <w:color w:val="000000"/>
          <w:sz w:val="30"/>
          <w:szCs w:val="30"/>
        </w:rPr>
      </w:pPr>
    </w:p>
    <w:p>
      <w:pPr>
        <w:autoSpaceDE w:val="0"/>
        <w:autoSpaceDN w:val="0"/>
        <w:rPr>
          <w:color w:val="000000"/>
          <w:sz w:val="32"/>
          <w:szCs w:val="32"/>
        </w:rPr>
      </w:pPr>
    </w:p>
    <w:p>
      <w:pPr>
        <w:jc w:val="center"/>
        <w:rPr>
          <w:b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201</w:t>
      </w:r>
      <w:r>
        <w:rPr>
          <w:rFonts w:hint="eastAsia"/>
          <w:b/>
          <w:bCs/>
          <w:color w:val="000000"/>
          <w:sz w:val="28"/>
          <w:szCs w:val="28"/>
        </w:rPr>
        <w:t>8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rFonts w:hAnsi="宋体"/>
          <w:b/>
          <w:color w:val="000000"/>
          <w:sz w:val="28"/>
          <w:szCs w:val="28"/>
        </w:rPr>
        <w:t>年</w:t>
      </w:r>
      <w:r>
        <w:rPr>
          <w:rFonts w:hint="eastAsia" w:hAnsi="宋体"/>
          <w:b/>
          <w:color w:val="000000"/>
          <w:sz w:val="28"/>
          <w:szCs w:val="28"/>
        </w:rPr>
        <w:t xml:space="preserve">    </w:t>
      </w:r>
      <w:r>
        <w:rPr>
          <w:rFonts w:hAnsi="宋体"/>
          <w:b/>
          <w:color w:val="000000"/>
          <w:sz w:val="28"/>
          <w:szCs w:val="28"/>
        </w:rPr>
        <w:t>月</w:t>
      </w:r>
      <w:r>
        <w:rPr>
          <w:rFonts w:hint="eastAsia" w:hAnsi="宋体"/>
          <w:b/>
          <w:color w:val="000000"/>
          <w:sz w:val="28"/>
          <w:szCs w:val="28"/>
        </w:rPr>
        <w:t xml:space="preserve">    日</w:t>
      </w:r>
    </w:p>
    <w:p>
      <w:pPr>
        <w:rPr>
          <w:rFonts w:ascii="仿宋" w:hAnsi="仿宋" w:eastAsia="仿宋"/>
          <w:b/>
          <w:sz w:val="32"/>
          <w:szCs w:val="32"/>
        </w:rPr>
      </w:pPr>
    </w:p>
    <w:p>
      <w:pPr>
        <w:rPr>
          <w:rFonts w:ascii="仿宋" w:hAnsi="仿宋" w:eastAsia="仿宋"/>
          <w:b/>
          <w:sz w:val="32"/>
          <w:szCs w:val="32"/>
        </w:rPr>
      </w:pPr>
    </w:p>
    <w:p>
      <w:pPr>
        <w:pStyle w:val="15"/>
        <w:rPr>
          <w:rFonts w:ascii="仿宋" w:hAnsi="仿宋" w:eastAsia="仿宋"/>
          <w:b/>
        </w:rPr>
      </w:pPr>
    </w:p>
    <w:sdt>
      <w:sdtPr>
        <w:rPr>
          <w:rFonts w:asciiTheme="minorHAnsi" w:hAnsiTheme="minorHAnsi" w:eastAsiaTheme="minorEastAsia" w:cstheme="minorBidi"/>
          <w:color w:val="auto"/>
          <w:kern w:val="2"/>
          <w:sz w:val="21"/>
          <w:szCs w:val="22"/>
          <w:lang w:val="zh-CN"/>
        </w:rPr>
        <w:id w:val="-1821268837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EastAsia" w:cstheme="minorBidi"/>
          <w:b/>
          <w:bCs/>
          <w:color w:val="auto"/>
          <w:kern w:val="2"/>
          <w:sz w:val="21"/>
          <w:szCs w:val="22"/>
          <w:lang w:val="zh-CN"/>
        </w:rPr>
      </w:sdtEndPr>
      <w:sdtContent>
        <w:p>
          <w:pPr>
            <w:pStyle w:val="15"/>
            <w:jc w:val="center"/>
            <w:rPr>
              <w:rFonts w:ascii="仿宋" w:hAnsi="仿宋" w:eastAsia="仿宋"/>
              <w:b/>
              <w:color w:val="000000" w:themeColor="text1"/>
              <w14:textFill>
                <w14:solidFill>
                  <w14:schemeClr w14:val="tx1"/>
                </w14:solidFill>
              </w14:textFill>
            </w:rPr>
          </w:pPr>
          <w:r>
            <w:rPr>
              <w:rFonts w:ascii="仿宋" w:hAnsi="仿宋" w:eastAsia="仿宋"/>
              <w:b/>
              <w:color w:val="000000" w:themeColor="text1"/>
              <w:lang w:val="zh-CN"/>
              <w14:textFill>
                <w14:solidFill>
                  <w14:schemeClr w14:val="tx1"/>
                </w14:solidFill>
              </w14:textFill>
            </w:rPr>
            <w:t>目</w:t>
          </w:r>
          <w:r>
            <w:rPr>
              <w:rFonts w:hint="eastAsia" w:ascii="仿宋" w:hAnsi="仿宋" w:eastAsia="仿宋"/>
              <w:b/>
              <w:color w:val="000000" w:themeColor="text1"/>
              <w:lang w:val="zh-CN"/>
              <w14:textFill>
                <w14:solidFill>
                  <w14:schemeClr w14:val="tx1"/>
                </w14:solidFill>
              </w14:textFill>
            </w:rPr>
            <w:t xml:space="preserve">   </w:t>
          </w:r>
          <w:r>
            <w:rPr>
              <w:rFonts w:ascii="仿宋" w:hAnsi="仿宋" w:eastAsia="仿宋"/>
              <w:b/>
              <w:color w:val="000000" w:themeColor="text1"/>
              <w:lang w:val="zh-CN"/>
              <w14:textFill>
                <w14:solidFill>
                  <w14:schemeClr w14:val="tx1"/>
                </w14:solidFill>
              </w14:textFill>
            </w:rPr>
            <w:t>录</w:t>
          </w:r>
        </w:p>
        <w:p>
          <w:pPr>
            <w:pStyle w:val="6"/>
            <w:rPr>
              <w:rFonts w:ascii="仿宋" w:hAnsi="仿宋" w:eastAsia="仿宋" w:cstheme="minorBidi"/>
              <w:b w:val="0"/>
              <w:sz w:val="21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>
            <w:fldChar w:fldCharType="begin"/>
          </w:r>
          <w:r>
            <w:instrText xml:space="preserve"> HYPERLINK \l "_Toc520961022" </w:instrText>
          </w:r>
          <w:r>
            <w:fldChar w:fldCharType="separate"/>
          </w:r>
          <w:r>
            <w:rPr>
              <w:rStyle w:val="9"/>
              <w:rFonts w:ascii="仿宋" w:hAnsi="仿宋" w:eastAsia="仿宋"/>
            </w:rPr>
            <w:t>1、概述</w:t>
          </w:r>
          <w:r>
            <w:rPr>
              <w:rFonts w:ascii="仿宋" w:hAnsi="仿宋" w:eastAsia="仿宋"/>
            </w:rPr>
            <w:tab/>
          </w:r>
          <w:r>
            <w:rPr>
              <w:rFonts w:ascii="仿宋" w:hAnsi="仿宋" w:eastAsia="仿宋"/>
            </w:rPr>
            <w:fldChar w:fldCharType="begin"/>
          </w:r>
          <w:r>
            <w:rPr>
              <w:rFonts w:ascii="仿宋" w:hAnsi="仿宋" w:eastAsia="仿宋"/>
            </w:rPr>
            <w:instrText xml:space="preserve"> PAGEREF _Toc520961022 \h </w:instrText>
          </w:r>
          <w:r>
            <w:rPr>
              <w:rFonts w:ascii="仿宋" w:hAnsi="仿宋" w:eastAsia="仿宋"/>
            </w:rPr>
            <w:fldChar w:fldCharType="separate"/>
          </w:r>
          <w:r>
            <w:rPr>
              <w:rFonts w:ascii="仿宋" w:hAnsi="仿宋" w:eastAsia="仿宋"/>
            </w:rPr>
            <w:t>1</w:t>
          </w:r>
          <w:r>
            <w:rPr>
              <w:rFonts w:ascii="仿宋" w:hAnsi="仿宋" w:eastAsia="仿宋"/>
            </w:rPr>
            <w:fldChar w:fldCharType="end"/>
          </w:r>
          <w:r>
            <w:rPr>
              <w:rFonts w:ascii="仿宋" w:hAnsi="仿宋" w:eastAsia="仿宋"/>
            </w:rPr>
            <w:fldChar w:fldCharType="end"/>
          </w:r>
        </w:p>
        <w:p>
          <w:pPr>
            <w:pStyle w:val="6"/>
            <w:rPr>
              <w:rFonts w:ascii="仿宋" w:hAnsi="仿宋" w:eastAsia="仿宋" w:cstheme="minorBidi"/>
              <w:b w:val="0"/>
              <w:sz w:val="21"/>
              <w:szCs w:val="22"/>
            </w:rPr>
          </w:pPr>
          <w:r>
            <w:fldChar w:fldCharType="begin"/>
          </w:r>
          <w:r>
            <w:instrText xml:space="preserve"> HYPERLINK \l "_Toc520961023" </w:instrText>
          </w:r>
          <w:r>
            <w:fldChar w:fldCharType="separate"/>
          </w:r>
          <w:r>
            <w:rPr>
              <w:rStyle w:val="9"/>
              <w:rFonts w:ascii="仿宋" w:hAnsi="仿宋" w:eastAsia="仿宋"/>
            </w:rPr>
            <w:t>2、技术性能描述及技术参数</w:t>
          </w:r>
          <w:r>
            <w:rPr>
              <w:rFonts w:ascii="仿宋" w:hAnsi="仿宋" w:eastAsia="仿宋"/>
            </w:rPr>
            <w:tab/>
          </w:r>
          <w:r>
            <w:rPr>
              <w:rFonts w:ascii="仿宋" w:hAnsi="仿宋" w:eastAsia="仿宋"/>
            </w:rPr>
            <w:fldChar w:fldCharType="begin"/>
          </w:r>
          <w:r>
            <w:rPr>
              <w:rFonts w:ascii="仿宋" w:hAnsi="仿宋" w:eastAsia="仿宋"/>
            </w:rPr>
            <w:instrText xml:space="preserve"> PAGEREF _Toc520961023 \h </w:instrText>
          </w:r>
          <w:r>
            <w:rPr>
              <w:rFonts w:ascii="仿宋" w:hAnsi="仿宋" w:eastAsia="仿宋"/>
            </w:rPr>
            <w:fldChar w:fldCharType="separate"/>
          </w:r>
          <w:r>
            <w:rPr>
              <w:rFonts w:ascii="仿宋" w:hAnsi="仿宋" w:eastAsia="仿宋"/>
            </w:rPr>
            <w:t>2</w:t>
          </w:r>
          <w:r>
            <w:rPr>
              <w:rFonts w:ascii="仿宋" w:hAnsi="仿宋" w:eastAsia="仿宋"/>
            </w:rPr>
            <w:fldChar w:fldCharType="end"/>
          </w:r>
          <w:r>
            <w:rPr>
              <w:rFonts w:ascii="仿宋" w:hAnsi="仿宋" w:eastAsia="仿宋"/>
            </w:rPr>
            <w:fldChar w:fldCharType="end"/>
          </w:r>
        </w:p>
        <w:p>
          <w:pPr>
            <w:pStyle w:val="6"/>
            <w:rPr>
              <w:rFonts w:ascii="仿宋" w:hAnsi="仿宋" w:eastAsia="仿宋" w:cstheme="minorBidi"/>
              <w:b w:val="0"/>
              <w:sz w:val="21"/>
              <w:szCs w:val="22"/>
            </w:rPr>
          </w:pPr>
          <w:r>
            <w:fldChar w:fldCharType="begin"/>
          </w:r>
          <w:r>
            <w:instrText xml:space="preserve"> HYPERLINK \l "_Toc520961024" </w:instrText>
          </w:r>
          <w:r>
            <w:fldChar w:fldCharType="separate"/>
          </w:r>
          <w:r>
            <w:rPr>
              <w:rStyle w:val="9"/>
              <w:rFonts w:ascii="仿宋" w:hAnsi="仿宋" w:eastAsia="仿宋"/>
            </w:rPr>
            <w:t>3、包装及运输</w:t>
          </w:r>
          <w:r>
            <w:rPr>
              <w:rFonts w:ascii="仿宋" w:hAnsi="仿宋" w:eastAsia="仿宋"/>
            </w:rPr>
            <w:tab/>
          </w:r>
          <w:r>
            <w:rPr>
              <w:rFonts w:ascii="仿宋" w:hAnsi="仿宋" w:eastAsia="仿宋"/>
            </w:rPr>
            <w:fldChar w:fldCharType="begin"/>
          </w:r>
          <w:r>
            <w:rPr>
              <w:rFonts w:ascii="仿宋" w:hAnsi="仿宋" w:eastAsia="仿宋"/>
            </w:rPr>
            <w:instrText xml:space="preserve"> PAGEREF _Toc520961024 \h </w:instrText>
          </w:r>
          <w:r>
            <w:rPr>
              <w:rFonts w:ascii="仿宋" w:hAnsi="仿宋" w:eastAsia="仿宋"/>
            </w:rPr>
            <w:fldChar w:fldCharType="separate"/>
          </w:r>
          <w:r>
            <w:rPr>
              <w:rFonts w:ascii="仿宋" w:hAnsi="仿宋" w:eastAsia="仿宋"/>
            </w:rPr>
            <w:t>2</w:t>
          </w:r>
          <w:r>
            <w:rPr>
              <w:rFonts w:ascii="仿宋" w:hAnsi="仿宋" w:eastAsia="仿宋"/>
            </w:rPr>
            <w:fldChar w:fldCharType="end"/>
          </w:r>
          <w:r>
            <w:rPr>
              <w:rFonts w:ascii="仿宋" w:hAnsi="仿宋" w:eastAsia="仿宋"/>
            </w:rPr>
            <w:fldChar w:fldCharType="end"/>
          </w:r>
        </w:p>
        <w:p>
          <w:pPr>
            <w:pStyle w:val="6"/>
            <w:rPr>
              <w:rFonts w:ascii="仿宋" w:hAnsi="仿宋" w:eastAsia="仿宋" w:cstheme="minorBidi"/>
              <w:b w:val="0"/>
              <w:sz w:val="21"/>
              <w:szCs w:val="22"/>
            </w:rPr>
          </w:pPr>
          <w:r>
            <w:fldChar w:fldCharType="begin"/>
          </w:r>
          <w:r>
            <w:instrText xml:space="preserve"> HYPERLINK \l "_Toc520961025" </w:instrText>
          </w:r>
          <w:r>
            <w:fldChar w:fldCharType="separate"/>
          </w:r>
          <w:r>
            <w:rPr>
              <w:rStyle w:val="9"/>
              <w:rFonts w:ascii="仿宋" w:hAnsi="仿宋" w:eastAsia="仿宋"/>
            </w:rPr>
            <w:t>4、赔偿</w:t>
          </w:r>
          <w:r>
            <w:rPr>
              <w:rFonts w:ascii="仿宋" w:hAnsi="仿宋" w:eastAsia="仿宋"/>
            </w:rPr>
            <w:tab/>
          </w:r>
          <w:r>
            <w:rPr>
              <w:rFonts w:ascii="仿宋" w:hAnsi="仿宋" w:eastAsia="仿宋"/>
            </w:rPr>
            <w:fldChar w:fldCharType="begin"/>
          </w:r>
          <w:r>
            <w:rPr>
              <w:rFonts w:ascii="仿宋" w:hAnsi="仿宋" w:eastAsia="仿宋"/>
            </w:rPr>
            <w:instrText xml:space="preserve"> PAGEREF _Toc520961025 \h </w:instrText>
          </w:r>
          <w:r>
            <w:rPr>
              <w:rFonts w:ascii="仿宋" w:hAnsi="仿宋" w:eastAsia="仿宋"/>
            </w:rPr>
            <w:fldChar w:fldCharType="separate"/>
          </w:r>
          <w:r>
            <w:rPr>
              <w:rFonts w:ascii="仿宋" w:hAnsi="仿宋" w:eastAsia="仿宋"/>
            </w:rPr>
            <w:t>2</w:t>
          </w:r>
          <w:r>
            <w:rPr>
              <w:rFonts w:ascii="仿宋" w:hAnsi="仿宋" w:eastAsia="仿宋"/>
            </w:rPr>
            <w:fldChar w:fldCharType="end"/>
          </w:r>
          <w:r>
            <w:rPr>
              <w:rFonts w:ascii="仿宋" w:hAnsi="仿宋" w:eastAsia="仿宋"/>
            </w:rPr>
            <w:fldChar w:fldCharType="end"/>
          </w:r>
        </w:p>
        <w:p>
          <w:pPr>
            <w:pStyle w:val="6"/>
            <w:rPr>
              <w:rFonts w:ascii="仿宋" w:hAnsi="仿宋" w:eastAsia="仿宋" w:cstheme="minorBidi"/>
              <w:b w:val="0"/>
              <w:sz w:val="21"/>
              <w:szCs w:val="22"/>
            </w:rPr>
          </w:pPr>
          <w:r>
            <w:fldChar w:fldCharType="begin"/>
          </w:r>
          <w:r>
            <w:instrText xml:space="preserve"> HYPERLINK \l "_Toc520961026" </w:instrText>
          </w:r>
          <w:r>
            <w:fldChar w:fldCharType="separate"/>
          </w:r>
          <w:r>
            <w:rPr>
              <w:rStyle w:val="9"/>
              <w:rFonts w:ascii="仿宋" w:hAnsi="仿宋" w:eastAsia="仿宋"/>
            </w:rPr>
            <w:t>5、对卖方及制造厂家的要求</w:t>
          </w:r>
          <w:r>
            <w:rPr>
              <w:rFonts w:ascii="仿宋" w:hAnsi="仿宋" w:eastAsia="仿宋"/>
            </w:rPr>
            <w:tab/>
          </w:r>
          <w:r>
            <w:rPr>
              <w:rFonts w:ascii="仿宋" w:hAnsi="仿宋" w:eastAsia="仿宋"/>
            </w:rPr>
            <w:fldChar w:fldCharType="begin"/>
          </w:r>
          <w:r>
            <w:rPr>
              <w:rFonts w:ascii="仿宋" w:hAnsi="仿宋" w:eastAsia="仿宋"/>
            </w:rPr>
            <w:instrText xml:space="preserve"> PAGEREF _Toc520961026 \h </w:instrText>
          </w:r>
          <w:r>
            <w:rPr>
              <w:rFonts w:ascii="仿宋" w:hAnsi="仿宋" w:eastAsia="仿宋"/>
            </w:rPr>
            <w:fldChar w:fldCharType="separate"/>
          </w:r>
          <w:r>
            <w:rPr>
              <w:rFonts w:ascii="仿宋" w:hAnsi="仿宋" w:eastAsia="仿宋"/>
            </w:rPr>
            <w:t>2</w:t>
          </w:r>
          <w:r>
            <w:rPr>
              <w:rFonts w:ascii="仿宋" w:hAnsi="仿宋" w:eastAsia="仿宋"/>
            </w:rPr>
            <w:fldChar w:fldCharType="end"/>
          </w:r>
          <w:r>
            <w:rPr>
              <w:rFonts w:ascii="仿宋" w:hAnsi="仿宋" w:eastAsia="仿宋"/>
            </w:rPr>
            <w:fldChar w:fldCharType="end"/>
          </w:r>
        </w:p>
        <w:p>
          <w:pPr>
            <w:pStyle w:val="6"/>
            <w:rPr>
              <w:rFonts w:ascii="仿宋" w:hAnsi="仿宋" w:eastAsia="仿宋" w:cstheme="minorBidi"/>
              <w:b w:val="0"/>
              <w:sz w:val="21"/>
              <w:szCs w:val="22"/>
            </w:rPr>
          </w:pPr>
          <w:r>
            <w:fldChar w:fldCharType="begin"/>
          </w:r>
          <w:r>
            <w:instrText xml:space="preserve"> HYPERLINK \l "_Toc520961027" </w:instrText>
          </w:r>
          <w:r>
            <w:fldChar w:fldCharType="separate"/>
          </w:r>
          <w:r>
            <w:rPr>
              <w:rStyle w:val="9"/>
              <w:rFonts w:ascii="仿宋" w:hAnsi="仿宋" w:eastAsia="仿宋"/>
            </w:rPr>
            <w:t>6.技术协议签字与生效</w:t>
          </w:r>
          <w:r>
            <w:rPr>
              <w:rFonts w:ascii="仿宋" w:hAnsi="仿宋" w:eastAsia="仿宋"/>
            </w:rPr>
            <w:tab/>
          </w:r>
          <w:r>
            <w:rPr>
              <w:rFonts w:ascii="仿宋" w:hAnsi="仿宋" w:eastAsia="仿宋"/>
            </w:rPr>
            <w:fldChar w:fldCharType="begin"/>
          </w:r>
          <w:r>
            <w:rPr>
              <w:rFonts w:ascii="仿宋" w:hAnsi="仿宋" w:eastAsia="仿宋"/>
            </w:rPr>
            <w:instrText xml:space="preserve"> PAGEREF _Toc520961027 \h </w:instrText>
          </w:r>
          <w:r>
            <w:rPr>
              <w:rFonts w:ascii="仿宋" w:hAnsi="仿宋" w:eastAsia="仿宋"/>
            </w:rPr>
            <w:fldChar w:fldCharType="separate"/>
          </w:r>
          <w:r>
            <w:rPr>
              <w:rFonts w:ascii="仿宋" w:hAnsi="仿宋" w:eastAsia="仿宋"/>
            </w:rPr>
            <w:t>3</w:t>
          </w:r>
          <w:r>
            <w:rPr>
              <w:rFonts w:ascii="仿宋" w:hAnsi="仿宋" w:eastAsia="仿宋"/>
            </w:rPr>
            <w:fldChar w:fldCharType="end"/>
          </w:r>
          <w:r>
            <w:rPr>
              <w:rFonts w:ascii="仿宋" w:hAnsi="仿宋" w:eastAsia="仿宋"/>
            </w:rPr>
            <w:fldChar w:fldCharType="end"/>
          </w:r>
        </w:p>
        <w:p>
          <w:r>
            <w:rPr>
              <w:b/>
              <w:bCs/>
              <w:lang w:val="zh-CN"/>
            </w:rPr>
            <w:fldChar w:fldCharType="end"/>
          </w:r>
        </w:p>
      </w:sdtContent>
    </w:sdt>
    <w:p>
      <w:pPr>
        <w:widowControl/>
        <w:jc w:val="left"/>
        <w:rPr>
          <w:rFonts w:ascii="仿宋" w:hAnsi="仿宋" w:eastAsia="仿宋"/>
          <w:b/>
          <w:sz w:val="32"/>
          <w:szCs w:val="32"/>
        </w:rPr>
      </w:pPr>
    </w:p>
    <w:p>
      <w:pPr>
        <w:widowControl/>
        <w:jc w:val="left"/>
        <w:rPr>
          <w:rFonts w:ascii="仿宋" w:hAnsi="仿宋" w:eastAsia="仿宋"/>
          <w:b/>
          <w:sz w:val="32"/>
          <w:szCs w:val="32"/>
        </w:rPr>
      </w:pPr>
    </w:p>
    <w:p>
      <w:pPr>
        <w:widowControl/>
        <w:jc w:val="left"/>
        <w:rPr>
          <w:rFonts w:ascii="仿宋" w:hAnsi="仿宋" w:eastAsia="仿宋"/>
          <w:b/>
          <w:sz w:val="32"/>
          <w:szCs w:val="32"/>
        </w:rPr>
      </w:pPr>
    </w:p>
    <w:p>
      <w:pPr>
        <w:widowControl/>
        <w:jc w:val="left"/>
        <w:rPr>
          <w:rFonts w:ascii="仿宋" w:hAnsi="仿宋" w:eastAsia="仿宋"/>
          <w:b/>
          <w:sz w:val="32"/>
          <w:szCs w:val="32"/>
        </w:rPr>
      </w:pPr>
    </w:p>
    <w:p>
      <w:pPr>
        <w:widowControl/>
        <w:jc w:val="left"/>
        <w:rPr>
          <w:rFonts w:ascii="仿宋" w:hAnsi="仿宋" w:eastAsia="仿宋"/>
          <w:b/>
          <w:sz w:val="32"/>
          <w:szCs w:val="32"/>
        </w:rPr>
      </w:pPr>
    </w:p>
    <w:p>
      <w:pPr>
        <w:widowControl/>
        <w:jc w:val="left"/>
        <w:rPr>
          <w:rFonts w:ascii="仿宋" w:hAnsi="仿宋" w:eastAsia="仿宋"/>
          <w:b/>
          <w:sz w:val="32"/>
          <w:szCs w:val="32"/>
        </w:rPr>
      </w:pPr>
    </w:p>
    <w:p>
      <w:pPr>
        <w:widowControl/>
        <w:jc w:val="left"/>
        <w:rPr>
          <w:rFonts w:ascii="仿宋" w:hAnsi="仿宋" w:eastAsia="仿宋"/>
          <w:b/>
          <w:sz w:val="32"/>
          <w:szCs w:val="32"/>
        </w:rPr>
      </w:pPr>
    </w:p>
    <w:p>
      <w:pPr>
        <w:widowControl/>
        <w:jc w:val="left"/>
        <w:rPr>
          <w:rFonts w:ascii="仿宋" w:hAnsi="仿宋" w:eastAsia="仿宋"/>
          <w:b/>
          <w:sz w:val="32"/>
          <w:szCs w:val="32"/>
        </w:rPr>
      </w:pPr>
    </w:p>
    <w:p>
      <w:pPr>
        <w:widowControl/>
        <w:jc w:val="left"/>
        <w:rPr>
          <w:rFonts w:ascii="仿宋" w:hAnsi="仿宋" w:eastAsia="仿宋"/>
          <w:b/>
          <w:sz w:val="32"/>
          <w:szCs w:val="32"/>
        </w:rPr>
      </w:pPr>
    </w:p>
    <w:p>
      <w:pPr>
        <w:widowControl/>
        <w:jc w:val="left"/>
        <w:rPr>
          <w:rFonts w:ascii="仿宋" w:hAnsi="仿宋" w:eastAsia="仿宋"/>
          <w:b/>
          <w:sz w:val="32"/>
          <w:szCs w:val="32"/>
        </w:rPr>
      </w:pPr>
    </w:p>
    <w:p>
      <w:pPr>
        <w:widowControl/>
        <w:jc w:val="left"/>
        <w:rPr>
          <w:rFonts w:ascii="仿宋" w:hAnsi="仿宋" w:eastAsia="仿宋"/>
          <w:b/>
          <w:sz w:val="32"/>
          <w:szCs w:val="32"/>
        </w:rPr>
      </w:pPr>
    </w:p>
    <w:p>
      <w:pPr>
        <w:widowControl/>
        <w:jc w:val="left"/>
        <w:rPr>
          <w:rFonts w:ascii="仿宋" w:hAnsi="仿宋" w:eastAsia="仿宋"/>
          <w:b/>
          <w:sz w:val="32"/>
          <w:szCs w:val="32"/>
        </w:rPr>
      </w:pPr>
    </w:p>
    <w:p>
      <w:pPr>
        <w:widowControl/>
        <w:jc w:val="left"/>
        <w:rPr>
          <w:rFonts w:ascii="仿宋" w:hAnsi="仿宋" w:eastAsia="仿宋"/>
          <w:b/>
          <w:sz w:val="32"/>
          <w:szCs w:val="32"/>
        </w:rPr>
      </w:pPr>
    </w:p>
    <w:p>
      <w:pPr>
        <w:widowControl/>
        <w:jc w:val="left"/>
        <w:rPr>
          <w:rFonts w:ascii="仿宋" w:hAnsi="仿宋" w:eastAsia="仿宋"/>
          <w:b/>
          <w:sz w:val="32"/>
          <w:szCs w:val="32"/>
        </w:rPr>
      </w:pPr>
    </w:p>
    <w:p>
      <w:pPr>
        <w:widowControl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SARCLAD毛化床专用300目石墨技术协议</w:t>
      </w:r>
    </w:p>
    <w:p>
      <w:pPr>
        <w:pStyle w:val="2"/>
        <w:rPr>
          <w:rFonts w:ascii="仿宋" w:hAnsi="仿宋" w:eastAsia="仿宋"/>
          <w:sz w:val="28"/>
          <w:szCs w:val="28"/>
        </w:rPr>
      </w:pPr>
      <w:bookmarkStart w:id="0" w:name="_Toc520961022"/>
      <w:r>
        <w:rPr>
          <w:rFonts w:hint="eastAsia" w:ascii="仿宋" w:hAnsi="仿宋" w:eastAsia="仿宋"/>
          <w:sz w:val="28"/>
          <w:szCs w:val="28"/>
        </w:rPr>
        <w:t>1、概述</w:t>
      </w:r>
      <w:bookmarkEnd w:id="0"/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本技术协议适用于包钢稀土钢板材厂冷轧磨辊间SARCLAD毛化床所用石墨。</w:t>
      </w:r>
    </w:p>
    <w:p>
      <w:pPr>
        <w:ind w:firstLine="560" w:firstLineChars="20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本技术协议规定了采购石墨的技术要求、包装要求等。此次石墨计划如下表所示：</w:t>
      </w:r>
    </w:p>
    <w:tbl>
      <w:tblPr>
        <w:tblStyle w:val="10"/>
        <w:tblW w:w="9690" w:type="dxa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"/>
        <w:gridCol w:w="2285"/>
        <w:gridCol w:w="2371"/>
        <w:gridCol w:w="1945"/>
        <w:gridCol w:w="763"/>
        <w:gridCol w:w="131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15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285" w:type="dxa"/>
            <w:tcBorders>
              <w:top w:val="single" w:color="auto" w:sz="8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名称</w:t>
            </w:r>
          </w:p>
        </w:tc>
        <w:tc>
          <w:tcPr>
            <w:tcW w:w="2371" w:type="dxa"/>
            <w:tcBorders>
              <w:top w:val="single" w:color="auto" w:sz="8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规格型号</w:t>
            </w:r>
          </w:p>
        </w:tc>
        <w:tc>
          <w:tcPr>
            <w:tcW w:w="1945" w:type="dxa"/>
            <w:tcBorders>
              <w:top w:val="single" w:color="auto" w:sz="8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材质</w:t>
            </w:r>
          </w:p>
        </w:tc>
        <w:tc>
          <w:tcPr>
            <w:tcW w:w="763" w:type="dxa"/>
            <w:tcBorders>
              <w:top w:val="single" w:color="auto" w:sz="8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1311" w:type="dxa"/>
            <w:tcBorders>
              <w:top w:val="single" w:color="auto" w:sz="8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需求量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</w:trPr>
        <w:tc>
          <w:tcPr>
            <w:tcW w:w="1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2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SARCLAD毛化床专用300目石墨</w:t>
            </w:r>
          </w:p>
        </w:tc>
        <w:tc>
          <w:tcPr>
            <w:tcW w:w="23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GGR-1350-51-004</w:t>
            </w:r>
          </w:p>
        </w:tc>
        <w:tc>
          <w:tcPr>
            <w:tcW w:w="1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高纯度合成石墨</w:t>
            </w:r>
          </w:p>
        </w:tc>
        <w:tc>
          <w:tcPr>
            <w:tcW w:w="7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K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g</w:t>
            </w:r>
          </w:p>
        </w:tc>
        <w:tc>
          <w:tcPr>
            <w:tcW w:w="13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1280</w:t>
            </w:r>
          </w:p>
        </w:tc>
      </w:tr>
    </w:tbl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稀土钢板材厂冷轧作业部毛化床担负着整个冷轧5条生产线的轧辊毛化任务，其工作状态直接关系到冷轧5条生产线的生产顺行和质量指标。</w: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SARCLAD毛化床所用石墨为电火花毛化必须的生产消耗材料，其品质的好坏直接影响到毛化表面质量是否合格、毛化能否达到目标粗糙度以及毛化床的使用安全。</w: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现场曾使用过国产石墨粉并造成以下问题：</w:t>
      </w:r>
    </w:p>
    <w:p>
      <w:pPr>
        <w:pStyle w:val="11"/>
        <w:numPr>
          <w:ilvl w:val="0"/>
          <w:numId w:val="1"/>
        </w:numPr>
        <w:ind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毛化床过滤系统频繁堵塞造成毛化床频繁停产。</w:t>
      </w:r>
    </w:p>
    <w:p>
      <w:pPr>
        <w:pStyle w:val="11"/>
        <w:numPr>
          <w:ilvl w:val="0"/>
          <w:numId w:val="1"/>
        </w:numPr>
        <w:ind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电极、电极臂烧损。</w:t>
      </w:r>
    </w:p>
    <w:p>
      <w:pPr>
        <w:pStyle w:val="11"/>
        <w:numPr>
          <w:ilvl w:val="0"/>
          <w:numId w:val="1"/>
        </w:numPr>
        <w:ind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毛化轧辊粗糙度不均、毛化无法达到目标粗糙度。</w: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为保证毛化床安全、稳定运行并达到所需技术要求，制定本技术协议。</w:t>
      </w:r>
    </w:p>
    <w:p>
      <w:pPr>
        <w:pStyle w:val="2"/>
        <w:rPr>
          <w:rFonts w:ascii="仿宋" w:hAnsi="仿宋" w:eastAsia="仿宋"/>
          <w:sz w:val="28"/>
          <w:szCs w:val="28"/>
        </w:rPr>
      </w:pPr>
      <w:bookmarkStart w:id="1" w:name="_Toc520961023"/>
      <w:r>
        <w:rPr>
          <w:rFonts w:hint="eastAsia" w:ascii="仿宋" w:hAnsi="仿宋" w:eastAsia="仿宋"/>
          <w:sz w:val="28"/>
          <w:szCs w:val="28"/>
        </w:rPr>
        <w:t>2、技术性能描述及技术参数</w:t>
      </w:r>
      <w:bookmarkEnd w:id="1"/>
    </w:p>
    <w:p>
      <w:pPr>
        <w:pStyle w:val="11"/>
        <w:ind w:left="360" w:firstLine="0"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2.1产品描述：高纯度合成石墨粉、粒度分布通过筛网控制。</w:t>
      </w:r>
    </w:p>
    <w:p>
      <w:pPr>
        <w:pStyle w:val="11"/>
        <w:ind w:left="360" w:firstLine="0"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2.2产品编号：GGR-1350-51-004 </w:t>
      </w:r>
    </w:p>
    <w:p>
      <w:pPr>
        <w:pStyle w:val="11"/>
        <w:ind w:left="360" w:firstLine="0"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2.3成份分析：杂质含量＜1%</w:t>
      </w:r>
    </w:p>
    <w:p>
      <w:pPr>
        <w:pStyle w:val="11"/>
        <w:ind w:left="360" w:firstLine="0"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通过150目筛网残留量为0。</w:t>
      </w:r>
    </w:p>
    <w:p>
      <w:pPr>
        <w:pStyle w:val="11"/>
        <w:ind w:left="360" w:firstLine="0"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通过300目筛网残留量＜5%。</w:t>
      </w:r>
    </w:p>
    <w:p>
      <w:pPr>
        <w:pStyle w:val="11"/>
        <w:ind w:left="360" w:firstLine="0"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2.4使用要求：在EDM130电火花毛化油中混合相溶均匀，安全使用。保证毛化床纯工作时间使用50小时毛化液系统不堵塞。</w:t>
      </w:r>
    </w:p>
    <w:p>
      <w:pPr>
        <w:pStyle w:val="2"/>
        <w:rPr>
          <w:rFonts w:ascii="仿宋" w:hAnsi="仿宋" w:eastAsia="仿宋"/>
          <w:sz w:val="28"/>
          <w:szCs w:val="28"/>
        </w:rPr>
      </w:pPr>
      <w:bookmarkStart w:id="2" w:name="_Toc520961024"/>
      <w:r>
        <w:rPr>
          <w:rFonts w:hint="eastAsia" w:ascii="仿宋" w:hAnsi="仿宋" w:eastAsia="仿宋"/>
          <w:sz w:val="28"/>
          <w:szCs w:val="28"/>
        </w:rPr>
        <w:t>3、包装及运输</w:t>
      </w:r>
      <w:bookmarkEnd w:id="2"/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3.1包装规格：包装规格以每8KG为1袋。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3.2运输：卖方需将货物安全送到买方指定地点。</w:t>
      </w:r>
    </w:p>
    <w:p>
      <w:pPr>
        <w:pStyle w:val="2"/>
        <w:rPr>
          <w:rFonts w:ascii="仿宋" w:hAnsi="仿宋" w:eastAsia="仿宋"/>
          <w:sz w:val="28"/>
          <w:szCs w:val="28"/>
        </w:rPr>
      </w:pPr>
      <w:bookmarkStart w:id="3" w:name="_Toc520961025"/>
      <w:r>
        <w:rPr>
          <w:rFonts w:hint="eastAsia" w:ascii="仿宋" w:hAnsi="仿宋" w:eastAsia="仿宋"/>
          <w:sz w:val="28"/>
          <w:szCs w:val="28"/>
        </w:rPr>
        <w:t>4、赔偿</w:t>
      </w:r>
      <w:bookmarkEnd w:id="3"/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如因石墨质量问题造成的毛化床毛化油系统堵塞或其它问题，造成的损失由卖方承担。</w:t>
      </w:r>
    </w:p>
    <w:p>
      <w:pPr>
        <w:pStyle w:val="2"/>
        <w:rPr>
          <w:rFonts w:ascii="仿宋" w:hAnsi="仿宋" w:eastAsia="仿宋"/>
          <w:bCs w:val="0"/>
          <w:sz w:val="28"/>
          <w:szCs w:val="28"/>
        </w:rPr>
      </w:pPr>
      <w:bookmarkStart w:id="4" w:name="_Toc520961026"/>
      <w:r>
        <w:rPr>
          <w:rFonts w:hint="eastAsia" w:ascii="仿宋" w:hAnsi="仿宋" w:eastAsia="仿宋"/>
          <w:sz w:val="28"/>
          <w:szCs w:val="28"/>
        </w:rPr>
        <w:t>5、对卖方</w:t>
      </w:r>
      <w:r>
        <w:rPr>
          <w:rFonts w:ascii="仿宋" w:hAnsi="仿宋" w:eastAsia="仿宋"/>
          <w:sz w:val="28"/>
          <w:szCs w:val="28"/>
        </w:rPr>
        <w:t>及</w:t>
      </w:r>
      <w:r>
        <w:rPr>
          <w:rFonts w:hint="eastAsia" w:ascii="仿宋" w:hAnsi="仿宋" w:eastAsia="仿宋"/>
          <w:sz w:val="28"/>
          <w:szCs w:val="28"/>
        </w:rPr>
        <w:t>制造厂家的要求</w:t>
      </w:r>
      <w:bookmarkEnd w:id="4"/>
    </w:p>
    <w:p>
      <w:pPr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5.1制造厂家为英国Sarclad公司或具有英国Sarclad公司的产品质量证明书并提供相应原产地证明，并在投标前向买方提供相关文件。</w:t>
      </w:r>
    </w:p>
    <w:p>
      <w:pPr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5.2卖方需具备合格制造厂家（上述达到要求的制造厂家）授权认证。</w:t>
      </w:r>
    </w:p>
    <w:p>
      <w:pPr>
        <w:pStyle w:val="2"/>
        <w:spacing w:line="480" w:lineRule="exact"/>
        <w:rPr>
          <w:rFonts w:ascii="仿宋" w:hAnsi="仿宋" w:eastAsia="仿宋"/>
          <w:sz w:val="28"/>
        </w:rPr>
      </w:pPr>
      <w:bookmarkStart w:id="5" w:name="_Toc520961027"/>
      <w:r>
        <w:rPr>
          <w:rFonts w:hint="eastAsia" w:ascii="仿宋" w:hAnsi="仿宋" w:eastAsia="仿宋"/>
          <w:sz w:val="28"/>
        </w:rPr>
        <w:t>6.技术协议签字与生效</w:t>
      </w:r>
      <w:bookmarkEnd w:id="5"/>
    </w:p>
    <w:p>
      <w:pPr>
        <w:spacing w:line="480" w:lineRule="exact"/>
        <w:rPr>
          <w:rFonts w:ascii="仿宋" w:hAnsi="仿宋" w:eastAsia="仿宋"/>
          <w:sz w:val="28"/>
        </w:rPr>
      </w:pPr>
      <w:r>
        <w:rPr>
          <w:rFonts w:ascii="仿宋" w:hAnsi="仿宋" w:eastAsia="仿宋"/>
          <w:sz w:val="28"/>
        </w:rPr>
        <w:t>6</w:t>
      </w:r>
      <w:r>
        <w:rPr>
          <w:rFonts w:hint="eastAsia" w:ascii="仿宋" w:hAnsi="仿宋" w:eastAsia="仿宋"/>
          <w:sz w:val="28"/>
        </w:rPr>
        <w:t>.1本协议中如有未尽事宜，双方本着友好共同协商解决。</w:t>
      </w:r>
    </w:p>
    <w:p>
      <w:pPr>
        <w:spacing w:line="480" w:lineRule="exact"/>
        <w:rPr>
          <w:rFonts w:ascii="仿宋" w:hAnsi="仿宋" w:eastAsia="仿宋"/>
          <w:sz w:val="28"/>
        </w:rPr>
      </w:pPr>
      <w:r>
        <w:rPr>
          <w:rFonts w:ascii="仿宋" w:hAnsi="仿宋" w:eastAsia="仿宋"/>
          <w:sz w:val="28"/>
        </w:rPr>
        <w:t>6</w:t>
      </w:r>
      <w:r>
        <w:rPr>
          <w:rFonts w:hint="eastAsia" w:ascii="仿宋" w:hAnsi="仿宋" w:eastAsia="仿宋"/>
          <w:sz w:val="28"/>
        </w:rPr>
        <w:t>.2本协议中涉及到的内容，卖方不得有侵犯他人知识产权行为，如发生侵犯他人知识产权行为由卖方承担全部责任。</w:t>
      </w:r>
    </w:p>
    <w:p>
      <w:pPr>
        <w:spacing w:line="480" w:lineRule="exact"/>
        <w:rPr>
          <w:rFonts w:ascii="仿宋" w:hAnsi="仿宋" w:eastAsia="仿宋"/>
          <w:sz w:val="28"/>
        </w:rPr>
      </w:pPr>
      <w:r>
        <w:rPr>
          <w:rFonts w:ascii="仿宋" w:hAnsi="仿宋" w:eastAsia="仿宋"/>
          <w:sz w:val="28"/>
        </w:rPr>
        <w:t>6</w:t>
      </w:r>
      <w:r>
        <w:rPr>
          <w:rFonts w:hint="eastAsia" w:ascii="仿宋" w:hAnsi="仿宋" w:eastAsia="仿宋"/>
          <w:sz w:val="28"/>
        </w:rPr>
        <w:t>.3本技术协议三方签字盖章后生效，是合同不可分割的重要组成部分；</w:t>
      </w:r>
      <w:r>
        <w:rPr>
          <w:rFonts w:hint="eastAsia" w:ascii="仿宋" w:hAnsi="仿宋" w:eastAsia="仿宋"/>
          <w:bCs/>
          <w:sz w:val="28"/>
        </w:rPr>
        <w:t>本技术协议共4份，买方执2份，卖方和</w:t>
      </w:r>
      <w:r>
        <w:rPr>
          <w:rFonts w:ascii="仿宋" w:hAnsi="仿宋" w:eastAsia="仿宋"/>
          <w:bCs/>
          <w:sz w:val="28"/>
        </w:rPr>
        <w:t>制造方各</w:t>
      </w:r>
      <w:r>
        <w:rPr>
          <w:rFonts w:hint="eastAsia" w:ascii="仿宋" w:hAnsi="仿宋" w:eastAsia="仿宋"/>
          <w:bCs/>
          <w:sz w:val="28"/>
        </w:rPr>
        <w:t>执1份</w:t>
      </w:r>
      <w:r>
        <w:rPr>
          <w:rFonts w:hint="eastAsia" w:ascii="仿宋" w:hAnsi="仿宋" w:eastAsia="仿宋"/>
          <w:sz w:val="28"/>
        </w:rPr>
        <w:t>。</w:t>
      </w:r>
    </w:p>
    <w:p>
      <w:pPr>
        <w:rPr>
          <w:rFonts w:ascii="楷体_GB2312" w:eastAsia="楷体_GB2312"/>
          <w:b/>
          <w:sz w:val="28"/>
        </w:rPr>
      </w:pPr>
    </w:p>
    <w:p>
      <w:pPr>
        <w:rPr>
          <w:rFonts w:ascii="楷体_GB2312" w:eastAsia="楷体_GB2312"/>
          <w:b/>
          <w:sz w:val="28"/>
        </w:rPr>
      </w:pPr>
      <w:r>
        <w:rPr>
          <w:rFonts w:hint="eastAsia" w:ascii="楷体_GB2312" w:eastAsia="楷体_GB2312"/>
          <w:b/>
          <w:sz w:val="28"/>
        </w:rPr>
        <w:t>买方：包钢稀土钢板材厂    （盖章）             冷轧作业部</w:t>
      </w:r>
    </w:p>
    <w:p>
      <w:pPr>
        <w:rPr>
          <w:rFonts w:ascii="楷体_GB2312" w:eastAsia="楷体_GB2312"/>
          <w:b/>
          <w:sz w:val="28"/>
        </w:rPr>
      </w:pPr>
    </w:p>
    <w:p>
      <w:pPr>
        <w:rPr>
          <w:rFonts w:ascii="楷体_GB2312" w:eastAsia="楷体_GB2312"/>
          <w:b/>
          <w:sz w:val="28"/>
        </w:rPr>
      </w:pPr>
      <w:r>
        <w:rPr>
          <w:rFonts w:hint="eastAsia" w:ascii="楷体_GB2312" w:eastAsia="楷体_GB2312"/>
          <w:b/>
          <w:sz w:val="28"/>
        </w:rPr>
        <w:t>授权代表：</w:t>
      </w:r>
    </w:p>
    <w:p>
      <w:pPr>
        <w:rPr>
          <w:rFonts w:ascii="楷体_GB2312" w:eastAsia="楷体_GB2312"/>
          <w:b/>
          <w:sz w:val="28"/>
        </w:rPr>
      </w:pPr>
      <w:r>
        <w:rPr>
          <w:rFonts w:hint="eastAsia" w:ascii="楷体_GB2312" w:eastAsia="楷体_GB2312"/>
          <w:b/>
          <w:sz w:val="28"/>
        </w:rPr>
        <w:t>日期： 2018年    月    日</w:t>
      </w:r>
    </w:p>
    <w:p>
      <w:pPr>
        <w:rPr>
          <w:rFonts w:ascii="楷体_GB2312" w:eastAsia="楷体_GB2312"/>
          <w:b/>
          <w:sz w:val="28"/>
        </w:rPr>
      </w:pPr>
    </w:p>
    <w:p>
      <w:pPr>
        <w:rPr>
          <w:rFonts w:ascii="楷体_GB2312" w:eastAsia="楷体_GB2312"/>
          <w:b/>
          <w:sz w:val="28"/>
        </w:rPr>
      </w:pPr>
      <w:r>
        <w:rPr>
          <w:rFonts w:hint="eastAsia" w:ascii="楷体_GB2312" w:eastAsia="楷体_GB2312"/>
          <w:b/>
          <w:sz w:val="28"/>
        </w:rPr>
        <w:t>卖方：</w:t>
      </w:r>
      <w:r>
        <w:rPr>
          <w:rFonts w:hint="eastAsia" w:ascii="楷体_GB2312" w:hAnsi="宋体" w:eastAsia="楷体_GB2312"/>
          <w:b/>
          <w:color w:val="000000"/>
          <w:sz w:val="30"/>
          <w:szCs w:val="30"/>
        </w:rPr>
        <w:t xml:space="preserve">                   </w:t>
      </w:r>
      <w:r>
        <w:rPr>
          <w:rFonts w:hint="eastAsia" w:ascii="楷体_GB2312" w:eastAsia="楷体_GB2312"/>
          <w:b/>
          <w:sz w:val="28"/>
        </w:rPr>
        <w:t>（盖章）</w:t>
      </w:r>
    </w:p>
    <w:p>
      <w:pPr>
        <w:rPr>
          <w:rFonts w:ascii="楷体_GB2312" w:eastAsia="楷体_GB2312"/>
          <w:b/>
          <w:sz w:val="28"/>
        </w:rPr>
      </w:pPr>
      <w:r>
        <w:rPr>
          <w:rFonts w:hint="eastAsia" w:ascii="楷体_GB2312" w:eastAsia="楷体_GB2312"/>
          <w:b/>
          <w:sz w:val="28"/>
        </w:rPr>
        <w:t>授权代表：</w:t>
      </w:r>
    </w:p>
    <w:p>
      <w:pPr>
        <w:rPr>
          <w:rFonts w:ascii="楷体_GB2312" w:eastAsia="楷体_GB2312"/>
          <w:b/>
          <w:sz w:val="28"/>
        </w:rPr>
      </w:pPr>
      <w:r>
        <w:rPr>
          <w:rFonts w:hint="eastAsia" w:ascii="楷体_GB2312" w:eastAsia="楷体_GB2312"/>
          <w:b/>
          <w:sz w:val="28"/>
        </w:rPr>
        <w:t>日期： 2018年    月    日</w:t>
      </w:r>
    </w:p>
    <w:p>
      <w:pPr>
        <w:rPr>
          <w:rFonts w:ascii="楷体_GB2312" w:eastAsia="楷体_GB2312"/>
          <w:b/>
          <w:sz w:val="28"/>
        </w:rPr>
      </w:pPr>
    </w:p>
    <w:p>
      <w:pPr>
        <w:rPr>
          <w:rFonts w:ascii="楷体_GB2312" w:eastAsia="楷体_GB2312"/>
          <w:b/>
          <w:sz w:val="28"/>
        </w:rPr>
      </w:pPr>
      <w:r>
        <w:rPr>
          <w:rFonts w:hint="eastAsia" w:ascii="楷体_GB2312" w:eastAsia="楷体_GB2312"/>
          <w:b/>
          <w:sz w:val="28"/>
        </w:rPr>
        <w:t xml:space="preserve">制造方： </w:t>
      </w:r>
    </w:p>
    <w:p>
      <w:pPr>
        <w:rPr>
          <w:rFonts w:ascii="楷体_GB2312" w:eastAsia="楷体_GB2312"/>
          <w:b/>
          <w:sz w:val="28"/>
        </w:rPr>
      </w:pPr>
      <w:r>
        <w:rPr>
          <w:rFonts w:hint="eastAsia" w:ascii="楷体_GB2312" w:eastAsia="楷体_GB2312"/>
          <w:b/>
          <w:sz w:val="28"/>
        </w:rPr>
        <w:t>授权代表：                （盖章）</w:t>
      </w:r>
    </w:p>
    <w:p>
      <w:pPr>
        <w:rPr>
          <w:rFonts w:ascii="楷体_GB2312" w:eastAsia="楷体_GB2312"/>
          <w:sz w:val="28"/>
        </w:rPr>
      </w:pPr>
      <w:r>
        <w:rPr>
          <w:rFonts w:hint="eastAsia" w:ascii="楷体_GB2312" w:eastAsia="楷体_GB2312"/>
          <w:b/>
          <w:sz w:val="28"/>
        </w:rPr>
        <w:t>日期： 2018年    月    日</w:t>
      </w:r>
    </w:p>
    <w:p>
      <w:pPr>
        <w:rPr>
          <w:rFonts w:ascii="仿宋" w:hAnsi="仿宋" w:eastAsia="仿宋"/>
          <w:sz w:val="28"/>
          <w:szCs w:val="28"/>
        </w:rPr>
      </w:pPr>
    </w:p>
    <w:p>
      <w:pPr>
        <w:pStyle w:val="11"/>
        <w:ind w:left="360" w:firstLine="0" w:firstLineChars="0"/>
        <w:jc w:val="right"/>
        <w:rPr>
          <w:rFonts w:asciiTheme="minorEastAsia" w:hAnsiTheme="minorEastAsia"/>
          <w:sz w:val="28"/>
          <w:szCs w:val="28"/>
        </w:rPr>
      </w:pPr>
    </w:p>
    <w:p>
      <w:pPr>
        <w:pStyle w:val="11"/>
        <w:ind w:left="360" w:firstLine="0" w:firstLineChars="0"/>
        <w:jc w:val="right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 xml:space="preserve"> 冷轧作业部</w:t>
      </w:r>
    </w:p>
    <w:p>
      <w:pPr>
        <w:pStyle w:val="11"/>
        <w:ind w:left="360" w:firstLine="0" w:firstLineChars="0"/>
        <w:jc w:val="right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2018年 月 日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Arial Unicode MS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</w:p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F707C0"/>
    <w:multiLevelType w:val="multilevel"/>
    <w:tmpl w:val="52F707C0"/>
    <w:lvl w:ilvl="0" w:tentative="0">
      <w:start w:val="1"/>
      <w:numFmt w:val="bullet"/>
      <w:lvlText w:val=""/>
      <w:lvlJc w:val="left"/>
      <w:pPr>
        <w:ind w:left="1280" w:hanging="720"/>
      </w:pPr>
      <w:rPr>
        <w:rFonts w:hint="default" w:ascii="Wingdings" w:hAnsi="Wingdings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dit="forms" w:enforcement="1" w:cryptProviderType="rsaFull" w:cryptAlgorithmClass="hash" w:cryptAlgorithmType="typeAny" w:cryptAlgorithmSid="4" w:cryptSpinCount="0" w:hash="oYV8DzSVECITL/2EzvXuI3XvDkY=" w:salt="e/kOCGWk/fDWEn+Bml8FlA==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CE9"/>
    <w:rsid w:val="00064A73"/>
    <w:rsid w:val="000C0FE5"/>
    <w:rsid w:val="004876E1"/>
    <w:rsid w:val="00595F8D"/>
    <w:rsid w:val="00626392"/>
    <w:rsid w:val="007B2CE9"/>
    <w:rsid w:val="0082379A"/>
    <w:rsid w:val="00BA3E70"/>
    <w:rsid w:val="00C302F9"/>
    <w:rsid w:val="00E43392"/>
    <w:rsid w:val="2B0A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1"/>
    <w:basedOn w:val="1"/>
    <w:next w:val="1"/>
    <w:qFormat/>
    <w:uiPriority w:val="39"/>
    <w:pPr>
      <w:tabs>
        <w:tab w:val="right" w:leader="dot" w:pos="8296"/>
      </w:tabs>
    </w:pPr>
    <w:rPr>
      <w:rFonts w:ascii="黑体" w:hAnsi="黑体" w:eastAsia="黑体" w:cs="Times New Roman"/>
      <w:b/>
      <w:sz w:val="28"/>
      <w:szCs w:val="28"/>
    </w:rPr>
  </w:style>
  <w:style w:type="paragraph" w:styleId="7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character" w:styleId="9">
    <w:name w:val="Hyperlink"/>
    <w:qFormat/>
    <w:uiPriority w:val="99"/>
    <w:rPr>
      <w:color w:val="0000FF"/>
      <w:u w:val="single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3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4">
    <w:name w:val="标题 1 Char"/>
    <w:basedOn w:val="8"/>
    <w:link w:val="2"/>
    <w:qFormat/>
    <w:uiPriority w:val="9"/>
    <w:rPr>
      <w:b/>
      <w:bCs/>
      <w:kern w:val="44"/>
      <w:sz w:val="44"/>
      <w:szCs w:val="44"/>
    </w:rPr>
  </w:style>
  <w:style w:type="paragraph" w:customStyle="1" w:styleId="15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49DA458-C806-4EB8-A26F-14ADFF679B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264</Words>
  <Characters>1510</Characters>
  <Lines>12</Lines>
  <Paragraphs>3</Paragraphs>
  <TotalTime>2084</TotalTime>
  <ScaleCrop>false</ScaleCrop>
  <LinksUpToDate>false</LinksUpToDate>
  <CharactersWithSpaces>1771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2018-07-24T07:52:00Z</dcterms:created>
  <dc:creator>Administrator</dc:creator>
  <cp:lastModifiedBy>孔丽娜</cp:lastModifiedBy>
  <dcterms:modified xsi:type="dcterms:W3CDTF">2018-08-31T00:40:58Z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