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color w:val="FF0000"/>
          <w:sz w:val="48"/>
          <w:szCs w:val="48"/>
        </w:rPr>
      </w:pPr>
    </w:p>
    <w:p>
      <w:pPr>
        <w:rPr>
          <w:rFonts w:hint="eastAsia" w:ascii="仿宋" w:hAnsi="仿宋" w:eastAsia="仿宋" w:cs="仿宋"/>
          <w:b/>
          <w:sz w:val="48"/>
          <w:szCs w:val="48"/>
        </w:rPr>
      </w:pPr>
    </w:p>
    <w:p>
      <w:pPr>
        <w:rPr>
          <w:rFonts w:hint="eastAsia" w:ascii="仿宋" w:hAnsi="仿宋" w:eastAsia="仿宋" w:cs="仿宋"/>
          <w:b/>
          <w:sz w:val="48"/>
          <w:szCs w:val="48"/>
        </w:rPr>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sz w:val="84"/>
          <w:szCs w:val="84"/>
        </w:rPr>
      </w:pPr>
      <w:r>
        <w:rPr>
          <w:rFonts w:hint="eastAsia" w:ascii="仿宋" w:hAnsi="仿宋" w:eastAsia="仿宋" w:cs="仿宋"/>
          <w:b/>
          <w:sz w:val="84"/>
          <w:szCs w:val="84"/>
        </w:rPr>
        <w:t>价格评估结论书</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FF0000"/>
          <w:sz w:val="28"/>
          <w:szCs w:val="28"/>
        </w:rPr>
      </w:pPr>
      <w:r>
        <w:rPr>
          <w:rFonts w:hint="eastAsia" w:ascii="仿宋" w:hAnsi="仿宋" w:eastAsia="仿宋" w:cs="仿宋"/>
          <w:spacing w:val="10"/>
          <w:sz w:val="28"/>
          <w:szCs w:val="28"/>
        </w:rPr>
        <w:t>浙矿价评[2</w:t>
      </w:r>
      <w:r>
        <w:rPr>
          <w:rFonts w:hint="eastAsia" w:ascii="仿宋" w:hAnsi="仿宋" w:eastAsia="仿宋" w:cs="仿宋"/>
          <w:color w:val="000000" w:themeColor="text1"/>
          <w:spacing w:val="10"/>
          <w:sz w:val="28"/>
          <w:szCs w:val="28"/>
        </w:rPr>
        <w:t>021]0</w:t>
      </w:r>
      <w:r>
        <w:rPr>
          <w:rFonts w:hint="eastAsia" w:ascii="仿宋" w:hAnsi="仿宋" w:eastAsia="仿宋" w:cs="仿宋"/>
          <w:color w:val="000000" w:themeColor="text1"/>
          <w:spacing w:val="10"/>
          <w:sz w:val="28"/>
          <w:szCs w:val="28"/>
          <w:lang w:val="en-US" w:eastAsia="zh-CN"/>
        </w:rPr>
        <w:t>7</w:t>
      </w:r>
      <w:r>
        <w:rPr>
          <w:rFonts w:hint="eastAsia" w:ascii="仿宋" w:hAnsi="仿宋" w:eastAsia="仿宋" w:cs="仿宋"/>
          <w:color w:val="FF0000"/>
          <w:spacing w:val="10"/>
          <w:sz w:val="28"/>
          <w:szCs w:val="28"/>
        </w:rPr>
        <w:t>-</w:t>
      </w:r>
      <w:r>
        <w:rPr>
          <w:rFonts w:hint="eastAsia" w:ascii="仿宋" w:hAnsi="仿宋" w:eastAsia="仿宋" w:cs="仿宋"/>
          <w:color w:val="FF0000"/>
          <w:spacing w:val="10"/>
          <w:sz w:val="28"/>
          <w:szCs w:val="28"/>
          <w:lang w:val="en-US" w:eastAsia="zh-CN"/>
        </w:rPr>
        <w:t xml:space="preserve"> </w:t>
      </w:r>
      <w:r>
        <w:rPr>
          <w:rFonts w:hint="eastAsia" w:ascii="仿宋" w:hAnsi="仿宋" w:eastAsia="仿宋" w:cs="仿宋"/>
          <w:color w:val="000000" w:themeColor="text1"/>
          <w:spacing w:val="10"/>
          <w:sz w:val="28"/>
          <w:szCs w:val="28"/>
        </w:rPr>
        <w:t>号</w:t>
      </w:r>
    </w:p>
    <w:p>
      <w:pPr>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p>
    <w:p>
      <w:pPr>
        <w:pStyle w:val="2"/>
        <w:rPr>
          <w:rFonts w:hint="eastAsia" w:ascii="仿宋" w:hAnsi="仿宋" w:eastAsia="仿宋" w:cs="仿宋"/>
          <w:sz w:val="28"/>
          <w:szCs w:val="28"/>
        </w:rPr>
      </w:pPr>
    </w:p>
    <w:p>
      <w:pPr>
        <w:pStyle w:val="2"/>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仿宋" w:hAnsi="仿宋" w:eastAsia="仿宋" w:cs="仿宋"/>
          <w:sz w:val="28"/>
          <w:u w:val="single"/>
          <w:lang w:val="en-US" w:eastAsia="zh-CN"/>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sz w:val="28"/>
          <w:u w:val="single"/>
          <w:lang w:eastAsia="zh-CN"/>
        </w:rPr>
        <w:t>义乌市大陈镇</w:t>
      </w:r>
      <w:r>
        <w:rPr>
          <w:rFonts w:hint="eastAsia" w:ascii="仿宋" w:hAnsi="仿宋" w:eastAsia="仿宋" w:cs="仿宋"/>
          <w:sz w:val="28"/>
          <w:u w:val="single"/>
          <w:lang w:val="en-US" w:eastAsia="zh-CN"/>
        </w:rPr>
        <w:t>楂林菜市场周边配套工程及边坡治理弃渣</w:t>
      </w:r>
      <w:bookmarkStart w:id="35" w:name="_GoBack"/>
      <w:bookmarkEnd w:id="35"/>
      <w:r>
        <w:rPr>
          <w:rFonts w:hint="eastAsia" w:ascii="仿宋" w:hAnsi="仿宋" w:eastAsia="仿宋" w:cs="仿宋"/>
          <w:sz w:val="28"/>
          <w:u w:val="single"/>
          <w:lang w:val="en-US" w:eastAsia="zh-CN"/>
        </w:rPr>
        <w:t>资源处置价值评估</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val="0"/>
          <w:bCs w:val="0"/>
          <w:color w:val="FF0000"/>
          <w:sz w:val="28"/>
          <w:szCs w:val="28"/>
          <w:u w:val="single"/>
          <w:lang w:val="en-US"/>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sz w:val="28"/>
          <w:u w:val="single"/>
          <w:lang w:eastAsia="zh-CN"/>
        </w:rPr>
        <w:t>义乌市</w:t>
      </w:r>
      <w:r>
        <w:rPr>
          <w:rFonts w:hint="eastAsia" w:ascii="仿宋" w:hAnsi="仿宋" w:eastAsia="仿宋" w:cs="仿宋"/>
          <w:sz w:val="28"/>
          <w:u w:val="single"/>
          <w:lang w:val="en-US" w:eastAsia="zh-CN"/>
        </w:rPr>
        <w:t>大陈镇人民政府</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keepNext w:val="0"/>
        <w:keepLines w:val="0"/>
        <w:pageBreakBefore w:val="0"/>
        <w:widowControl w:val="0"/>
        <w:kinsoku/>
        <w:wordWrap/>
        <w:overflowPunct/>
        <w:topLinePunct w:val="0"/>
        <w:autoSpaceDE w:val="0"/>
        <w:autoSpaceDN w:val="0"/>
        <w:bidi w:val="0"/>
        <w:adjustRightInd w:val="0"/>
        <w:snapToGrid/>
        <w:spacing w:line="660" w:lineRule="exact"/>
        <w:ind w:firstLine="0" w:firstLineChars="0"/>
        <w:jc w:val="left"/>
        <w:textAlignment w:val="auto"/>
        <w:rPr>
          <w:rFonts w:hint="eastAsia"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二〇二一年</w:t>
      </w:r>
      <w:r>
        <w:rPr>
          <w:rFonts w:hint="eastAsia" w:ascii="仿宋" w:hAnsi="仿宋" w:eastAsia="仿宋" w:cs="仿宋"/>
          <w:spacing w:val="1"/>
          <w:kern w:val="0"/>
          <w:sz w:val="28"/>
          <w:u w:val="single"/>
          <w:lang w:val="en-US" w:eastAsia="zh-CN"/>
        </w:rPr>
        <w:t>七</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七</w:t>
      </w:r>
      <w:r>
        <w:rPr>
          <w:rFonts w:hint="eastAsia" w:ascii="仿宋" w:hAnsi="仿宋" w:eastAsia="仿宋" w:cs="仿宋"/>
          <w:spacing w:val="1"/>
          <w:kern w:val="0"/>
          <w:sz w:val="28"/>
          <w:u w:val="single"/>
        </w:rPr>
        <w:t>日</w:t>
      </w: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仿宋" w:hAnsi="仿宋" w:eastAsia="仿宋" w:cs="仿宋"/>
          <w:b/>
          <w:bCs/>
          <w:sz w:val="32"/>
          <w:szCs w:val="32"/>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义乌市大陈镇楂林菜市场周边配套工程及边坡治理弃渣</w:t>
      </w: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资源处置价值评估结论书</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szCs w:val="28"/>
        </w:rPr>
      </w:pPr>
      <w:r>
        <w:rPr>
          <w:rFonts w:hint="eastAsia" w:ascii="仿宋" w:hAnsi="仿宋" w:eastAsia="仿宋" w:cs="仿宋"/>
          <w:spacing w:val="10"/>
          <w:sz w:val="28"/>
          <w:szCs w:val="28"/>
        </w:rPr>
        <w:t>浙矿价评[2021</w:t>
      </w:r>
      <w:r>
        <w:rPr>
          <w:rFonts w:hint="eastAsia" w:ascii="仿宋" w:hAnsi="仿宋" w:eastAsia="仿宋" w:cs="仿宋"/>
          <w:color w:val="000000" w:themeColor="text1"/>
          <w:spacing w:val="10"/>
          <w:sz w:val="28"/>
          <w:szCs w:val="28"/>
        </w:rPr>
        <w:t>]</w:t>
      </w:r>
      <w:r>
        <w:rPr>
          <w:rFonts w:hint="eastAsia" w:ascii="仿宋" w:hAnsi="仿宋" w:eastAsia="仿宋" w:cs="仿宋"/>
          <w:color w:val="000000" w:themeColor="text1"/>
          <w:spacing w:val="10"/>
          <w:sz w:val="28"/>
          <w:szCs w:val="28"/>
          <w:lang w:val="en-US" w:eastAsia="zh-CN"/>
        </w:rPr>
        <w:t>07</w:t>
      </w:r>
      <w:r>
        <w:rPr>
          <w:rFonts w:hint="eastAsia" w:ascii="仿宋" w:hAnsi="仿宋" w:eastAsia="仿宋" w:cs="仿宋"/>
          <w:color w:val="FF0000"/>
          <w:spacing w:val="10"/>
          <w:sz w:val="28"/>
          <w:szCs w:val="28"/>
        </w:rPr>
        <w:t>-</w:t>
      </w:r>
      <w:r>
        <w:rPr>
          <w:rFonts w:hint="eastAsia" w:ascii="仿宋" w:hAnsi="仿宋" w:eastAsia="仿宋" w:cs="仿宋"/>
          <w:color w:val="000000" w:themeColor="text1"/>
          <w:spacing w:val="10"/>
          <w:sz w:val="28"/>
          <w:szCs w:val="28"/>
        </w:rPr>
        <w:t>号</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left="0" w:leftChars="0" w:firstLine="0" w:firstLineChars="0"/>
        <w:jc w:val="both"/>
        <w:textAlignment w:val="auto"/>
        <w:rPr>
          <w:rFonts w:hint="eastAsia" w:ascii="仿宋" w:hAnsi="仿宋" w:eastAsia="仿宋" w:cs="仿宋"/>
          <w:color w:val="FF0000"/>
          <w:sz w:val="28"/>
          <w:szCs w:val="28"/>
          <w:u w:val="single"/>
        </w:rPr>
      </w:pPr>
      <w:r>
        <w:rPr>
          <w:rFonts w:hint="eastAsia" w:ascii="仿宋" w:hAnsi="仿宋" w:eastAsia="仿宋" w:cs="仿宋"/>
          <w:b/>
          <w:bCs/>
          <w:sz w:val="28"/>
          <w:lang w:eastAsia="zh-CN"/>
        </w:rPr>
        <w:t>义乌市</w:t>
      </w:r>
      <w:r>
        <w:rPr>
          <w:rFonts w:hint="eastAsia" w:ascii="仿宋" w:hAnsi="仿宋" w:eastAsia="仿宋" w:cs="仿宋"/>
          <w:b/>
          <w:bCs/>
          <w:sz w:val="28"/>
          <w:lang w:val="en-US" w:eastAsia="zh-CN"/>
        </w:rPr>
        <w:t>大陈镇人民政府</w:t>
      </w:r>
      <w:r>
        <w:rPr>
          <w:rFonts w:hint="eastAsia" w:ascii="仿宋" w:hAnsi="仿宋" w:eastAsia="仿宋" w:cs="仿宋"/>
          <w:b/>
          <w:bCs/>
          <w:kern w:val="0"/>
          <w:sz w:val="28"/>
        </w:rPr>
        <w:t>：</w:t>
      </w:r>
    </w:p>
    <w:p>
      <w:pPr>
        <w:keepNext w:val="0"/>
        <w:keepLines w:val="0"/>
        <w:pageBreakBefore w:val="0"/>
        <w:widowControl w:val="0"/>
        <w:kinsoku/>
        <w:wordWrap/>
        <w:overflowPunct/>
        <w:topLinePunct w:val="0"/>
        <w:autoSpaceDE/>
        <w:autoSpaceDN/>
        <w:bidi w:val="0"/>
        <w:adjustRightInd/>
        <w:snapToGrid/>
        <w:spacing w:line="360" w:lineRule="auto"/>
        <w:ind w:firstLine="608" w:firstLineChars="200"/>
        <w:textAlignment w:val="auto"/>
        <w:rPr>
          <w:rFonts w:hint="eastAsia"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sz w:val="28"/>
          <w:lang w:eastAsia="zh-CN"/>
        </w:rPr>
        <w:t>义乌市大陈镇</w:t>
      </w:r>
      <w:r>
        <w:rPr>
          <w:rFonts w:hint="eastAsia" w:ascii="仿宋" w:hAnsi="仿宋" w:eastAsia="仿宋" w:cs="仿宋"/>
          <w:sz w:val="28"/>
          <w:lang w:val="en-US" w:eastAsia="zh-CN"/>
        </w:rPr>
        <w:t>楂林菜市场周边配套工程及边坡治理弃渣资源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w:t>
      </w:r>
      <w:r>
        <w:rPr>
          <w:rFonts w:hint="eastAsia" w:ascii="仿宋" w:hAnsi="仿宋" w:eastAsia="仿宋" w:cs="仿宋"/>
          <w:spacing w:val="12"/>
          <w:sz w:val="28"/>
          <w:szCs w:val="28"/>
        </w:rPr>
        <w:t>价</w:t>
      </w:r>
      <w:r>
        <w:rPr>
          <w:rFonts w:hint="eastAsia" w:ascii="仿宋" w:hAnsi="仿宋" w:eastAsia="仿宋" w:cs="仿宋"/>
          <w:spacing w:val="12"/>
          <w:sz w:val="28"/>
          <w:szCs w:val="28"/>
          <w:lang w:val="en-US" w:eastAsia="zh-CN"/>
        </w:rPr>
        <w:t>值</w:t>
      </w:r>
      <w:r>
        <w:rPr>
          <w:rFonts w:hint="eastAsia" w:ascii="仿宋" w:hAnsi="仿宋" w:eastAsia="仿宋" w:cs="仿宋"/>
          <w:spacing w:val="12"/>
          <w:sz w:val="28"/>
          <w:szCs w:val="28"/>
        </w:rPr>
        <w:t>进行评估，现将价格评估情况综述如下：</w:t>
      </w:r>
    </w:p>
    <w:p>
      <w:pPr>
        <w:pStyle w:val="3"/>
        <w:keepNext/>
        <w:keepLines/>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rPr>
      </w:pPr>
      <w:bookmarkStart w:id="0" w:name="_Toc19969"/>
      <w:r>
        <w:rPr>
          <w:rFonts w:hint="eastAsia" w:ascii="仿宋" w:hAnsi="仿宋" w:eastAsia="仿宋" w:cs="仿宋"/>
        </w:rPr>
        <w:t>一、价格评估标的</w:t>
      </w:r>
      <w:bookmarkEnd w:id="0"/>
    </w:p>
    <w:p>
      <w:pPr>
        <w:pageBreakBefore w:val="0"/>
        <w:widowControl w:val="0"/>
        <w:kinsoku/>
        <w:wordWrap/>
        <w:overflowPunct/>
        <w:topLinePunct w:val="0"/>
        <w:bidi w:val="0"/>
        <w:spacing w:line="360" w:lineRule="auto"/>
        <w:ind w:firstLine="560" w:firstLineChars="200"/>
        <w:textAlignment w:val="auto"/>
        <w:rPr>
          <w:rFonts w:hint="eastAsia" w:ascii="仿宋" w:hAnsi="仿宋" w:eastAsia="仿宋" w:cs="仿宋"/>
          <w:b/>
          <w:kern w:val="0"/>
          <w:sz w:val="28"/>
        </w:rPr>
      </w:pPr>
      <w:r>
        <w:rPr>
          <w:rFonts w:hint="eastAsia" w:ascii="仿宋" w:hAnsi="仿宋" w:eastAsia="仿宋" w:cs="仿宋"/>
          <w:sz w:val="28"/>
          <w:lang w:eastAsia="zh-CN"/>
        </w:rPr>
        <w:t>义乌市大陈镇</w:t>
      </w:r>
      <w:r>
        <w:rPr>
          <w:rFonts w:hint="eastAsia" w:ascii="仿宋" w:hAnsi="仿宋" w:eastAsia="仿宋" w:cs="仿宋"/>
          <w:sz w:val="28"/>
          <w:lang w:val="en-US" w:eastAsia="zh-CN"/>
        </w:rPr>
        <w:t>楂林菜市场周边配套工程及边坡治理弃渣资源</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w:t>
      </w:r>
      <w:r>
        <w:rPr>
          <w:rFonts w:hint="eastAsia" w:ascii="仿宋" w:hAnsi="仿宋" w:eastAsia="仿宋" w:cs="仿宋"/>
          <w:spacing w:val="12"/>
          <w:sz w:val="28"/>
          <w:szCs w:val="28"/>
        </w:rPr>
        <w:t>价</w:t>
      </w:r>
      <w:r>
        <w:rPr>
          <w:rFonts w:hint="eastAsia" w:ascii="仿宋" w:hAnsi="仿宋" w:eastAsia="仿宋" w:cs="仿宋"/>
          <w:spacing w:val="12"/>
          <w:sz w:val="28"/>
          <w:szCs w:val="28"/>
          <w:lang w:val="en-US" w:eastAsia="zh-CN"/>
        </w:rPr>
        <w:t>值</w:t>
      </w:r>
      <w:r>
        <w:rPr>
          <w:rFonts w:hint="eastAsia" w:ascii="仿宋" w:hAnsi="仿宋" w:eastAsia="仿宋" w:cs="仿宋"/>
          <w:spacing w:val="12"/>
          <w:sz w:val="28"/>
          <w:szCs w:val="28"/>
        </w:rPr>
        <w:t>（场地交货价）。</w:t>
      </w:r>
    </w:p>
    <w:p>
      <w:pPr>
        <w:pStyle w:val="3"/>
        <w:keepNext/>
        <w:keepLines/>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b/>
          <w:kern w:val="0"/>
          <w:sz w:val="28"/>
        </w:rPr>
      </w:pPr>
      <w:bookmarkStart w:id="1" w:name="_Toc7360"/>
      <w:r>
        <w:rPr>
          <w:rFonts w:hint="eastAsia" w:ascii="仿宋" w:hAnsi="仿宋" w:eastAsia="仿宋" w:cs="仿宋"/>
          <w:b/>
          <w:kern w:val="0"/>
          <w:sz w:val="28"/>
        </w:rPr>
        <w:t>二、</w:t>
      </w:r>
      <w:r>
        <w:rPr>
          <w:rFonts w:hint="eastAsia" w:ascii="仿宋" w:hAnsi="仿宋" w:eastAsia="仿宋" w:cs="仿宋"/>
        </w:rPr>
        <w:t>价格</w:t>
      </w:r>
      <w:r>
        <w:rPr>
          <w:rFonts w:hint="eastAsia" w:ascii="仿宋" w:hAnsi="仿宋" w:eastAsia="仿宋" w:cs="仿宋"/>
          <w:b/>
          <w:kern w:val="0"/>
          <w:sz w:val="28"/>
        </w:rPr>
        <w:t>评估目的</w:t>
      </w:r>
      <w:bookmarkEnd w:id="1"/>
    </w:p>
    <w:p>
      <w:pPr>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val="en-US" w:eastAsia="zh-CN"/>
        </w:rPr>
        <w:t>资源</w:t>
      </w:r>
      <w:r>
        <w:rPr>
          <w:rFonts w:hint="eastAsia" w:ascii="仿宋" w:hAnsi="仿宋" w:eastAsia="仿宋" w:cs="仿宋"/>
          <w:spacing w:val="12"/>
          <w:sz w:val="28"/>
          <w:szCs w:val="28"/>
          <w:lang w:eastAsia="zh-CN"/>
        </w:rPr>
        <w:t>处置</w:t>
      </w:r>
      <w:r>
        <w:rPr>
          <w:rFonts w:hint="eastAsia" w:ascii="仿宋" w:hAnsi="仿宋" w:eastAsia="仿宋" w:cs="仿宋"/>
          <w:sz w:val="28"/>
          <w:szCs w:val="28"/>
        </w:rPr>
        <w:t>价</w:t>
      </w:r>
      <w:r>
        <w:rPr>
          <w:rFonts w:hint="eastAsia" w:ascii="仿宋" w:hAnsi="仿宋" w:eastAsia="仿宋" w:cs="仿宋"/>
          <w:sz w:val="28"/>
          <w:szCs w:val="28"/>
          <w:lang w:val="en-US" w:eastAsia="zh-CN"/>
        </w:rPr>
        <w:t>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pStyle w:val="3"/>
        <w:keepNext/>
        <w:keepLines/>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b/>
          <w:kern w:val="0"/>
          <w:sz w:val="28"/>
        </w:rPr>
      </w:pPr>
      <w:bookmarkStart w:id="2" w:name="_Toc22096"/>
      <w:r>
        <w:rPr>
          <w:rFonts w:hint="eastAsia" w:ascii="仿宋" w:hAnsi="仿宋" w:eastAsia="仿宋" w:cs="仿宋"/>
          <w:b/>
          <w:kern w:val="0"/>
          <w:sz w:val="28"/>
        </w:rPr>
        <w:t>三、价格评估基准日</w:t>
      </w:r>
      <w:bookmarkEnd w:id="2"/>
    </w:p>
    <w:p>
      <w:pPr>
        <w:pageBreakBefore w:val="0"/>
        <w:widowControl w:val="0"/>
        <w:kinsoku/>
        <w:wordWrap/>
        <w:overflowPunct/>
        <w:topLinePunct w:val="0"/>
        <w:autoSpaceDE w:val="0"/>
        <w:autoSpaceDN w:val="0"/>
        <w:bidi w:val="0"/>
        <w:adjustRightInd w:val="0"/>
        <w:spacing w:line="360" w:lineRule="auto"/>
        <w:ind w:firstLine="608" w:firstLineChars="200"/>
        <w:jc w:val="left"/>
        <w:textAlignment w:val="auto"/>
        <w:rPr>
          <w:rFonts w:hint="eastAsia" w:ascii="仿宋" w:hAnsi="仿宋" w:eastAsia="仿宋" w:cs="仿宋"/>
          <w:spacing w:val="12"/>
          <w:sz w:val="28"/>
          <w:szCs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val="en-US" w:eastAsia="zh-CN"/>
        </w:rPr>
        <w:t>七</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日。</w:t>
      </w:r>
    </w:p>
    <w:p>
      <w:pPr>
        <w:pStyle w:val="3"/>
        <w:keepNext/>
        <w:keepLines/>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b/>
          <w:kern w:val="0"/>
          <w:sz w:val="28"/>
          <w:szCs w:val="28"/>
        </w:rPr>
      </w:pPr>
      <w:bookmarkStart w:id="3" w:name="_Toc23340"/>
      <w:r>
        <w:rPr>
          <w:rFonts w:hint="eastAsia" w:ascii="仿宋" w:hAnsi="仿宋" w:eastAsia="仿宋" w:cs="仿宋"/>
          <w:b/>
          <w:kern w:val="0"/>
          <w:sz w:val="28"/>
          <w:szCs w:val="28"/>
          <w:lang w:val="en-US" w:eastAsia="zh-CN"/>
        </w:rPr>
        <w:t>四、</w:t>
      </w:r>
      <w:r>
        <w:rPr>
          <w:rFonts w:hint="eastAsia" w:ascii="仿宋" w:hAnsi="仿宋" w:eastAsia="仿宋" w:cs="仿宋"/>
          <w:b/>
          <w:kern w:val="0"/>
          <w:sz w:val="28"/>
          <w:szCs w:val="28"/>
        </w:rPr>
        <w:t>评估</w:t>
      </w:r>
      <w:r>
        <w:rPr>
          <w:rFonts w:hint="eastAsia" w:ascii="仿宋" w:hAnsi="仿宋" w:eastAsia="仿宋" w:cs="仿宋"/>
          <w:b/>
          <w:kern w:val="0"/>
          <w:sz w:val="28"/>
        </w:rPr>
        <w:t>对象</w:t>
      </w:r>
      <w:r>
        <w:rPr>
          <w:rFonts w:hint="eastAsia" w:ascii="仿宋" w:hAnsi="仿宋" w:eastAsia="仿宋" w:cs="仿宋"/>
          <w:b/>
          <w:kern w:val="0"/>
          <w:sz w:val="28"/>
          <w:szCs w:val="28"/>
        </w:rPr>
        <w:t>基本概况</w:t>
      </w:r>
      <w:bookmarkEnd w:id="3"/>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kern w:val="0"/>
          <w:sz w:val="28"/>
          <w:szCs w:val="28"/>
        </w:rPr>
      </w:pPr>
      <w:bookmarkStart w:id="4" w:name="_Toc3875"/>
      <w:r>
        <w:rPr>
          <w:rFonts w:hint="eastAsia" w:ascii="仿宋" w:hAnsi="仿宋" w:eastAsia="仿宋" w:cs="仿宋"/>
          <w:b/>
          <w:bCs/>
          <w:color w:val="000000" w:themeColor="text1"/>
          <w:sz w:val="28"/>
          <w:szCs w:val="28"/>
          <w:lang w:val="en-US" w:eastAsia="zh-CN"/>
        </w:rPr>
        <w:t>1、</w:t>
      </w:r>
      <w:r>
        <w:rPr>
          <w:rFonts w:hint="eastAsia" w:ascii="仿宋" w:hAnsi="仿宋" w:eastAsia="仿宋" w:cs="仿宋"/>
          <w:b/>
          <w:bCs/>
          <w:color w:val="000000" w:themeColor="text1"/>
          <w:sz w:val="28"/>
          <w:szCs w:val="28"/>
        </w:rPr>
        <w:t>开挖区</w:t>
      </w:r>
      <w:r>
        <w:rPr>
          <w:rFonts w:hint="eastAsia" w:ascii="仿宋" w:hAnsi="仿宋" w:eastAsia="仿宋" w:cs="仿宋"/>
        </w:rPr>
        <w:t>基本</w:t>
      </w:r>
      <w:r>
        <w:rPr>
          <w:rFonts w:hint="eastAsia" w:ascii="仿宋" w:hAnsi="仿宋" w:eastAsia="仿宋" w:cs="仿宋"/>
          <w:b/>
          <w:bCs/>
          <w:color w:val="000000" w:themeColor="text1"/>
          <w:sz w:val="28"/>
          <w:szCs w:val="28"/>
        </w:rPr>
        <w:t>情况</w:t>
      </w:r>
      <w:bookmarkEnd w:id="4"/>
    </w:p>
    <w:p>
      <w:pPr>
        <w:pageBreakBefore w:val="0"/>
        <w:widowControl w:val="0"/>
        <w:kinsoku/>
        <w:wordWrap/>
        <w:overflowPunct/>
        <w:topLinePunct w:val="0"/>
        <w:bidi w:val="0"/>
        <w:ind w:firstLine="560" w:firstLineChars="200"/>
        <w:textAlignment w:val="auto"/>
        <w:rPr>
          <w:rFonts w:hint="eastAsia" w:ascii="仿宋" w:hAnsi="仿宋" w:eastAsia="仿宋" w:cs="仿宋"/>
          <w:lang w:val="en-US" w:eastAsia="zh-CN"/>
        </w:rPr>
      </w:pPr>
      <w:r>
        <w:rPr>
          <w:rFonts w:hint="eastAsia" w:ascii="仿宋" w:hAnsi="仿宋" w:eastAsia="仿宋" w:cs="仿宋"/>
          <w:lang w:val="en-US" w:eastAsia="zh-CN"/>
        </w:rPr>
        <w:t>根据</w:t>
      </w:r>
      <w:r>
        <w:rPr>
          <w:rFonts w:hint="eastAsia" w:ascii="仿宋" w:hAnsi="仿宋" w:eastAsia="仿宋" w:cs="仿宋"/>
        </w:rPr>
        <w:t>《</w:t>
      </w:r>
      <w:r>
        <w:rPr>
          <w:rFonts w:hint="eastAsia" w:ascii="仿宋" w:hAnsi="仿宋" w:eastAsia="仿宋" w:cs="仿宋"/>
          <w:lang w:val="en-US" w:eastAsia="zh-CN"/>
        </w:rPr>
        <w:t>义乌市大陈镇楂林菜市场周边配套工程及边坡治理弃渣估算报告</w:t>
      </w:r>
      <w:r>
        <w:rPr>
          <w:rFonts w:hint="eastAsia" w:ascii="仿宋" w:hAnsi="仿宋" w:eastAsia="仿宋" w:cs="仿宋"/>
        </w:rPr>
        <w:t>》（以下简称《</w:t>
      </w:r>
      <w:r>
        <w:rPr>
          <w:rFonts w:hint="eastAsia" w:ascii="仿宋" w:hAnsi="仿宋" w:eastAsia="仿宋" w:cs="仿宋"/>
          <w:lang w:eastAsia="zh-CN"/>
        </w:rPr>
        <w:t>估算报告</w:t>
      </w:r>
      <w:r>
        <w:rPr>
          <w:rFonts w:hint="eastAsia" w:ascii="仿宋" w:hAnsi="仿宋" w:eastAsia="仿宋" w:cs="仿宋"/>
        </w:rPr>
        <w:t>》）</w:t>
      </w:r>
      <w:r>
        <w:rPr>
          <w:rFonts w:hint="eastAsia" w:ascii="仿宋" w:hAnsi="仿宋" w:eastAsia="仿宋" w:cs="仿宋"/>
          <w:lang w:eastAsia="zh-CN"/>
        </w:rPr>
        <w:t>，</w:t>
      </w:r>
      <w:r>
        <w:rPr>
          <w:rFonts w:hint="eastAsia" w:ascii="仿宋" w:hAnsi="仿宋" w:eastAsia="仿宋" w:cs="仿宋"/>
          <w:lang w:val="en-US" w:eastAsia="zh-CN"/>
        </w:rPr>
        <w:t>开挖区范围为大陈镇楂林菜市场周边配套工程及边坡治理开挖平整区，北侧以楂林二村村庄道路为界，南侧以配套工程拟建挡墙为界，开挖区面积1676.5m</w:t>
      </w:r>
      <w:r>
        <w:rPr>
          <w:rFonts w:hint="eastAsia" w:ascii="仿宋" w:hAnsi="仿宋" w:eastAsia="仿宋" w:cs="仿宋"/>
          <w:vertAlign w:val="superscript"/>
          <w:lang w:val="en-US" w:eastAsia="zh-CN"/>
        </w:rPr>
        <w:t>2</w:t>
      </w:r>
      <w:r>
        <w:rPr>
          <w:rFonts w:hint="eastAsia" w:ascii="仿宋" w:hAnsi="仿宋" w:eastAsia="仿宋" w:cs="仿宋"/>
          <w:lang w:val="en-US" w:eastAsia="zh-CN"/>
        </w:rPr>
        <w:t>，开挖平整标高以村庄道路+74.2m标高为基准。</w:t>
      </w:r>
    </w:p>
    <w:p>
      <w:pPr>
        <w:pStyle w:val="4"/>
        <w:bidi w:val="0"/>
        <w:ind w:left="0" w:leftChars="0" w:firstLine="0" w:firstLineChars="0"/>
        <w:rPr>
          <w:rFonts w:hint="eastAsia" w:ascii="仿宋" w:hAnsi="仿宋" w:eastAsia="仿宋" w:cs="仿宋"/>
          <w:b/>
          <w:kern w:val="0"/>
          <w:sz w:val="28"/>
        </w:rPr>
      </w:pPr>
      <w:bookmarkStart w:id="5" w:name="_Toc26121"/>
      <w:r>
        <w:rPr>
          <w:rFonts w:hint="eastAsia" w:ascii="仿宋" w:hAnsi="仿宋" w:eastAsia="仿宋" w:cs="仿宋"/>
          <w:b/>
          <w:kern w:val="0"/>
          <w:sz w:val="28"/>
        </w:rPr>
        <w:t>2、</w:t>
      </w:r>
      <w:r>
        <w:rPr>
          <w:rFonts w:hint="eastAsia" w:ascii="仿宋" w:hAnsi="仿宋" w:eastAsia="仿宋" w:cs="仿宋"/>
          <w:b/>
        </w:rPr>
        <w:t>交通</w:t>
      </w:r>
      <w:r>
        <w:rPr>
          <w:rFonts w:hint="eastAsia" w:ascii="仿宋" w:hAnsi="仿宋" w:eastAsia="仿宋" w:cs="仿宋"/>
          <w:b/>
          <w:kern w:val="0"/>
          <w:sz w:val="28"/>
        </w:rPr>
        <w:t>位置</w:t>
      </w:r>
      <w:bookmarkEnd w:id="5"/>
    </w:p>
    <w:p>
      <w:pPr>
        <w:bidi w:val="0"/>
        <w:rPr>
          <w:rFonts w:hint="eastAsia" w:ascii="仿宋" w:hAnsi="仿宋" w:eastAsia="仿宋" w:cs="仿宋"/>
        </w:rPr>
      </w:pPr>
      <w:r>
        <w:rPr>
          <w:rFonts w:hint="eastAsia" w:ascii="仿宋" w:hAnsi="仿宋" w:eastAsia="仿宋" w:cs="仿宋"/>
          <w:lang w:val="en-US" w:eastAsia="zh-CN"/>
        </w:rPr>
        <w:t>开挖区</w:t>
      </w:r>
      <w:r>
        <w:rPr>
          <w:rFonts w:hint="eastAsia" w:ascii="仿宋" w:hAnsi="仿宋" w:eastAsia="仿宋" w:cs="仿宋"/>
        </w:rPr>
        <w:t>位于义乌市大陈镇，行政隶属于义乌市大陈镇</w:t>
      </w:r>
      <w:r>
        <w:rPr>
          <w:rFonts w:hint="eastAsia" w:ascii="仿宋" w:hAnsi="仿宋" w:eastAsia="仿宋" w:cs="仿宋"/>
          <w:lang w:val="en-US" w:eastAsia="zh-CN"/>
        </w:rPr>
        <w:t>楂林二村</w:t>
      </w:r>
      <w:r>
        <w:rPr>
          <w:rFonts w:hint="eastAsia" w:ascii="仿宋" w:hAnsi="仿宋" w:eastAsia="仿宋" w:cs="仿宋"/>
        </w:rPr>
        <w:t>，位于</w:t>
      </w:r>
      <w:r>
        <w:rPr>
          <w:rFonts w:hint="eastAsia" w:ascii="仿宋" w:hAnsi="仿宋" w:eastAsia="仿宋" w:cs="仿宋"/>
          <w:lang w:val="en-US" w:eastAsia="zh-CN"/>
        </w:rPr>
        <w:t>八坑线北侧</w:t>
      </w:r>
      <w:r>
        <w:rPr>
          <w:rFonts w:hint="eastAsia" w:ascii="仿宋" w:hAnsi="仿宋" w:eastAsia="仿宋" w:cs="仿宋"/>
        </w:rPr>
        <w:t>，距离</w:t>
      </w:r>
      <w:r>
        <w:rPr>
          <w:rFonts w:hint="eastAsia" w:ascii="仿宋" w:hAnsi="仿宋" w:eastAsia="仿宋" w:cs="仿宋"/>
          <w:lang w:val="en-US" w:eastAsia="zh-CN"/>
        </w:rPr>
        <w:t>大陈镇约3km，</w:t>
      </w:r>
      <w:r>
        <w:rPr>
          <w:rFonts w:hint="eastAsia" w:ascii="仿宋" w:hAnsi="仿宋" w:eastAsia="仿宋" w:cs="仿宋"/>
        </w:rPr>
        <w:t>工程区中心地理坐标：东经120°</w:t>
      </w:r>
      <w:r>
        <w:rPr>
          <w:rFonts w:hint="eastAsia" w:ascii="仿宋" w:hAnsi="仿宋" w:eastAsia="仿宋" w:cs="仿宋"/>
          <w:lang w:val="en-US" w:eastAsia="zh-CN"/>
        </w:rPr>
        <w:t>09</w:t>
      </w:r>
      <w:r>
        <w:rPr>
          <w:rFonts w:hint="eastAsia" w:ascii="仿宋" w:hAnsi="仿宋" w:eastAsia="仿宋" w:cs="仿宋"/>
        </w:rPr>
        <w:t>′</w:t>
      </w:r>
      <w:r>
        <w:rPr>
          <w:rFonts w:hint="eastAsia" w:ascii="仿宋" w:hAnsi="仿宋" w:eastAsia="仿宋" w:cs="仿宋"/>
          <w:lang w:val="en-US" w:eastAsia="zh-CN"/>
        </w:rPr>
        <w:t>36</w:t>
      </w:r>
      <w:r>
        <w:rPr>
          <w:rFonts w:hint="eastAsia" w:ascii="仿宋" w:hAnsi="仿宋" w:eastAsia="仿宋" w:cs="仿宋"/>
        </w:rPr>
        <w:t>″，北纬29°</w:t>
      </w:r>
      <w:r>
        <w:rPr>
          <w:rFonts w:hint="eastAsia" w:ascii="仿宋" w:hAnsi="仿宋" w:eastAsia="仿宋" w:cs="仿宋"/>
          <w:lang w:val="en-US" w:eastAsia="zh-CN"/>
        </w:rPr>
        <w:t>28</w:t>
      </w:r>
      <w:r>
        <w:rPr>
          <w:rFonts w:hint="eastAsia" w:ascii="仿宋" w:hAnsi="仿宋" w:eastAsia="仿宋" w:cs="仿宋"/>
        </w:rPr>
        <w:t>′</w:t>
      </w:r>
      <w:r>
        <w:rPr>
          <w:rFonts w:hint="eastAsia" w:ascii="仿宋" w:hAnsi="仿宋" w:eastAsia="仿宋" w:cs="仿宋"/>
          <w:lang w:val="en-US" w:eastAsia="zh-CN"/>
        </w:rPr>
        <w:t>21</w:t>
      </w:r>
      <w:r>
        <w:rPr>
          <w:rFonts w:hint="eastAsia" w:ascii="仿宋" w:hAnsi="仿宋" w:eastAsia="仿宋" w:cs="仿宋"/>
        </w:rPr>
        <w:t>″，</w:t>
      </w:r>
      <w:r>
        <w:rPr>
          <w:rFonts w:hint="eastAsia" w:ascii="仿宋" w:hAnsi="仿宋" w:eastAsia="仿宋" w:cs="仿宋"/>
          <w:lang w:val="en-US" w:eastAsia="zh-CN"/>
        </w:rPr>
        <w:t>交通条件一般</w:t>
      </w:r>
      <w:r>
        <w:rPr>
          <w:rFonts w:hint="eastAsia" w:ascii="仿宋" w:hAnsi="仿宋" w:eastAsia="仿宋" w:cs="仿宋"/>
        </w:rPr>
        <w:t>（见图4</w:t>
      </w:r>
      <w:r>
        <w:rPr>
          <w:rFonts w:hint="eastAsia" w:ascii="仿宋" w:hAnsi="仿宋" w:eastAsia="仿宋" w:cs="仿宋"/>
          <w:lang w:val="en-US" w:eastAsia="zh-CN"/>
        </w:rPr>
        <w:t>-</w:t>
      </w:r>
      <w:r>
        <w:rPr>
          <w:rFonts w:hint="eastAsia" w:ascii="仿宋" w:hAnsi="仿宋" w:eastAsia="仿宋" w:cs="仿宋"/>
        </w:rPr>
        <w:t>1）。</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z w:val="28"/>
        </w:rPr>
      </w:pPr>
      <w:r>
        <w:rPr>
          <w:rFonts w:hint="eastAsia" w:ascii="仿宋" w:hAnsi="仿宋" w:eastAsia="仿宋" w:cs="仿宋"/>
        </w:rPr>
        <w:drawing>
          <wp:inline distT="0" distB="0" distL="114300" distR="114300">
            <wp:extent cx="5267325" cy="3024505"/>
            <wp:effectExtent l="0" t="0" r="952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7325" cy="3024505"/>
                    </a:xfrm>
                    <a:prstGeom prst="rect">
                      <a:avLst/>
                    </a:prstGeom>
                    <a:noFill/>
                    <a:ln>
                      <a:noFill/>
                    </a:ln>
                  </pic:spPr>
                </pic:pic>
              </a:graphicData>
            </a:graphic>
          </wp:inline>
        </w:drawing>
      </w:r>
    </w:p>
    <w:p>
      <w:pPr>
        <w:pStyle w:val="2"/>
        <w:keepNext w:val="0"/>
        <w:keepLines w:val="0"/>
        <w:pageBreakBefore w:val="0"/>
        <w:widowControl w:val="0"/>
        <w:kinsoku/>
        <w:wordWrap/>
        <w:overflowPunct/>
        <w:topLinePunct w:val="0"/>
        <w:autoSpaceDE/>
        <w:autoSpaceDN/>
        <w:bidi w:val="0"/>
        <w:adjustRightInd w:val="0"/>
        <w:snapToGrid/>
        <w:spacing w:line="360" w:lineRule="auto"/>
        <w:ind w:left="0" w:leftChars="0" w:firstLine="0" w:firstLineChars="0"/>
        <w:jc w:val="center"/>
        <w:textAlignment w:val="auto"/>
        <w:rPr>
          <w:rFonts w:hint="eastAsia" w:ascii="仿宋" w:hAnsi="仿宋" w:eastAsia="仿宋" w:cs="仿宋"/>
          <w:b/>
          <w:color w:val="auto"/>
          <w:kern w:val="0"/>
          <w:sz w:val="24"/>
          <w:szCs w:val="24"/>
        </w:rPr>
      </w:pPr>
      <w:r>
        <w:rPr>
          <w:rFonts w:hint="eastAsia" w:ascii="仿宋" w:hAnsi="仿宋" w:eastAsia="仿宋" w:cs="仿宋"/>
          <w:color w:val="auto"/>
          <w:sz w:val="24"/>
          <w:szCs w:val="24"/>
        </w:rPr>
        <w:t>图4-1  开挖区</w:t>
      </w:r>
      <w:r>
        <w:rPr>
          <w:rFonts w:hint="eastAsia" w:ascii="仿宋" w:hAnsi="仿宋" w:eastAsia="仿宋" w:cs="仿宋"/>
          <w:color w:val="auto"/>
          <w:sz w:val="24"/>
          <w:szCs w:val="24"/>
          <w:lang w:eastAsia="zh-CN"/>
        </w:rPr>
        <w:t>（工程区）</w:t>
      </w:r>
      <w:r>
        <w:rPr>
          <w:rFonts w:hint="eastAsia" w:ascii="仿宋" w:hAnsi="仿宋" w:eastAsia="仿宋" w:cs="仿宋"/>
          <w:color w:val="auto"/>
          <w:sz w:val="24"/>
          <w:szCs w:val="24"/>
        </w:rPr>
        <w:t>交通位置示意图</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kern w:val="0"/>
          <w:sz w:val="28"/>
          <w:lang w:val="en-US" w:eastAsia="zh-CN"/>
        </w:rPr>
      </w:pPr>
      <w:bookmarkStart w:id="6" w:name="_Toc6563"/>
      <w:r>
        <w:rPr>
          <w:rFonts w:hint="eastAsia" w:ascii="仿宋" w:hAnsi="仿宋" w:eastAsia="仿宋" w:cs="仿宋"/>
          <w:b/>
          <w:kern w:val="0"/>
          <w:sz w:val="28"/>
        </w:rPr>
        <w:t>3、</w:t>
      </w:r>
      <w:r>
        <w:rPr>
          <w:rFonts w:hint="eastAsia" w:ascii="仿宋" w:hAnsi="仿宋" w:eastAsia="仿宋" w:cs="仿宋"/>
          <w:b/>
        </w:rPr>
        <w:t>自然</w:t>
      </w:r>
      <w:r>
        <w:rPr>
          <w:rFonts w:hint="eastAsia" w:ascii="仿宋" w:hAnsi="仿宋" w:eastAsia="仿宋" w:cs="仿宋"/>
          <w:b/>
          <w:kern w:val="0"/>
          <w:sz w:val="28"/>
        </w:rPr>
        <w:t>地理和气象</w:t>
      </w:r>
      <w:bookmarkEnd w:id="6"/>
      <w:r>
        <w:rPr>
          <w:rFonts w:hint="eastAsia" w:ascii="仿宋" w:hAnsi="仿宋" w:eastAsia="仿宋" w:cs="仿宋"/>
          <w:b/>
          <w:kern w:val="0"/>
          <w:sz w:val="28"/>
          <w:lang w:eastAsia="zh-CN"/>
        </w:rPr>
        <w:t>、</w:t>
      </w:r>
      <w:r>
        <w:rPr>
          <w:rFonts w:hint="eastAsia" w:ascii="仿宋" w:hAnsi="仿宋" w:eastAsia="仿宋" w:cs="仿宋"/>
          <w:b/>
          <w:kern w:val="0"/>
          <w:sz w:val="28"/>
          <w:lang w:val="en-US" w:eastAsia="zh-CN"/>
        </w:rPr>
        <w:t>水文</w:t>
      </w:r>
    </w:p>
    <w:p>
      <w:pPr>
        <w:pageBreakBefore w:val="0"/>
        <w:widowControl w:val="0"/>
        <w:kinsoku/>
        <w:wordWrap/>
        <w:overflowPunct/>
        <w:topLinePunct w:val="0"/>
        <w:bidi w:val="0"/>
        <w:spacing w:line="360" w:lineRule="auto"/>
        <w:textAlignment w:val="auto"/>
        <w:rPr>
          <w:rFonts w:hint="eastAsia" w:ascii="仿宋" w:hAnsi="仿宋" w:eastAsia="仿宋" w:cs="仿宋"/>
          <w:lang w:eastAsia="zh-CN"/>
        </w:rPr>
      </w:pPr>
      <w:r>
        <w:rPr>
          <w:rFonts w:hint="eastAsia" w:ascii="仿宋" w:hAnsi="仿宋" w:eastAsia="仿宋" w:cs="仿宋"/>
          <w:lang w:val="en-US" w:eastAsia="zh-CN"/>
        </w:rPr>
        <w:t>开挖区</w:t>
      </w:r>
      <w:r>
        <w:rPr>
          <w:rFonts w:hint="eastAsia" w:ascii="仿宋" w:hAnsi="仿宋" w:eastAsia="仿宋" w:cs="仿宋"/>
          <w:lang w:eastAsia="zh-CN"/>
        </w:rPr>
        <w:t>地貌类型主要为侵蚀剥蚀丘陵地貌区及山前坡洪积斜地。区内侵蚀剥蚀丘陵区山体总体地势总体呈北高南低走势，山体自然斜坡坡度一般在15~35°不等，局部大于35°，以构造侵蚀、风化剥蚀为主。区内各丘陵山体自然斜坡坡度起伏较小，自然山体山脊线相对多较平缓且圆滑。山前坡洪积斜地广泛分布于开挖区各自然山体近坡脚斜坡地带、山谷间及附近村庄所在地，溪沟两侧及冲沟沟口等，分布面积较广，坡洪积斜地区地势起伏较为平缓，地形自然坡度一般约2~15°，局部大于15°。开挖区内地面海拔标高一般在+64.3m~+85.5m，地面表现现状主要为台坎状耕地、农田、水塘、道路及民房等。</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eastAsia="zh-CN"/>
        </w:rPr>
        <w:t>自然山体斜坡面山体自然植被发育较好，自然植被以松树、毛竹为主，其次主要为香樟、青冈树、枫树、山杜鹃等，自然斜坡区范围未见高陡的人工边坡、矿山开采痕迹及历史等。开挖区内无地下管线通过</w:t>
      </w:r>
      <w:r>
        <w:rPr>
          <w:rFonts w:hint="eastAsia" w:ascii="仿宋" w:hAnsi="仿宋" w:eastAsia="仿宋" w:cs="仿宋"/>
          <w:lang w:val="en-US" w:eastAsia="zh-CN"/>
        </w:rPr>
        <w:t>。</w:t>
      </w:r>
    </w:p>
    <w:p>
      <w:pPr>
        <w:adjustRightInd w:val="0"/>
        <w:spacing w:line="360" w:lineRule="auto"/>
        <w:ind w:firstLine="420" w:firstLineChars="150"/>
        <w:rPr>
          <w:rFonts w:hint="eastAsia" w:ascii="仿宋" w:hAnsi="仿宋" w:eastAsia="仿宋" w:cs="仿宋"/>
          <w:szCs w:val="28"/>
          <w:lang w:eastAsia="zh-CN"/>
        </w:rPr>
      </w:pPr>
      <w:r>
        <w:rPr>
          <w:rFonts w:hint="eastAsia" w:ascii="仿宋" w:hAnsi="仿宋" w:eastAsia="仿宋" w:cs="仿宋"/>
          <w:szCs w:val="28"/>
          <w:lang w:eastAsia="zh-CN"/>
        </w:rPr>
        <w:t>工程区地处亚热带季风气候区，受地形影响又具有明显的盆地气候特点，区内四季分明，光照充足，空气湿润，雨量充沛。多年平均气温17.1℃，年平均最高气温为22.9℃，年平均最低气温为13.2℃；7月份气温最高，极端最高气温40.9℃（1966年8月6日）；1月份气温最低，极端最低气温为－10.7℃（1977年1月6日），相对湿度82~93%。</w:t>
      </w:r>
    </w:p>
    <w:p>
      <w:pPr>
        <w:adjustRightInd w:val="0"/>
        <w:spacing w:line="360" w:lineRule="auto"/>
        <w:ind w:firstLine="420" w:firstLineChars="150"/>
        <w:rPr>
          <w:rFonts w:hint="eastAsia" w:ascii="仿宋" w:hAnsi="仿宋" w:eastAsia="仿宋" w:cs="仿宋"/>
          <w:szCs w:val="28"/>
          <w:lang w:eastAsia="zh-CN"/>
        </w:rPr>
      </w:pPr>
      <w:r>
        <w:rPr>
          <w:rFonts w:hint="eastAsia" w:ascii="仿宋" w:hAnsi="仿宋" w:eastAsia="仿宋" w:cs="仿宋"/>
          <w:szCs w:val="28"/>
          <w:lang w:eastAsia="zh-CN"/>
        </w:rPr>
        <w:t>本区雨水充沛，降雨量变幅较大，时空分布不均。区内多年平均降雨量为1403.1mm，最大年降水量1848.1mm，最少年降水量861.8mm。降水平均日数152天，最多年175天，最少年120天。降水日数3月最多，12月最少，最多月降水日数达25天，最长连续降水日20天，最长连续无水日数43天。降水量随季节分布不均，最大月降雨量为570.3mm（1973年5月），最少0mm。3</w:t>
      </w:r>
      <w:r>
        <w:rPr>
          <w:rFonts w:hint="eastAsia" w:ascii="仿宋" w:hAnsi="仿宋" w:eastAsia="仿宋" w:cs="仿宋"/>
          <w:szCs w:val="28"/>
          <w:lang w:val="en-US" w:eastAsia="zh-CN"/>
        </w:rPr>
        <w:t>~</w:t>
      </w:r>
      <w:r>
        <w:rPr>
          <w:rFonts w:hint="eastAsia" w:ascii="仿宋" w:hAnsi="仿宋" w:eastAsia="仿宋" w:cs="仿宋"/>
          <w:szCs w:val="28"/>
          <w:lang w:eastAsia="zh-CN"/>
        </w:rPr>
        <w:t>4月（春雨期）占年降水量的22%；5</w:t>
      </w:r>
      <w:r>
        <w:rPr>
          <w:rFonts w:hint="eastAsia" w:ascii="仿宋" w:hAnsi="仿宋" w:eastAsia="仿宋" w:cs="仿宋"/>
          <w:szCs w:val="28"/>
          <w:lang w:val="en-US" w:eastAsia="zh-CN"/>
        </w:rPr>
        <w:t>~</w:t>
      </w:r>
      <w:r>
        <w:rPr>
          <w:rFonts w:hint="eastAsia" w:ascii="仿宋" w:hAnsi="仿宋" w:eastAsia="仿宋" w:cs="仿宋"/>
          <w:szCs w:val="28"/>
          <w:lang w:eastAsia="zh-CN"/>
        </w:rPr>
        <w:t>6月（梅雨期）占年降水量的30</w:t>
      </w:r>
      <w:r>
        <w:rPr>
          <w:rFonts w:hint="eastAsia" w:ascii="仿宋" w:hAnsi="仿宋" w:eastAsia="仿宋" w:cs="仿宋"/>
          <w:szCs w:val="28"/>
          <w:lang w:val="en-US" w:eastAsia="zh-CN"/>
        </w:rPr>
        <w:t>~</w:t>
      </w:r>
      <w:r>
        <w:rPr>
          <w:rFonts w:hint="eastAsia" w:ascii="仿宋" w:hAnsi="仿宋" w:eastAsia="仿宋" w:cs="仿宋"/>
          <w:szCs w:val="28"/>
          <w:lang w:eastAsia="zh-CN"/>
        </w:rPr>
        <w:t>31%；7</w:t>
      </w:r>
      <w:r>
        <w:rPr>
          <w:rFonts w:hint="eastAsia" w:ascii="仿宋" w:hAnsi="仿宋" w:eastAsia="仿宋" w:cs="仿宋"/>
          <w:szCs w:val="28"/>
          <w:lang w:val="en-US" w:eastAsia="zh-CN"/>
        </w:rPr>
        <w:t>~</w:t>
      </w:r>
      <w:r>
        <w:rPr>
          <w:rFonts w:hint="eastAsia" w:ascii="仿宋" w:hAnsi="仿宋" w:eastAsia="仿宋" w:cs="仿宋"/>
          <w:szCs w:val="28"/>
          <w:lang w:eastAsia="zh-CN"/>
        </w:rPr>
        <w:t>8月（干旱期）占年降水量的17</w:t>
      </w:r>
      <w:r>
        <w:rPr>
          <w:rFonts w:hint="eastAsia" w:ascii="仿宋" w:hAnsi="仿宋" w:eastAsia="仿宋" w:cs="仿宋"/>
          <w:szCs w:val="28"/>
          <w:lang w:val="en-US" w:eastAsia="zh-CN"/>
        </w:rPr>
        <w:t>~</w:t>
      </w:r>
      <w:r>
        <w:rPr>
          <w:rFonts w:hint="eastAsia" w:ascii="仿宋" w:hAnsi="仿宋" w:eastAsia="仿宋" w:cs="仿宋"/>
          <w:szCs w:val="28"/>
          <w:lang w:eastAsia="zh-CN"/>
        </w:rPr>
        <w:t>18%；9</w:t>
      </w:r>
      <w:r>
        <w:rPr>
          <w:rFonts w:hint="eastAsia" w:ascii="仿宋" w:hAnsi="仿宋" w:eastAsia="仿宋" w:cs="仿宋"/>
          <w:szCs w:val="28"/>
          <w:lang w:val="en-US" w:eastAsia="zh-CN"/>
        </w:rPr>
        <w:t>~</w:t>
      </w:r>
      <w:r>
        <w:rPr>
          <w:rFonts w:hint="eastAsia" w:ascii="仿宋" w:hAnsi="仿宋" w:eastAsia="仿宋" w:cs="仿宋"/>
          <w:szCs w:val="28"/>
          <w:lang w:eastAsia="zh-CN"/>
        </w:rPr>
        <w:t>11月（秋雨期）占年降水量的16%；12</w:t>
      </w:r>
      <w:r>
        <w:rPr>
          <w:rFonts w:hint="eastAsia" w:ascii="仿宋" w:hAnsi="仿宋" w:eastAsia="仿宋" w:cs="仿宋"/>
          <w:szCs w:val="28"/>
          <w:lang w:val="en-US" w:eastAsia="zh-CN"/>
        </w:rPr>
        <w:t>~</w:t>
      </w:r>
      <w:r>
        <w:rPr>
          <w:rFonts w:hint="eastAsia" w:ascii="仿宋" w:hAnsi="仿宋" w:eastAsia="仿宋" w:cs="仿宋"/>
          <w:szCs w:val="28"/>
          <w:lang w:eastAsia="zh-CN"/>
        </w:rPr>
        <w:t>2月（冬雨期）占年降水量的22%。</w:t>
      </w:r>
    </w:p>
    <w:p>
      <w:pPr>
        <w:adjustRightInd w:val="0"/>
        <w:spacing w:line="360" w:lineRule="auto"/>
        <w:ind w:firstLine="420" w:firstLineChars="150"/>
        <w:rPr>
          <w:rFonts w:hint="eastAsia" w:ascii="仿宋" w:hAnsi="仿宋" w:eastAsia="仿宋" w:cs="仿宋"/>
          <w:lang w:eastAsia="zh-CN"/>
        </w:rPr>
      </w:pPr>
      <w:r>
        <w:rPr>
          <w:rFonts w:hint="eastAsia" w:ascii="仿宋" w:hAnsi="仿宋" w:eastAsia="仿宋" w:cs="仿宋"/>
          <w:szCs w:val="28"/>
          <w:lang w:eastAsia="zh-CN"/>
        </w:rPr>
        <w:t>开挖区属于钱塘江流域，场地区域见有</w:t>
      </w:r>
      <w:r>
        <w:rPr>
          <w:rFonts w:hint="eastAsia" w:ascii="仿宋" w:hAnsi="仿宋" w:eastAsia="仿宋" w:cs="仿宋"/>
          <w:szCs w:val="28"/>
          <w:lang w:val="en-US" w:eastAsia="zh-CN"/>
        </w:rPr>
        <w:t>九都溪</w:t>
      </w:r>
      <w:r>
        <w:rPr>
          <w:rFonts w:hint="eastAsia" w:ascii="仿宋" w:hAnsi="仿宋" w:eastAsia="仿宋" w:cs="仿宋"/>
          <w:szCs w:val="28"/>
          <w:lang w:eastAsia="zh-CN"/>
        </w:rPr>
        <w:t>等地表水系发育。</w:t>
      </w:r>
    </w:p>
    <w:p>
      <w:pPr>
        <w:pStyle w:val="4"/>
        <w:pageBreakBefore w:val="0"/>
        <w:widowControl w:val="0"/>
        <w:numPr>
          <w:ilvl w:val="0"/>
          <w:numId w:val="1"/>
        </w:numPr>
        <w:kinsoku/>
        <w:wordWrap/>
        <w:overflowPunct/>
        <w:topLinePunct w:val="0"/>
        <w:bidi w:val="0"/>
        <w:spacing w:line="360" w:lineRule="auto"/>
        <w:ind w:left="0" w:leftChars="0" w:firstLine="0" w:firstLineChars="0"/>
        <w:textAlignment w:val="auto"/>
        <w:rPr>
          <w:rFonts w:hint="eastAsia" w:ascii="仿宋" w:hAnsi="仿宋" w:eastAsia="仿宋" w:cs="仿宋"/>
          <w:lang w:val="en-US" w:eastAsia="zh-CN"/>
        </w:rPr>
      </w:pPr>
      <w:r>
        <w:rPr>
          <w:rFonts w:hint="eastAsia" w:ascii="仿宋" w:hAnsi="仿宋" w:eastAsia="仿宋" w:cs="仿宋"/>
          <w:lang w:val="en-US" w:eastAsia="zh-CN"/>
        </w:rPr>
        <w:t>开挖区岩石地质特征</w:t>
      </w:r>
    </w:p>
    <w:p>
      <w:pPr>
        <w:pStyle w:val="5"/>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lang w:val="en-US" w:eastAsia="zh-CN"/>
        </w:rPr>
      </w:pPr>
      <w:r>
        <w:rPr>
          <w:rFonts w:hint="eastAsia" w:ascii="仿宋" w:hAnsi="仿宋" w:eastAsia="仿宋" w:cs="仿宋"/>
          <w:lang w:val="en-US" w:eastAsia="zh-CN"/>
        </w:rPr>
        <w:t>4.1  地层岩性</w:t>
      </w:r>
    </w:p>
    <w:p>
      <w:pPr>
        <w:pageBreakBefore w:val="0"/>
        <w:widowControl w:val="0"/>
        <w:kinsoku/>
        <w:wordWrap/>
        <w:overflowPunct/>
        <w:topLinePunct w:val="0"/>
        <w:bidi w:val="0"/>
        <w:spacing w:line="360" w:lineRule="auto"/>
        <w:ind w:firstLine="964"/>
        <w:textAlignment w:val="auto"/>
        <w:rPr>
          <w:rFonts w:hint="eastAsia" w:ascii="仿宋" w:hAnsi="仿宋" w:eastAsia="仿宋" w:cs="仿宋"/>
          <w:lang w:val="en-US" w:eastAsia="zh-CN"/>
        </w:rPr>
      </w:pPr>
      <w:r>
        <w:rPr>
          <w:rFonts w:hint="eastAsia" w:ascii="仿宋" w:hAnsi="仿宋" w:eastAsia="仿宋" w:cs="仿宋"/>
          <w:lang w:val="en-US" w:eastAsia="zh-CN"/>
        </w:rPr>
        <w:t>根据《估算报告》，开挖区内堆积的岩石主要为侏罗系上统大爽组（J</w:t>
      </w:r>
      <w:r>
        <w:rPr>
          <w:rFonts w:hint="eastAsia" w:ascii="仿宋" w:hAnsi="仿宋" w:eastAsia="仿宋" w:cs="仿宋"/>
          <w:vertAlign w:val="subscript"/>
          <w:lang w:val="en-US" w:eastAsia="zh-CN"/>
        </w:rPr>
        <w:t>3</w:t>
      </w:r>
      <w:r>
        <w:rPr>
          <w:rFonts w:hint="eastAsia" w:ascii="仿宋" w:hAnsi="仿宋" w:eastAsia="仿宋" w:cs="仿宋"/>
          <w:lang w:val="en-US" w:eastAsia="zh-CN"/>
        </w:rPr>
        <w:t>d）青灰、灰褐色含角砾玻屑熔结凝灰岩，凝灰结构，块状-整体块状构造，角砾主要由长石、石英晶屑、火山角砾、凝灰质等组成。岩石表层风化一般，抗风化能力一般-较强，属较坚硬岩，工程地质性质较好。</w:t>
      </w:r>
    </w:p>
    <w:p>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rPr>
        <w:drawing>
          <wp:inline distT="0" distB="0" distL="114300" distR="114300">
            <wp:extent cx="3554095" cy="2778760"/>
            <wp:effectExtent l="0" t="0" r="825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3554095" cy="27787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图4-1    区域地质图（楂林二村附近）</w:t>
      </w:r>
    </w:p>
    <w:p>
      <w:pPr>
        <w:pStyle w:val="5"/>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lang w:val="en-US" w:eastAsia="zh-CN"/>
        </w:rPr>
      </w:pPr>
      <w:r>
        <w:rPr>
          <w:rFonts w:hint="eastAsia" w:ascii="仿宋" w:hAnsi="仿宋" w:eastAsia="仿宋" w:cs="仿宋"/>
          <w:lang w:val="en-US" w:eastAsia="zh-CN"/>
        </w:rPr>
        <w:t>4.2  矿石质量</w:t>
      </w:r>
    </w:p>
    <w:p>
      <w:pPr>
        <w:pStyle w:val="6"/>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4.2.1  结构构造、物质成分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矿石主要为中风化凝灰岩，凝灰结构，块状构造；物质成分主要为由长石、石英晶屑、火山角砾、凝灰质等组成。</w:t>
      </w:r>
    </w:p>
    <w:p>
      <w:pPr>
        <w:pStyle w:val="6"/>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4.2.2  矿石抗压强度</w:t>
      </w:r>
    </w:p>
    <w:p>
      <w:pPr>
        <w:rPr>
          <w:rFonts w:hint="eastAsia" w:ascii="仿宋" w:hAnsi="仿宋" w:eastAsia="仿宋" w:cs="仿宋"/>
          <w:lang w:val="en-US" w:eastAsia="zh-CN"/>
        </w:rPr>
      </w:pPr>
      <w:r>
        <w:rPr>
          <w:rFonts w:hint="eastAsia" w:ascii="仿宋" w:hAnsi="仿宋" w:eastAsia="仿宋" w:cs="仿宋"/>
          <w:lang w:val="en-US" w:eastAsia="zh-CN"/>
        </w:rPr>
        <w:t>根据《估算报告》现场采集的3件岩样，单轴天然抗压强度平均值为70.9Mpa，就抗压强度而言，满足普通建筑石料矿（混凝土用碎石、机制砂）质量要求。</w:t>
      </w:r>
    </w:p>
    <w:p>
      <w:pPr>
        <w:pStyle w:val="6"/>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4.2.2  矿石小体重</w:t>
      </w:r>
    </w:p>
    <w:p>
      <w:pPr>
        <w:rPr>
          <w:rFonts w:hint="eastAsia" w:ascii="仿宋" w:hAnsi="仿宋" w:eastAsia="仿宋" w:cs="仿宋"/>
          <w:lang w:val="en-US" w:eastAsia="zh-CN"/>
        </w:rPr>
      </w:pPr>
      <w:r>
        <w:rPr>
          <w:rFonts w:hint="eastAsia" w:ascii="仿宋" w:hAnsi="仿宋" w:eastAsia="仿宋" w:cs="仿宋"/>
          <w:lang w:val="en-US" w:eastAsia="zh-CN"/>
        </w:rPr>
        <w:t>根据《估算报告》采集的3件小体重样测试结果，采用算术平均法计算其平均值，求得测区内岩石小体重为2.58g/cm</w:t>
      </w:r>
      <w:r>
        <w:rPr>
          <w:rFonts w:hint="eastAsia" w:ascii="仿宋" w:hAnsi="仿宋" w:eastAsia="仿宋" w:cs="仿宋"/>
          <w:vertAlign w:val="superscript"/>
          <w:lang w:val="en-US" w:eastAsia="zh-CN"/>
        </w:rPr>
        <w:t>3</w:t>
      </w:r>
      <w:r>
        <w:rPr>
          <w:rFonts w:hint="eastAsia" w:ascii="仿宋" w:hAnsi="仿宋" w:eastAsia="仿宋" w:cs="仿宋"/>
          <w:lang w:val="en-US" w:eastAsia="zh-CN"/>
        </w:rPr>
        <w:t>。</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lang w:val="en-US" w:eastAsia="zh-CN"/>
        </w:rPr>
      </w:pPr>
      <w:bookmarkStart w:id="7" w:name="_Toc9633"/>
      <w:r>
        <w:rPr>
          <w:rFonts w:hint="eastAsia" w:ascii="仿宋" w:hAnsi="仿宋" w:eastAsia="仿宋" w:cs="仿宋"/>
          <w:lang w:val="en-US" w:eastAsia="zh-CN"/>
        </w:rPr>
        <w:t>5、</w:t>
      </w:r>
      <w:bookmarkEnd w:id="7"/>
      <w:r>
        <w:rPr>
          <w:rFonts w:hint="eastAsia" w:ascii="仿宋" w:hAnsi="仿宋" w:eastAsia="仿宋" w:cs="仿宋"/>
          <w:lang w:val="en-US" w:eastAsia="zh-CN"/>
        </w:rPr>
        <w:t>资源量估算</w:t>
      </w:r>
    </w:p>
    <w:p>
      <w:pPr>
        <w:rPr>
          <w:rFonts w:hint="eastAsia" w:ascii="仿宋" w:hAnsi="仿宋" w:eastAsia="仿宋" w:cs="仿宋"/>
          <w:lang w:val="en-US" w:eastAsia="zh-CN"/>
        </w:rPr>
      </w:pPr>
      <w:bookmarkStart w:id="8" w:name="_Toc21515"/>
      <w:r>
        <w:rPr>
          <w:rFonts w:hint="eastAsia" w:ascii="仿宋" w:hAnsi="仿宋" w:eastAsia="仿宋" w:cs="仿宋"/>
          <w:lang w:val="en-US" w:eastAsia="zh-CN"/>
        </w:rPr>
        <w:t xml:space="preserve">5.1  </w:t>
      </w:r>
      <w:bookmarkEnd w:id="8"/>
      <w:r>
        <w:rPr>
          <w:rFonts w:hint="eastAsia" w:ascii="仿宋" w:hAnsi="仿宋" w:eastAsia="仿宋" w:cs="仿宋"/>
          <w:lang w:val="en-US" w:eastAsia="zh-CN"/>
        </w:rPr>
        <w:t>估算依据</w:t>
      </w:r>
    </w:p>
    <w:p>
      <w:pPr>
        <w:rPr>
          <w:rFonts w:hint="eastAsia" w:ascii="仿宋" w:hAnsi="仿宋" w:eastAsia="仿宋" w:cs="仿宋"/>
          <w:lang w:val="en-US" w:eastAsia="zh-CN"/>
        </w:rPr>
      </w:pPr>
      <w:r>
        <w:rPr>
          <w:rFonts w:hint="eastAsia" w:ascii="仿宋" w:hAnsi="仿宋" w:eastAsia="仿宋" w:cs="仿宋"/>
          <w:lang w:val="en-US" w:eastAsia="zh-CN"/>
        </w:rPr>
        <w:t>（1）《工程测量规范》（GB50026-2007）；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（2）《城市测量规范》(CJJ/T 8-2011)；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（3）《全球定位系统（GPS）测量规范》（GB/T 18413-2009）；</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（4）《1:500、1:1000、1:2000地形图图式》（GB/T 20257.1-2007）；</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 xml:space="preserve">（5）《数字地形图系列和基本要求》（GB/T 18315-2001）；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（6）《数字测绘成果质量检查与验收》（GB/T 24356-2009）；</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（7）《建筑用砂》GB/T 14684—2011；</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（8）《固体矿产地质勘查规范总则》GB/T13908—2002；</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（9）《固体矿产资源/储量分类》GB/T17766—2020。</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（10）《浙江省普通建筑石料矿产地质勘查技术要求》浙土资发[2010]85号</w:t>
      </w:r>
    </w:p>
    <w:p>
      <w:pPr>
        <w:pStyle w:val="5"/>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lang w:val="en-US" w:eastAsia="zh-CN"/>
        </w:rPr>
      </w:pPr>
      <w:bookmarkStart w:id="9" w:name="_Toc29098"/>
      <w:r>
        <w:rPr>
          <w:rFonts w:hint="eastAsia" w:ascii="仿宋" w:hAnsi="仿宋" w:eastAsia="仿宋" w:cs="仿宋"/>
          <w:lang w:val="en-US" w:eastAsia="zh-CN"/>
        </w:rPr>
        <w:t xml:space="preserve">5.2  </w:t>
      </w:r>
      <w:bookmarkEnd w:id="9"/>
      <w:r>
        <w:rPr>
          <w:rFonts w:hint="eastAsia" w:ascii="仿宋" w:hAnsi="仿宋" w:eastAsia="仿宋" w:cs="仿宋"/>
          <w:lang w:val="en-US" w:eastAsia="zh-CN"/>
        </w:rPr>
        <w:t>采样、化验、测试工作及其质量评述</w:t>
      </w:r>
    </w:p>
    <w:p>
      <w:pPr>
        <w:pStyle w:val="6"/>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5.2.1  采样及质量评述</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采样过程中严格遵照相关技术标准及规范要求，按测试类型、矿石类型分别采取。本次采样主要采集小体重样及天然抗压强度样，主要来自于估算区范围内堆积的矿石，按类型分别采取代表性样品，场区范围内基本分布均匀，有一定的代表性。</w:t>
      </w:r>
    </w:p>
    <w:p>
      <w:pPr>
        <w:pStyle w:val="6"/>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5.2.2  样品测试工作及质量评述</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（1）样品数量</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开挖区采集岩矿石抗压强度样和小体重样各3件。</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（2）样品的分析测试</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样品的分析测试由《估算报告》编制单位浙江地勘矿业技术有限公司采集样品并送至“浙江金华金地地矿检测试验所”进行分析测试，其具有专业资质，分析测试成果正确可靠。岩石小体重及抗压强度分析样品检测报告批号为：（21）化-114，样品分析编号分别为21-化-114-1~21-化-114-3，小体重、抗压强度检测结果见下表。</w:t>
      </w:r>
    </w:p>
    <w:p>
      <w:pPr>
        <w:pStyle w:val="2"/>
        <w:keepNext w:val="0"/>
        <w:keepLines w:val="0"/>
        <w:pageBreakBefore w:val="0"/>
        <w:widowControl w:val="0"/>
        <w:kinsoku/>
        <w:wordWrap/>
        <w:overflowPunct/>
        <w:topLinePunct w:val="0"/>
        <w:autoSpaceDE/>
        <w:autoSpaceDN/>
        <w:bidi w:val="0"/>
        <w:adjustRightInd w:val="0"/>
        <w:snapToGrid/>
        <w:spacing w:line="240" w:lineRule="auto"/>
        <w:ind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表5-1     开挖区岩石小体重及抗压强度检测结果表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2"/>
        <w:gridCol w:w="2113"/>
        <w:gridCol w:w="2141"/>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分析编号</w:t>
            </w:r>
          </w:p>
        </w:tc>
        <w:tc>
          <w:tcPr>
            <w:tcW w:w="211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样品编号</w:t>
            </w:r>
          </w:p>
        </w:tc>
        <w:tc>
          <w:tcPr>
            <w:tcW w:w="214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抗压强度</w:t>
            </w:r>
          </w:p>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（N/mm</w:t>
            </w:r>
            <w:r>
              <w:rPr>
                <w:rFonts w:hint="eastAsia" w:ascii="仿宋" w:hAnsi="仿宋" w:eastAsia="仿宋" w:cs="仿宋"/>
                <w:sz w:val="28"/>
                <w:szCs w:val="28"/>
                <w:vertAlign w:val="superscript"/>
                <w:lang w:val="en-US" w:eastAsia="zh-CN"/>
              </w:rPr>
              <w:t>2</w:t>
            </w:r>
            <w:r>
              <w:rPr>
                <w:rFonts w:hint="eastAsia" w:ascii="仿宋" w:hAnsi="仿宋" w:eastAsia="仿宋" w:cs="仿宋"/>
                <w:sz w:val="28"/>
                <w:szCs w:val="28"/>
                <w:vertAlign w:val="baseline"/>
                <w:lang w:val="en-US" w:eastAsia="zh-CN"/>
              </w:rPr>
              <w:t>）</w:t>
            </w:r>
          </w:p>
        </w:tc>
        <w:tc>
          <w:tcPr>
            <w:tcW w:w="2126"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小体重（g/cm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14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21-化114-1</w:t>
            </w:r>
          </w:p>
        </w:tc>
        <w:tc>
          <w:tcPr>
            <w:tcW w:w="211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Y-1</w:t>
            </w:r>
          </w:p>
        </w:tc>
        <w:tc>
          <w:tcPr>
            <w:tcW w:w="214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51.0</w:t>
            </w:r>
          </w:p>
        </w:tc>
        <w:tc>
          <w:tcPr>
            <w:tcW w:w="2126"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21-化114-2</w:t>
            </w:r>
          </w:p>
        </w:tc>
        <w:tc>
          <w:tcPr>
            <w:tcW w:w="211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Y-2</w:t>
            </w:r>
          </w:p>
        </w:tc>
        <w:tc>
          <w:tcPr>
            <w:tcW w:w="214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131.2</w:t>
            </w:r>
          </w:p>
        </w:tc>
        <w:tc>
          <w:tcPr>
            <w:tcW w:w="2126"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2"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21-化114-3</w:t>
            </w:r>
          </w:p>
        </w:tc>
        <w:tc>
          <w:tcPr>
            <w:tcW w:w="2113"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Y-3</w:t>
            </w:r>
          </w:p>
        </w:tc>
        <w:tc>
          <w:tcPr>
            <w:tcW w:w="2141"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30.6</w:t>
            </w:r>
          </w:p>
        </w:tc>
        <w:tc>
          <w:tcPr>
            <w:tcW w:w="2126" w:type="dxa"/>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由表可知，岩样平均抗压强度70.9Mpa，小体重2.58</w:t>
            </w:r>
            <w:r>
              <w:rPr>
                <w:rFonts w:hint="eastAsia" w:ascii="仿宋" w:hAnsi="仿宋" w:eastAsia="仿宋" w:cs="仿宋"/>
                <w:sz w:val="28"/>
                <w:szCs w:val="28"/>
                <w:lang w:val="zh-CN"/>
              </w:rPr>
              <w:t>g/cm³。</w:t>
            </w:r>
          </w:p>
        </w:tc>
      </w:tr>
    </w:tbl>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（3）图件编制</w:t>
      </w:r>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编制采用AutoCAD软件成图和量测，数据准确可靠，图件精度高。</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lang w:eastAsia="zh-CN"/>
        </w:rPr>
      </w:pPr>
      <w:bookmarkStart w:id="10" w:name="_Toc10445"/>
      <w:r>
        <w:rPr>
          <w:rFonts w:hint="eastAsia" w:ascii="仿宋" w:hAnsi="仿宋" w:eastAsia="仿宋" w:cs="仿宋"/>
          <w:lang w:val="en-US" w:eastAsia="zh-CN"/>
        </w:rPr>
        <w:t>6</w:t>
      </w:r>
      <w:r>
        <w:rPr>
          <w:rFonts w:hint="eastAsia" w:ascii="仿宋" w:hAnsi="仿宋" w:eastAsia="仿宋" w:cs="仿宋"/>
        </w:rPr>
        <w:t>、</w:t>
      </w:r>
      <w:bookmarkEnd w:id="10"/>
      <w:r>
        <w:rPr>
          <w:rFonts w:hint="eastAsia" w:ascii="仿宋" w:hAnsi="仿宋" w:eastAsia="仿宋" w:cs="仿宋"/>
          <w:lang w:val="en-US" w:eastAsia="zh-CN"/>
        </w:rPr>
        <w:t>建筑用石料矿资源量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napToGrid w:val="0"/>
          <w:color w:val="000000" w:themeColor="text1"/>
          <w:kern w:val="0"/>
          <w:sz w:val="28"/>
          <w:szCs w:val="28"/>
          <w:lang w:val="en-US" w:eastAsia="zh-CN"/>
        </w:rPr>
      </w:pPr>
      <w:r>
        <w:rPr>
          <w:rFonts w:hint="eastAsia" w:ascii="仿宋" w:hAnsi="仿宋" w:eastAsia="仿宋" w:cs="仿宋"/>
          <w:snapToGrid w:val="0"/>
          <w:color w:val="000000" w:themeColor="text1"/>
          <w:kern w:val="0"/>
          <w:sz w:val="28"/>
          <w:szCs w:val="28"/>
          <w:lang w:eastAsia="zh-CN"/>
        </w:rPr>
        <w:t>根据</w:t>
      </w:r>
      <w:r>
        <w:rPr>
          <w:rFonts w:hint="eastAsia" w:ascii="仿宋" w:hAnsi="仿宋" w:eastAsia="仿宋" w:cs="仿宋"/>
          <w:snapToGrid w:val="0"/>
          <w:color w:val="000000" w:themeColor="text1"/>
          <w:kern w:val="0"/>
          <w:sz w:val="28"/>
          <w:szCs w:val="28"/>
        </w:rPr>
        <w:t>《</w:t>
      </w:r>
      <w:r>
        <w:rPr>
          <w:rFonts w:hint="eastAsia" w:ascii="仿宋" w:hAnsi="仿宋" w:eastAsia="仿宋" w:cs="仿宋"/>
          <w:sz w:val="28"/>
          <w:lang w:eastAsia="zh-CN"/>
        </w:rPr>
        <w:t>估算报告</w:t>
      </w:r>
      <w:r>
        <w:rPr>
          <w:rFonts w:hint="eastAsia" w:ascii="仿宋" w:hAnsi="仿宋" w:eastAsia="仿宋" w:cs="仿宋"/>
          <w:snapToGrid w:val="0"/>
          <w:color w:val="000000" w:themeColor="text1"/>
          <w:kern w:val="0"/>
          <w:sz w:val="28"/>
          <w:szCs w:val="28"/>
        </w:rPr>
        <w:t>》</w:t>
      </w:r>
      <w:r>
        <w:rPr>
          <w:rFonts w:hint="eastAsia" w:ascii="仿宋" w:hAnsi="仿宋" w:eastAsia="仿宋" w:cs="仿宋"/>
          <w:sz w:val="28"/>
          <w:lang w:eastAsia="zh-CN"/>
        </w:rPr>
        <w:t>，</w:t>
      </w:r>
      <w:r>
        <w:rPr>
          <w:rFonts w:hint="eastAsia" w:ascii="仿宋" w:hAnsi="仿宋" w:eastAsia="仿宋" w:cs="仿宋"/>
          <w:snapToGrid w:val="0"/>
          <w:color w:val="000000" w:themeColor="text1"/>
          <w:kern w:val="0"/>
          <w:sz w:val="28"/>
          <w:szCs w:val="28"/>
          <w:lang w:val="en-US" w:eastAsia="zh-CN"/>
        </w:rPr>
        <w:t>开挖区总开挖土石方量为2305m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snapToGrid w:val="0"/>
          <w:color w:val="000000" w:themeColor="text1"/>
          <w:kern w:val="0"/>
          <w:sz w:val="28"/>
          <w:szCs w:val="28"/>
          <w:lang w:val="en-US" w:eastAsia="zh-CN"/>
        </w:rPr>
        <w:t>，其中：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napToGrid w:val="0"/>
          <w:color w:val="000000" w:themeColor="text1"/>
          <w:kern w:val="0"/>
          <w:sz w:val="28"/>
          <w:szCs w:val="28"/>
          <w:lang w:val="en-US" w:eastAsia="zh-CN"/>
        </w:rPr>
      </w:pPr>
      <w:r>
        <w:rPr>
          <w:rFonts w:hint="eastAsia" w:ascii="仿宋" w:hAnsi="仿宋" w:eastAsia="仿宋" w:cs="仿宋"/>
          <w:color w:val="000000"/>
          <w:szCs w:val="28"/>
        </w:rPr>
        <w:t>①</w:t>
      </w:r>
      <w:r>
        <w:rPr>
          <w:rFonts w:hint="eastAsia" w:ascii="仿宋" w:hAnsi="仿宋" w:eastAsia="仿宋" w:cs="仿宋"/>
          <w:snapToGrid w:val="0"/>
          <w:color w:val="000000" w:themeColor="text1"/>
          <w:kern w:val="0"/>
          <w:sz w:val="28"/>
          <w:szCs w:val="28"/>
          <w:lang w:val="en-US" w:eastAsia="zh-CN"/>
        </w:rPr>
        <w:t>场地内堆积有部分碎石土及水泥块，面积约380m</w:t>
      </w:r>
      <w:r>
        <w:rPr>
          <w:rFonts w:hint="eastAsia" w:ascii="仿宋" w:hAnsi="仿宋" w:eastAsia="仿宋" w:cs="仿宋"/>
          <w:snapToGrid w:val="0"/>
          <w:color w:val="000000" w:themeColor="text1"/>
          <w:kern w:val="0"/>
          <w:sz w:val="28"/>
          <w:szCs w:val="28"/>
          <w:vertAlign w:val="superscript"/>
          <w:lang w:val="en-US" w:eastAsia="zh-CN"/>
        </w:rPr>
        <w:t>2</w:t>
      </w:r>
      <w:r>
        <w:rPr>
          <w:rFonts w:hint="eastAsia" w:ascii="仿宋" w:hAnsi="仿宋" w:eastAsia="仿宋" w:cs="仿宋"/>
          <w:snapToGrid w:val="0"/>
          <w:color w:val="000000" w:themeColor="text1"/>
          <w:kern w:val="0"/>
          <w:sz w:val="28"/>
          <w:szCs w:val="28"/>
          <w:lang w:val="en-US" w:eastAsia="zh-CN"/>
        </w:rPr>
        <w:t>，平均厚度2m，体积760m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snapToGrid w:val="0"/>
          <w:color w:val="000000" w:themeColor="text1"/>
          <w:kern w:val="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napToGrid w:val="0"/>
          <w:color w:val="000000" w:themeColor="text1"/>
          <w:kern w:val="0"/>
          <w:sz w:val="28"/>
          <w:szCs w:val="28"/>
          <w:lang w:val="en-US" w:eastAsia="zh-CN"/>
        </w:rPr>
      </w:pPr>
      <w:r>
        <w:rPr>
          <w:rFonts w:hint="eastAsia" w:ascii="仿宋" w:hAnsi="仿宋" w:eastAsia="仿宋" w:cs="仿宋"/>
          <w:sz w:val="28"/>
          <w:szCs w:val="28"/>
        </w:rPr>
        <w:t>②</w:t>
      </w:r>
      <w:r>
        <w:rPr>
          <w:rFonts w:hint="eastAsia" w:ascii="仿宋" w:hAnsi="仿宋" w:eastAsia="仿宋" w:cs="仿宋"/>
          <w:sz w:val="28"/>
          <w:szCs w:val="28"/>
          <w:lang w:val="en-US" w:eastAsia="zh-CN"/>
        </w:rPr>
        <w:t>开挖区</w:t>
      </w:r>
      <w:r>
        <w:rPr>
          <w:rFonts w:hint="eastAsia" w:ascii="仿宋" w:hAnsi="仿宋" w:eastAsia="仿宋" w:cs="仿宋"/>
          <w:snapToGrid w:val="0"/>
          <w:color w:val="000000" w:themeColor="text1"/>
          <w:kern w:val="0"/>
          <w:sz w:val="28"/>
          <w:szCs w:val="28"/>
          <w:lang w:val="en-US" w:eastAsia="zh-CN"/>
        </w:rPr>
        <w:t>现状已堆积块石体积约175m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snapToGrid w:val="0"/>
          <w:color w:val="000000" w:themeColor="text1"/>
          <w:kern w:val="0"/>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napToGrid w:val="0"/>
          <w:color w:val="000000" w:themeColor="text1"/>
          <w:kern w:val="0"/>
          <w:sz w:val="28"/>
          <w:szCs w:val="28"/>
          <w:lang w:val="en-US" w:eastAsia="zh-CN"/>
        </w:rPr>
      </w:pPr>
      <w:r>
        <w:rPr>
          <w:rFonts w:hint="eastAsia" w:ascii="仿宋" w:hAnsi="仿宋" w:eastAsia="仿宋" w:cs="仿宋"/>
          <w:snapToGrid w:val="0"/>
          <w:color w:val="000000" w:themeColor="text1"/>
          <w:kern w:val="0"/>
          <w:sz w:val="28"/>
          <w:szCs w:val="28"/>
          <w:lang w:val="en-US" w:eastAsia="zh-CN"/>
        </w:rPr>
        <w:t>③场地内未开挖平整土石方体积1370m³；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napToGrid w:val="0"/>
          <w:color w:val="000000" w:themeColor="text1"/>
          <w:kern w:val="0"/>
          <w:sz w:val="28"/>
          <w:szCs w:val="28"/>
          <w:lang w:eastAsia="zh-CN"/>
        </w:rPr>
      </w:pPr>
      <w:r>
        <w:rPr>
          <w:rFonts w:hint="eastAsia" w:ascii="仿宋" w:hAnsi="仿宋" w:eastAsia="仿宋" w:cs="仿宋"/>
          <w:snapToGrid w:val="0"/>
          <w:color w:val="000000" w:themeColor="text1"/>
          <w:kern w:val="0"/>
          <w:sz w:val="28"/>
          <w:szCs w:val="28"/>
          <w:lang w:val="en-US" w:eastAsia="zh-CN"/>
        </w:rPr>
        <w:t>④强风化层按20%计，则强风化（宕渣）体积为274m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snapToGrid w:val="0"/>
          <w:color w:val="000000" w:themeColor="text1"/>
          <w:kern w:val="0"/>
          <w:sz w:val="28"/>
          <w:szCs w:val="28"/>
          <w:lang w:val="en-US" w:eastAsia="zh-CN"/>
        </w:rPr>
        <w:t>，中风化矿石体积为1096m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snapToGrid w:val="0"/>
          <w:color w:val="000000" w:themeColor="text1"/>
          <w:kern w:val="0"/>
          <w:sz w:val="28"/>
          <w:szCs w:val="28"/>
          <w:lang w:val="en-US" w:eastAsia="zh-CN"/>
        </w:rPr>
        <w:t>。</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sz w:val="28"/>
          <w:szCs w:val="28"/>
        </w:rPr>
      </w:pPr>
      <w:bookmarkStart w:id="11" w:name="_Toc4084"/>
      <w:r>
        <w:rPr>
          <w:rFonts w:hint="eastAsia" w:ascii="仿宋" w:hAnsi="仿宋" w:eastAsia="仿宋" w:cs="仿宋"/>
          <w:b/>
          <w:sz w:val="28"/>
          <w:szCs w:val="28"/>
          <w:lang w:val="en-US" w:eastAsia="zh-CN"/>
        </w:rPr>
        <w:t>7</w:t>
      </w:r>
      <w:r>
        <w:rPr>
          <w:rFonts w:hint="eastAsia" w:ascii="仿宋" w:hAnsi="仿宋" w:eastAsia="仿宋" w:cs="仿宋"/>
          <w:b/>
          <w:sz w:val="28"/>
          <w:szCs w:val="28"/>
        </w:rPr>
        <w:t>、</w:t>
      </w:r>
      <w:r>
        <w:rPr>
          <w:rFonts w:hint="eastAsia" w:ascii="仿宋" w:hAnsi="仿宋" w:eastAsia="仿宋" w:cs="仿宋"/>
          <w:b/>
          <w:kern w:val="2"/>
          <w:sz w:val="28"/>
          <w:szCs w:val="24"/>
          <w:lang w:val="en-US" w:eastAsia="zh-CN" w:bidi="ar-SA"/>
        </w:rPr>
        <w:t>评估</w:t>
      </w:r>
      <w:r>
        <w:rPr>
          <w:rFonts w:hint="eastAsia" w:ascii="仿宋" w:hAnsi="仿宋" w:eastAsia="仿宋" w:cs="仿宋"/>
          <w:b/>
          <w:sz w:val="28"/>
        </w:rPr>
        <w:t>利用</w:t>
      </w:r>
      <w:r>
        <w:rPr>
          <w:rFonts w:hint="eastAsia" w:ascii="仿宋" w:hAnsi="仿宋" w:eastAsia="仿宋" w:cs="仿宋"/>
          <w:b/>
          <w:sz w:val="28"/>
          <w:szCs w:val="28"/>
        </w:rPr>
        <w:t>资源量</w:t>
      </w:r>
      <w:bookmarkEnd w:id="11"/>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rPr>
      </w:pPr>
      <w:r>
        <w:rPr>
          <w:rFonts w:hint="eastAsia" w:ascii="仿宋" w:hAnsi="仿宋" w:eastAsia="仿宋" w:cs="仿宋"/>
        </w:rPr>
        <w:t>根据</w:t>
      </w:r>
      <w:r>
        <w:rPr>
          <w:rFonts w:hint="eastAsia" w:ascii="仿宋" w:hAnsi="仿宋" w:eastAsia="仿宋" w:cs="仿宋"/>
          <w:lang w:eastAsia="zh-CN"/>
        </w:rPr>
        <w:t>《估算报告》</w:t>
      </w:r>
      <w:r>
        <w:rPr>
          <w:rFonts w:hint="eastAsia" w:ascii="仿宋" w:hAnsi="仿宋" w:eastAsia="仿宋" w:cs="仿宋"/>
        </w:rPr>
        <w:t>，估算区内</w:t>
      </w:r>
      <w:r>
        <w:rPr>
          <w:rFonts w:hint="eastAsia" w:ascii="仿宋" w:hAnsi="仿宋" w:eastAsia="仿宋" w:cs="仿宋"/>
          <w:lang w:val="en-US" w:eastAsia="zh-CN"/>
        </w:rPr>
        <w:t>总开挖土石方量为2305</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。区内堆积碎石土及水泥块方量760</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作为剥离物予以剔除；强风化（宕碴）量为274</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，小体重按2.58</w:t>
      </w:r>
      <w:r>
        <w:rPr>
          <w:rFonts w:hint="eastAsia" w:ascii="仿宋" w:hAnsi="仿宋" w:eastAsia="仿宋" w:cs="仿宋"/>
          <w:lang w:val="zh-CN"/>
        </w:rPr>
        <w:t>g/c</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计，折合资源量706.9t，可作为宕碴利用；中风化矿石量为1096+175=1271</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，小体重按2.58</w:t>
      </w:r>
      <w:r>
        <w:rPr>
          <w:rFonts w:hint="eastAsia" w:ascii="仿宋" w:hAnsi="仿宋" w:eastAsia="仿宋" w:cs="仿宋"/>
          <w:lang w:val="zh-CN"/>
        </w:rPr>
        <w:t>g/c</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计，折合矿石资源量3279.2t，可作为</w:t>
      </w:r>
      <w:r>
        <w:rPr>
          <w:rFonts w:hint="eastAsia" w:ascii="仿宋" w:hAnsi="仿宋" w:eastAsia="仿宋" w:cs="仿宋"/>
        </w:rPr>
        <w:t>普通建筑石料矿（混凝土用碎石、机制砂）</w:t>
      </w:r>
      <w:r>
        <w:rPr>
          <w:rFonts w:hint="eastAsia" w:ascii="仿宋" w:hAnsi="仿宋" w:eastAsia="仿宋" w:cs="仿宋"/>
          <w:lang w:val="en-US" w:eastAsia="zh-CN"/>
        </w:rPr>
        <w:t>利用。</w:t>
      </w:r>
      <w:r>
        <w:rPr>
          <w:rFonts w:hint="eastAsia" w:ascii="仿宋" w:hAnsi="仿宋" w:eastAsia="仿宋" w:cs="仿宋"/>
          <w:lang w:eastAsia="zh-CN"/>
        </w:rPr>
        <w:t>结合</w:t>
      </w:r>
      <w:r>
        <w:rPr>
          <w:rFonts w:hint="eastAsia" w:ascii="仿宋" w:hAnsi="仿宋" w:eastAsia="仿宋" w:cs="仿宋"/>
          <w:lang w:val="en-US" w:eastAsia="zh-CN"/>
        </w:rPr>
        <w:t>委托方</w:t>
      </w:r>
      <w:r>
        <w:rPr>
          <w:rFonts w:hint="eastAsia" w:ascii="仿宋" w:hAnsi="仿宋" w:eastAsia="仿宋" w:cs="仿宋"/>
        </w:rPr>
        <w:t>要求</w:t>
      </w:r>
      <w:r>
        <w:rPr>
          <w:rFonts w:hint="eastAsia" w:ascii="仿宋" w:hAnsi="仿宋" w:eastAsia="仿宋" w:cs="仿宋"/>
          <w:lang w:eastAsia="zh-CN"/>
        </w:rPr>
        <w:t>，</w:t>
      </w:r>
      <w:r>
        <w:rPr>
          <w:rFonts w:hint="eastAsia" w:ascii="仿宋" w:hAnsi="仿宋" w:eastAsia="仿宋" w:cs="仿宋"/>
          <w:lang w:val="en-US" w:eastAsia="zh-CN"/>
        </w:rPr>
        <w:t>本次评估利用资源量为1545</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（合3986.1t），其中强风化（宕碴）矿274</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（合706.9t），中风化矿1271</w:t>
      </w:r>
      <w:r>
        <w:rPr>
          <w:rFonts w:hint="eastAsia" w:ascii="仿宋" w:hAnsi="仿宋" w:eastAsia="仿宋" w:cs="仿宋"/>
          <w:snapToGrid w:val="0"/>
          <w:color w:val="000000" w:themeColor="text1"/>
          <w:kern w:val="0"/>
          <w:sz w:val="28"/>
          <w:szCs w:val="28"/>
          <w:lang w:val="en-US" w:eastAsia="zh-CN"/>
        </w:rPr>
        <w:t>m</w:t>
      </w:r>
      <w:r>
        <w:rPr>
          <w:rFonts w:hint="eastAsia" w:ascii="仿宋" w:hAnsi="仿宋" w:eastAsia="仿宋" w:cs="仿宋"/>
          <w:snapToGrid w:val="0"/>
          <w:color w:val="000000" w:themeColor="text1"/>
          <w:kern w:val="0"/>
          <w:sz w:val="28"/>
          <w:szCs w:val="28"/>
          <w:vertAlign w:val="superscript"/>
          <w:lang w:val="en-US" w:eastAsia="zh-CN"/>
        </w:rPr>
        <w:t>3</w:t>
      </w:r>
      <w:r>
        <w:rPr>
          <w:rFonts w:hint="eastAsia" w:ascii="仿宋" w:hAnsi="仿宋" w:eastAsia="仿宋" w:cs="仿宋"/>
          <w:lang w:val="en-US" w:eastAsia="zh-CN"/>
        </w:rPr>
        <w:t>（合3279.2t）</w:t>
      </w:r>
      <w:r>
        <w:rPr>
          <w:rFonts w:hint="eastAsia" w:ascii="仿宋" w:hAnsi="仿宋" w:eastAsia="仿宋" w:cs="仿宋"/>
          <w:szCs w:val="28"/>
          <w:lang w:eastAsia="zh-CN"/>
        </w:rPr>
        <w:t>。</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sz w:val="28"/>
        </w:rPr>
      </w:pPr>
      <w:bookmarkStart w:id="12" w:name="_Toc24300"/>
      <w:r>
        <w:rPr>
          <w:rFonts w:hint="eastAsia" w:ascii="仿宋" w:hAnsi="仿宋" w:eastAsia="仿宋" w:cs="仿宋"/>
          <w:b/>
          <w:sz w:val="28"/>
          <w:lang w:val="en-US" w:eastAsia="zh-CN"/>
        </w:rPr>
        <w:t>8</w:t>
      </w:r>
      <w:r>
        <w:rPr>
          <w:rFonts w:hint="eastAsia" w:ascii="仿宋" w:hAnsi="仿宋" w:eastAsia="仿宋" w:cs="仿宋"/>
          <w:b/>
          <w:sz w:val="28"/>
        </w:rPr>
        <w:t>、产品方案</w:t>
      </w:r>
      <w:bookmarkEnd w:id="12"/>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rPr>
        <w:t>《</w:t>
      </w:r>
      <w:r>
        <w:rPr>
          <w:rFonts w:hint="eastAsia" w:ascii="仿宋" w:hAnsi="仿宋" w:eastAsia="仿宋" w:cs="仿宋"/>
          <w:lang w:eastAsia="zh-CN"/>
        </w:rPr>
        <w:t>估算报告</w:t>
      </w:r>
      <w:r>
        <w:rPr>
          <w:rFonts w:hint="eastAsia" w:ascii="仿宋" w:hAnsi="仿宋" w:eastAsia="仿宋" w:cs="仿宋"/>
        </w:rPr>
        <w:t>》</w:t>
      </w:r>
      <w:r>
        <w:rPr>
          <w:rFonts w:hint="eastAsia" w:ascii="仿宋" w:hAnsi="仿宋" w:eastAsia="仿宋" w:cs="仿宋"/>
          <w:lang w:eastAsia="zh-CN"/>
        </w:rPr>
        <w:t>描述开挖平整区内</w:t>
      </w:r>
      <w:r>
        <w:rPr>
          <w:rFonts w:hint="eastAsia" w:ascii="仿宋" w:hAnsi="仿宋" w:eastAsia="仿宋" w:cs="仿宋"/>
          <w:lang w:val="en-US" w:eastAsia="zh-CN"/>
        </w:rPr>
        <w:t>中风化矿的抗压强度满足</w:t>
      </w:r>
      <w:r>
        <w:rPr>
          <w:rFonts w:hint="eastAsia" w:ascii="仿宋" w:hAnsi="仿宋" w:eastAsia="仿宋" w:cs="仿宋"/>
        </w:rPr>
        <w:t>《浙江省普通建筑石料矿产地质勘查技术要求》附录A普通建筑石料矿一般工业指标要求</w:t>
      </w:r>
      <w:r>
        <w:rPr>
          <w:rFonts w:hint="eastAsia" w:ascii="仿宋" w:hAnsi="仿宋" w:eastAsia="仿宋" w:cs="仿宋"/>
          <w:lang w:eastAsia="zh-CN"/>
        </w:rPr>
        <w:t>，根据评估</w:t>
      </w:r>
      <w:r>
        <w:rPr>
          <w:rFonts w:hint="eastAsia" w:ascii="仿宋" w:hAnsi="仿宋" w:eastAsia="仿宋" w:cs="仿宋"/>
        </w:rPr>
        <w:t>委托方介绍，未来工程开挖产出的石料</w:t>
      </w:r>
      <w:r>
        <w:rPr>
          <w:rFonts w:hint="eastAsia" w:ascii="仿宋" w:hAnsi="仿宋" w:eastAsia="仿宋" w:cs="仿宋"/>
          <w:lang w:eastAsia="zh-CN"/>
        </w:rPr>
        <w:t>现场不经加工筛选，</w:t>
      </w:r>
      <w:r>
        <w:rPr>
          <w:rFonts w:hint="eastAsia" w:ascii="仿宋" w:hAnsi="仿宋" w:eastAsia="仿宋" w:cs="仿宋"/>
        </w:rPr>
        <w:t>均以原矿方式对外拉运</w:t>
      </w:r>
      <w:r>
        <w:rPr>
          <w:rFonts w:hint="eastAsia" w:ascii="仿宋" w:hAnsi="仿宋" w:eastAsia="仿宋" w:cs="仿宋"/>
          <w:lang w:eastAsia="zh-CN"/>
        </w:rPr>
        <w:t>；</w:t>
      </w:r>
      <w:r>
        <w:rPr>
          <w:rFonts w:hint="eastAsia" w:ascii="仿宋" w:hAnsi="仿宋" w:eastAsia="仿宋" w:cs="仿宋"/>
        </w:rPr>
        <w:t>评估组通过对工程现状和岩性状态的综合分析，从对矿产资源相对最佳利用角度考虑，</w:t>
      </w:r>
      <w:r>
        <w:rPr>
          <w:rFonts w:hint="eastAsia" w:ascii="仿宋" w:hAnsi="仿宋" w:eastAsia="仿宋" w:cs="仿宋"/>
          <w:lang w:val="en-US" w:eastAsia="zh-CN"/>
        </w:rPr>
        <w:t>本次评估认为</w:t>
      </w:r>
      <w:r>
        <w:rPr>
          <w:rFonts w:hint="eastAsia" w:ascii="仿宋" w:hAnsi="仿宋" w:eastAsia="仿宋" w:cs="仿宋"/>
        </w:rPr>
        <w:t>产品方案</w:t>
      </w:r>
      <w:r>
        <w:rPr>
          <w:rFonts w:hint="eastAsia" w:ascii="仿宋" w:hAnsi="仿宋" w:eastAsia="仿宋" w:cs="仿宋"/>
          <w:lang w:eastAsia="zh-CN"/>
        </w:rPr>
        <w:t>设为乱石统料和宕碴较为合适，其中</w:t>
      </w:r>
      <w:r>
        <w:rPr>
          <w:rFonts w:hint="eastAsia" w:ascii="仿宋" w:hAnsi="仿宋" w:eastAsia="仿宋" w:cs="仿宋"/>
          <w:lang w:val="en-US" w:eastAsia="zh-CN"/>
        </w:rPr>
        <w:t>中风化矿</w:t>
      </w:r>
      <w:r>
        <w:rPr>
          <w:rFonts w:hint="eastAsia" w:ascii="仿宋" w:hAnsi="仿宋" w:eastAsia="仿宋" w:cs="仿宋"/>
          <w:lang w:eastAsia="zh-CN"/>
        </w:rPr>
        <w:t>作乱</w:t>
      </w:r>
      <w:r>
        <w:rPr>
          <w:rFonts w:hint="eastAsia" w:ascii="仿宋" w:hAnsi="仿宋" w:eastAsia="仿宋" w:cs="仿宋"/>
        </w:rPr>
        <w:t>石统料</w:t>
      </w:r>
      <w:r>
        <w:rPr>
          <w:rFonts w:hint="eastAsia" w:ascii="仿宋" w:hAnsi="仿宋" w:eastAsia="仿宋" w:cs="仿宋"/>
          <w:lang w:eastAsia="zh-CN"/>
        </w:rPr>
        <w:t>利用</w:t>
      </w:r>
      <w:r>
        <w:rPr>
          <w:rFonts w:hint="eastAsia" w:ascii="仿宋" w:hAnsi="仿宋" w:eastAsia="仿宋" w:cs="仿宋"/>
        </w:rPr>
        <w:t>，</w:t>
      </w:r>
      <w:r>
        <w:rPr>
          <w:rFonts w:hint="eastAsia" w:ascii="仿宋" w:hAnsi="仿宋" w:eastAsia="仿宋" w:cs="仿宋"/>
          <w:lang w:val="en-US" w:eastAsia="zh-CN"/>
        </w:rPr>
        <w:t>可用作加工建筑用碎石和机制砂</w:t>
      </w:r>
      <w:r>
        <w:rPr>
          <w:rFonts w:hint="eastAsia" w:ascii="仿宋" w:hAnsi="仿宋" w:eastAsia="仿宋" w:cs="仿宋"/>
          <w:lang w:eastAsia="zh-CN"/>
        </w:rPr>
        <w:t>；</w:t>
      </w:r>
      <w:r>
        <w:rPr>
          <w:rFonts w:hint="eastAsia" w:ascii="仿宋" w:hAnsi="仿宋" w:eastAsia="仿宋" w:cs="仿宋"/>
          <w:lang w:val="en-US" w:eastAsia="zh-CN"/>
        </w:rPr>
        <w:t>强风化矿作宕碴综合利用，可用作填方工程。</w:t>
      </w:r>
    </w:p>
    <w:p>
      <w:pPr>
        <w:pStyle w:val="3"/>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sz w:val="28"/>
          <w:szCs w:val="28"/>
        </w:rPr>
      </w:pPr>
      <w:bookmarkStart w:id="13" w:name="_Toc21417"/>
      <w:r>
        <w:rPr>
          <w:rFonts w:hint="eastAsia" w:ascii="仿宋" w:hAnsi="仿宋" w:eastAsia="仿宋" w:cs="仿宋"/>
          <w:b/>
          <w:sz w:val="28"/>
          <w:szCs w:val="28"/>
        </w:rPr>
        <w:t>五、</w:t>
      </w:r>
      <w:r>
        <w:rPr>
          <w:rFonts w:hint="eastAsia" w:ascii="仿宋" w:hAnsi="仿宋" w:eastAsia="仿宋" w:cs="仿宋"/>
          <w:b/>
          <w:kern w:val="0"/>
          <w:sz w:val="28"/>
          <w:szCs w:val="28"/>
          <w:lang w:val="en-US" w:eastAsia="zh-CN"/>
        </w:rPr>
        <w:t>价格</w:t>
      </w:r>
      <w:r>
        <w:rPr>
          <w:rFonts w:hint="eastAsia" w:ascii="仿宋" w:hAnsi="仿宋" w:eastAsia="仿宋" w:cs="仿宋"/>
          <w:b/>
          <w:sz w:val="28"/>
          <w:szCs w:val="28"/>
        </w:rPr>
        <w:t>定义</w:t>
      </w:r>
      <w:bookmarkEnd w:id="13"/>
    </w:p>
    <w:p>
      <w:pPr>
        <w:pageBreakBefore w:val="0"/>
        <w:widowControl w:val="0"/>
        <w:kinsoku/>
        <w:wordWrap/>
        <w:overflowPunct/>
        <w:topLinePunct w:val="0"/>
        <w:bidi w:val="0"/>
        <w:spacing w:line="360" w:lineRule="auto"/>
        <w:textAlignment w:val="auto"/>
        <w:rPr>
          <w:rFonts w:hint="eastAsia" w:ascii="仿宋" w:hAnsi="仿宋" w:eastAsia="仿宋" w:cs="仿宋"/>
          <w:lang w:val="en-US" w:eastAsia="zh-CN"/>
        </w:rPr>
      </w:pPr>
      <w:r>
        <w:rPr>
          <w:rFonts w:hint="eastAsia" w:ascii="仿宋" w:hAnsi="仿宋" w:eastAsia="仿宋" w:cs="仿宋"/>
          <w:lang w:val="en-US" w:eastAsia="zh-CN"/>
        </w:rPr>
        <w:t>价格评估结论所指价格是：评估标的在评估基准日，采用公开市场价值标准确定的市场公允价格。</w:t>
      </w:r>
    </w:p>
    <w:p>
      <w:pPr>
        <w:pStyle w:val="3"/>
        <w:keepNext/>
        <w:keepLines/>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仿宋" w:hAnsi="仿宋" w:eastAsia="仿宋" w:cs="仿宋"/>
          <w:b/>
          <w:kern w:val="0"/>
          <w:sz w:val="28"/>
          <w:szCs w:val="28"/>
        </w:rPr>
      </w:pPr>
      <w:bookmarkStart w:id="14" w:name="_Toc17335"/>
      <w:r>
        <w:rPr>
          <w:rFonts w:hint="eastAsia" w:ascii="仿宋" w:hAnsi="仿宋" w:eastAsia="仿宋" w:cs="仿宋"/>
          <w:b/>
          <w:kern w:val="0"/>
          <w:sz w:val="28"/>
          <w:szCs w:val="28"/>
        </w:rPr>
        <w:t>六、价格评估依据</w:t>
      </w:r>
      <w:bookmarkEnd w:id="14"/>
    </w:p>
    <w:p>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《中华人民共和国价格法》</w:t>
      </w:r>
      <w:r>
        <w:rPr>
          <w:rFonts w:hint="eastAsia" w:ascii="仿宋" w:hAnsi="仿宋" w:eastAsia="仿宋" w:cs="仿宋"/>
          <w:sz w:val="28"/>
          <w:szCs w:val="28"/>
          <w:lang w:eastAsia="zh-CN"/>
        </w:rPr>
        <w:t>；</w:t>
      </w:r>
    </w:p>
    <w:p>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firstLine="600" w:firstLineChars="200"/>
        <w:jc w:val="left"/>
        <w:textAlignment w:val="auto"/>
        <w:rPr>
          <w:rFonts w:hint="eastAsia" w:ascii="仿宋" w:hAnsi="仿宋" w:eastAsia="仿宋" w:cs="仿宋"/>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lang w:eastAsia="zh-CN"/>
        </w:rPr>
        <w:t>；</w:t>
      </w:r>
    </w:p>
    <w:p>
      <w:pPr>
        <w:pStyle w:val="2"/>
        <w:pageBreakBefore w:val="0"/>
        <w:widowControl w:val="0"/>
        <w:kinsoku/>
        <w:wordWrap/>
        <w:overflowPunct/>
        <w:topLinePunct w:val="0"/>
        <w:bidi w:val="0"/>
        <w:spacing w:line="360" w:lineRule="auto"/>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3、《价格鉴证评估执业规范》；</w:t>
      </w:r>
    </w:p>
    <w:p>
      <w:pPr>
        <w:pageBreakBefore w:val="0"/>
        <w:widowControl w:val="0"/>
        <w:numPr>
          <w:ilvl w:val="0"/>
          <w:numId w:val="0"/>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4、其他有关价格评估的法律、法规、政策；</w:t>
      </w:r>
    </w:p>
    <w:p>
      <w:pPr>
        <w:pageBreakBefore w:val="0"/>
        <w:widowControl w:val="0"/>
        <w:numPr>
          <w:ilvl w:val="0"/>
          <w:numId w:val="0"/>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color w:val="000000" w:themeColor="text1"/>
          <w:sz w:val="28"/>
          <w:szCs w:val="28"/>
        </w:rPr>
        <w:t>评估委托书及承诺函</w:t>
      </w:r>
      <w:r>
        <w:rPr>
          <w:rFonts w:hint="eastAsia" w:ascii="仿宋" w:hAnsi="仿宋" w:eastAsia="仿宋" w:cs="仿宋"/>
          <w:sz w:val="28"/>
          <w:szCs w:val="28"/>
        </w:rPr>
        <w:t>》</w:t>
      </w:r>
      <w:r>
        <w:rPr>
          <w:rFonts w:hint="eastAsia" w:ascii="仿宋" w:hAnsi="仿宋" w:eastAsia="仿宋" w:cs="仿宋"/>
          <w:sz w:val="28"/>
          <w:szCs w:val="28"/>
          <w:lang w:eastAsia="zh-CN"/>
        </w:rPr>
        <w:t>；</w:t>
      </w:r>
    </w:p>
    <w:p>
      <w:pPr>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lang w:val="en-US" w:eastAsia="zh-CN"/>
        </w:rPr>
        <w:t>义乌市大陈镇楂林菜市场周边配套工程及边坡治理弃渣估算报告</w:t>
      </w:r>
      <w:r>
        <w:rPr>
          <w:rFonts w:hint="eastAsia" w:ascii="仿宋" w:hAnsi="仿宋" w:eastAsia="仿宋" w:cs="仿宋"/>
          <w:sz w:val="28"/>
          <w:szCs w:val="28"/>
          <w:lang w:val="en-US" w:eastAsia="zh-CN"/>
        </w:rPr>
        <w:t>》（浙江地勘矿业技术有限公司，2021年07月）；</w:t>
      </w:r>
    </w:p>
    <w:p>
      <w:pPr>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7、《浙江交</w:t>
      </w:r>
      <w:r>
        <w:rPr>
          <w:rFonts w:hint="eastAsia" w:ascii="仿宋" w:hAnsi="仿宋" w:eastAsia="仿宋" w:cs="仿宋"/>
          <w:color w:val="auto"/>
          <w:sz w:val="28"/>
          <w:szCs w:val="28"/>
          <w:lang w:val="en-US" w:eastAsia="zh-CN"/>
        </w:rPr>
        <w:t>通建设工程质监与造价》（2020年第六期～2021年第五期）；</w:t>
      </w:r>
    </w:p>
    <w:p>
      <w:pPr>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8、</w:t>
      </w:r>
      <w:r>
        <w:rPr>
          <w:rFonts w:hint="eastAsia" w:ascii="仿宋" w:hAnsi="仿宋" w:eastAsia="仿宋" w:cs="仿宋"/>
          <w:sz w:val="28"/>
          <w:szCs w:val="28"/>
        </w:rPr>
        <w:t>委托方提供的相关资料</w:t>
      </w:r>
      <w:r>
        <w:rPr>
          <w:rFonts w:hint="eastAsia" w:ascii="仿宋" w:hAnsi="仿宋" w:eastAsia="仿宋" w:cs="仿宋"/>
          <w:sz w:val="28"/>
          <w:szCs w:val="28"/>
          <w:lang w:eastAsia="zh-CN"/>
        </w:rPr>
        <w:t>；</w:t>
      </w:r>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lang w:val="en-US" w:eastAsia="zh-CN"/>
        </w:rPr>
        <w:t>9、</w:t>
      </w:r>
      <w:r>
        <w:rPr>
          <w:rFonts w:hint="eastAsia" w:ascii="仿宋" w:hAnsi="仿宋" w:eastAsia="仿宋" w:cs="仿宋"/>
        </w:rPr>
        <w:t>价格评估人员现场勘查情况及市场行情调查的资料。</w:t>
      </w:r>
    </w:p>
    <w:p>
      <w:pPr>
        <w:pStyle w:val="3"/>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kern w:val="0"/>
          <w:sz w:val="28"/>
          <w:szCs w:val="28"/>
        </w:rPr>
      </w:pPr>
      <w:bookmarkStart w:id="15" w:name="_Toc28458"/>
      <w:r>
        <w:rPr>
          <w:rFonts w:hint="eastAsia" w:ascii="仿宋" w:hAnsi="仿宋" w:eastAsia="仿宋" w:cs="仿宋"/>
          <w:b/>
          <w:kern w:val="0"/>
          <w:sz w:val="28"/>
          <w:szCs w:val="28"/>
        </w:rPr>
        <w:t>七、价格评估方法</w:t>
      </w:r>
      <w:bookmarkEnd w:id="15"/>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评估对象属建设项目</w:t>
      </w:r>
      <w:r>
        <w:rPr>
          <w:rFonts w:hint="eastAsia" w:ascii="仿宋" w:hAnsi="仿宋" w:eastAsia="仿宋" w:cs="仿宋"/>
          <w:sz w:val="28"/>
          <w:lang w:val="en-US" w:eastAsia="zh-CN"/>
        </w:rPr>
        <w:t>配套工程及边坡治理弃渣</w:t>
      </w:r>
      <w:r>
        <w:rPr>
          <w:rFonts w:hint="eastAsia" w:ascii="仿宋" w:hAnsi="仿宋" w:eastAsia="仿宋" w:cs="仿宋"/>
        </w:rPr>
        <w:t>，提供有《</w:t>
      </w:r>
      <w:r>
        <w:rPr>
          <w:rFonts w:hint="eastAsia" w:ascii="仿宋" w:hAnsi="仿宋" w:eastAsia="仿宋" w:cs="仿宋"/>
          <w:lang w:eastAsia="zh-CN"/>
        </w:rPr>
        <w:t>估算报告</w:t>
      </w:r>
      <w:r>
        <w:rPr>
          <w:rFonts w:hint="eastAsia" w:ascii="仿宋" w:hAnsi="仿宋" w:eastAsia="仿宋" w:cs="仿宋"/>
        </w:rPr>
        <w:t>》，评估小组根据现有资料和评估的目的，同时从为保障资源受让人的相对合理利益考虑，确定本次评估方法为市场法，其计算公式为：</w:t>
      </w:r>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评估</w:t>
      </w:r>
      <w:r>
        <w:rPr>
          <w:rFonts w:hint="eastAsia" w:ascii="仿宋" w:hAnsi="仿宋" w:eastAsia="仿宋" w:cs="仿宋"/>
          <w:lang w:eastAsia="zh-CN"/>
        </w:rPr>
        <w:t>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rPr>
        <w:t>价值＝产品产量×产品市场价格×（1-合理利润</w:t>
      </w:r>
      <w:r>
        <w:rPr>
          <w:rFonts w:hint="eastAsia" w:ascii="仿宋" w:hAnsi="仿宋" w:eastAsia="仿宋" w:cs="仿宋"/>
          <w:szCs w:val="28"/>
        </w:rPr>
        <w:t>率）</w:t>
      </w:r>
    </w:p>
    <w:p>
      <w:pPr>
        <w:pStyle w:val="3"/>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b/>
          <w:kern w:val="0"/>
          <w:sz w:val="28"/>
          <w:szCs w:val="28"/>
        </w:rPr>
      </w:pPr>
      <w:bookmarkStart w:id="16" w:name="_Toc1711"/>
      <w:r>
        <w:rPr>
          <w:rFonts w:hint="eastAsia" w:ascii="仿宋" w:hAnsi="仿宋" w:eastAsia="仿宋" w:cs="仿宋"/>
          <w:b/>
          <w:kern w:val="0"/>
          <w:sz w:val="28"/>
          <w:szCs w:val="28"/>
        </w:rPr>
        <w:t>八、价格</w:t>
      </w:r>
      <w:r>
        <w:rPr>
          <w:rFonts w:hint="eastAsia" w:ascii="仿宋" w:hAnsi="仿宋" w:eastAsia="仿宋" w:cs="仿宋"/>
          <w:b/>
          <w:bCs/>
          <w:kern w:val="0"/>
          <w:sz w:val="28"/>
          <w:szCs w:val="28"/>
          <w:lang w:val="en-US" w:eastAsia="zh-CN" w:bidi="ar-SA"/>
        </w:rPr>
        <w:t>评</w:t>
      </w:r>
      <w:r>
        <w:rPr>
          <w:rFonts w:hint="eastAsia" w:ascii="仿宋" w:hAnsi="仿宋" w:eastAsia="仿宋" w:cs="仿宋"/>
          <w:b/>
          <w:kern w:val="0"/>
          <w:sz w:val="28"/>
          <w:szCs w:val="28"/>
        </w:rPr>
        <w:t>估过程</w:t>
      </w:r>
      <w:bookmarkEnd w:id="16"/>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我公司接受委托后</w:t>
      </w:r>
      <w:r>
        <w:rPr>
          <w:rFonts w:hint="eastAsia" w:ascii="仿宋" w:hAnsi="仿宋" w:eastAsia="仿宋" w:cs="仿宋"/>
          <w:lang w:eastAsia="zh-CN"/>
        </w:rPr>
        <w:t>，</w:t>
      </w:r>
      <w:r>
        <w:rPr>
          <w:rFonts w:hint="eastAsia" w:ascii="仿宋" w:hAnsi="仿宋" w:eastAsia="仿宋" w:cs="仿宋"/>
        </w:rPr>
        <w:t>成立了专门的价格评估小组</w:t>
      </w:r>
      <w:r>
        <w:rPr>
          <w:rFonts w:hint="eastAsia" w:ascii="仿宋" w:hAnsi="仿宋" w:eastAsia="仿宋" w:cs="仿宋"/>
          <w:lang w:eastAsia="zh-CN"/>
        </w:rPr>
        <w:t>，</w:t>
      </w:r>
      <w:r>
        <w:rPr>
          <w:rFonts w:hint="eastAsia" w:ascii="仿宋" w:hAnsi="仿宋" w:eastAsia="仿宋" w:cs="仿宋"/>
        </w:rPr>
        <w:t>制定了价格评估作业方案</w:t>
      </w:r>
      <w:r>
        <w:rPr>
          <w:rFonts w:hint="eastAsia" w:ascii="仿宋" w:hAnsi="仿宋" w:eastAsia="仿宋" w:cs="仿宋"/>
          <w:lang w:eastAsia="zh-CN"/>
        </w:rPr>
        <w:t>，</w:t>
      </w:r>
      <w:r>
        <w:rPr>
          <w:rFonts w:hint="eastAsia" w:ascii="仿宋" w:hAnsi="仿宋" w:eastAsia="仿宋" w:cs="仿宋"/>
        </w:rPr>
        <w:t>评估人员会同委托方相关工作人员于2021年0</w:t>
      </w:r>
      <w:r>
        <w:rPr>
          <w:rFonts w:hint="eastAsia" w:ascii="仿宋" w:hAnsi="仿宋" w:eastAsia="仿宋" w:cs="仿宋"/>
          <w:lang w:val="en-US" w:eastAsia="zh-CN"/>
        </w:rPr>
        <w:t>7</w:t>
      </w:r>
      <w:r>
        <w:rPr>
          <w:rFonts w:hint="eastAsia" w:ascii="仿宋" w:hAnsi="仿宋" w:eastAsia="仿宋" w:cs="仿宋"/>
        </w:rPr>
        <w:t>月</w:t>
      </w:r>
      <w:r>
        <w:rPr>
          <w:rFonts w:hint="eastAsia" w:ascii="仿宋" w:hAnsi="仿宋" w:eastAsia="仿宋" w:cs="仿宋"/>
          <w:lang w:val="en-US" w:eastAsia="zh-CN"/>
        </w:rPr>
        <w:t>05</w:t>
      </w:r>
      <w:r>
        <w:rPr>
          <w:rFonts w:hint="eastAsia" w:ascii="仿宋" w:hAnsi="仿宋" w:eastAsia="仿宋" w:cs="仿宋"/>
        </w:rPr>
        <w:t>日标的物所在的附近区域的建筑石料矿山和当地市场价格进行了现场调查</w:t>
      </w:r>
      <w:r>
        <w:rPr>
          <w:rFonts w:hint="eastAsia" w:ascii="仿宋" w:hAnsi="仿宋" w:eastAsia="仿宋" w:cs="仿宋"/>
          <w:lang w:eastAsia="zh-CN"/>
        </w:rPr>
        <w:t>，</w:t>
      </w:r>
      <w:r>
        <w:rPr>
          <w:rFonts w:hint="eastAsia" w:ascii="仿宋" w:hAnsi="仿宋" w:eastAsia="仿宋" w:cs="仿宋"/>
        </w:rPr>
        <w:t>并根据价格评估有关规定</w:t>
      </w:r>
      <w:r>
        <w:rPr>
          <w:rFonts w:hint="eastAsia" w:ascii="仿宋" w:hAnsi="仿宋" w:eastAsia="仿宋" w:cs="仿宋"/>
          <w:lang w:eastAsia="zh-CN"/>
        </w:rPr>
        <w:t>，</w:t>
      </w:r>
      <w:r>
        <w:rPr>
          <w:rFonts w:hint="eastAsia" w:ascii="仿宋" w:hAnsi="仿宋" w:eastAsia="仿宋" w:cs="仿宋"/>
        </w:rPr>
        <w:t>结合标的物特点</w:t>
      </w:r>
      <w:r>
        <w:rPr>
          <w:rFonts w:hint="eastAsia" w:ascii="仿宋" w:hAnsi="仿宋" w:eastAsia="仿宋" w:cs="仿宋"/>
          <w:lang w:eastAsia="zh-CN"/>
        </w:rPr>
        <w:t>，</w:t>
      </w:r>
      <w:r>
        <w:rPr>
          <w:rFonts w:hint="eastAsia" w:ascii="仿宋" w:hAnsi="仿宋" w:eastAsia="仿宋" w:cs="仿宋"/>
        </w:rPr>
        <w:t>确定采用市场法进行价格评估</w:t>
      </w:r>
      <w:r>
        <w:rPr>
          <w:rFonts w:hint="eastAsia" w:ascii="仿宋" w:hAnsi="仿宋" w:eastAsia="仿宋" w:cs="仿宋"/>
          <w:lang w:eastAsia="zh-CN"/>
        </w:rPr>
        <w:t>，</w:t>
      </w:r>
      <w:r>
        <w:rPr>
          <w:rFonts w:hint="eastAsia" w:ascii="仿宋" w:hAnsi="仿宋" w:eastAsia="仿宋" w:cs="仿宋"/>
        </w:rPr>
        <w:t>具体评估过程如下:</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sz w:val="28"/>
          <w:szCs w:val="28"/>
        </w:rPr>
      </w:pPr>
      <w:bookmarkStart w:id="17" w:name="_Toc3191"/>
      <w:r>
        <w:rPr>
          <w:rFonts w:hint="eastAsia" w:ascii="仿宋" w:hAnsi="仿宋" w:eastAsia="仿宋" w:cs="仿宋"/>
          <w:sz w:val="28"/>
          <w:szCs w:val="28"/>
          <w:lang w:val="en-US" w:eastAsia="zh-CN"/>
        </w:rPr>
        <w:t>1、</w:t>
      </w:r>
      <w:r>
        <w:rPr>
          <w:rFonts w:hint="eastAsia" w:ascii="仿宋" w:hAnsi="仿宋" w:eastAsia="仿宋" w:cs="仿宋"/>
          <w:sz w:val="28"/>
          <w:szCs w:val="28"/>
        </w:rPr>
        <w:t>产品</w:t>
      </w:r>
      <w:r>
        <w:rPr>
          <w:rFonts w:hint="eastAsia" w:ascii="仿宋" w:hAnsi="仿宋" w:eastAsia="仿宋" w:cs="仿宋"/>
          <w:b/>
          <w:kern w:val="0"/>
          <w:sz w:val="28"/>
        </w:rPr>
        <w:t>产量</w:t>
      </w:r>
      <w:bookmarkEnd w:id="17"/>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开挖区未来产品为</w:t>
      </w:r>
      <w:r>
        <w:rPr>
          <w:rFonts w:hint="eastAsia" w:ascii="仿宋" w:hAnsi="仿宋" w:eastAsia="仿宋" w:cs="仿宋"/>
          <w:lang w:val="en-US" w:eastAsia="zh-CN"/>
        </w:rPr>
        <w:t>乱石统料和宕碴</w:t>
      </w:r>
      <w:r>
        <w:rPr>
          <w:rFonts w:hint="eastAsia" w:ascii="仿宋" w:hAnsi="仿宋" w:eastAsia="仿宋" w:cs="仿宋"/>
          <w:lang w:eastAsia="zh-CN"/>
        </w:rPr>
        <w:t>，</w:t>
      </w:r>
      <w:r>
        <w:rPr>
          <w:rFonts w:hint="eastAsia" w:ascii="仿宋" w:hAnsi="仿宋" w:eastAsia="仿宋" w:cs="仿宋"/>
        </w:rPr>
        <w:t>根据评估小组对同类型工程的了解，产品在开采过程中基本无损耗，评估利用资源量可视为产品产量，即开挖区产品产量为</w:t>
      </w:r>
      <w:r>
        <w:rPr>
          <w:rFonts w:hint="eastAsia" w:ascii="仿宋" w:hAnsi="仿宋" w:eastAsia="仿宋" w:cs="仿宋"/>
          <w:lang w:val="en-US" w:eastAsia="zh-CN"/>
        </w:rPr>
        <w:t>3986.1t，其中乱石统料产品产量（中风化矿）3279.2t，宕碴（强风化矿）产品产量706.9t</w:t>
      </w:r>
      <w:r>
        <w:rPr>
          <w:rFonts w:hint="eastAsia" w:ascii="仿宋" w:hAnsi="仿宋" w:eastAsia="仿宋" w:cs="仿宋"/>
        </w:rPr>
        <w:t>。</w:t>
      </w:r>
    </w:p>
    <w:p>
      <w:pPr>
        <w:pStyle w:val="4"/>
        <w:pageBreakBefore w:val="0"/>
        <w:widowControl w:val="0"/>
        <w:kinsoku/>
        <w:wordWrap/>
        <w:overflowPunct/>
        <w:topLinePunct w:val="0"/>
        <w:bidi w:val="0"/>
        <w:spacing w:line="360" w:lineRule="auto"/>
        <w:ind w:left="0" w:leftChars="0" w:firstLine="0" w:firstLineChars="0"/>
        <w:textAlignment w:val="auto"/>
        <w:rPr>
          <w:rFonts w:hint="eastAsia" w:ascii="仿宋" w:hAnsi="仿宋" w:eastAsia="仿宋" w:cs="仿宋"/>
          <w:sz w:val="28"/>
          <w:szCs w:val="28"/>
        </w:rPr>
      </w:pPr>
      <w:bookmarkStart w:id="18" w:name="_Toc2121"/>
      <w:r>
        <w:rPr>
          <w:rFonts w:hint="eastAsia" w:ascii="仿宋" w:hAnsi="仿宋" w:eastAsia="仿宋" w:cs="仿宋"/>
          <w:sz w:val="28"/>
          <w:szCs w:val="28"/>
          <w:lang w:val="en-US" w:eastAsia="zh-CN"/>
        </w:rPr>
        <w:t>2、</w:t>
      </w:r>
      <w:r>
        <w:rPr>
          <w:rFonts w:hint="eastAsia" w:ascii="仿宋" w:hAnsi="仿宋" w:eastAsia="仿宋" w:cs="仿宋"/>
          <w:sz w:val="28"/>
          <w:szCs w:val="28"/>
        </w:rPr>
        <w:t>产品</w:t>
      </w:r>
      <w:r>
        <w:rPr>
          <w:rFonts w:hint="eastAsia" w:ascii="仿宋" w:hAnsi="仿宋" w:eastAsia="仿宋" w:cs="仿宋"/>
          <w:b/>
          <w:sz w:val="28"/>
          <w:szCs w:val="28"/>
        </w:rPr>
        <w:t>市场</w:t>
      </w:r>
      <w:r>
        <w:rPr>
          <w:rFonts w:hint="eastAsia" w:ascii="仿宋" w:hAnsi="仿宋" w:eastAsia="仿宋" w:cs="仿宋"/>
          <w:sz w:val="28"/>
          <w:szCs w:val="28"/>
        </w:rPr>
        <w:t>价格</w:t>
      </w:r>
      <w:bookmarkEnd w:id="18"/>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目前开挖区</w:t>
      </w:r>
      <w:r>
        <w:rPr>
          <w:rFonts w:hint="eastAsia" w:ascii="仿宋" w:hAnsi="仿宋" w:eastAsia="仿宋" w:cs="仿宋"/>
          <w:lang w:val="en-US" w:eastAsia="zh-CN"/>
        </w:rPr>
        <w:t>未进行石料开挖，</w:t>
      </w:r>
      <w:r>
        <w:rPr>
          <w:rFonts w:hint="eastAsia" w:ascii="仿宋" w:hAnsi="仿宋" w:eastAsia="仿宋" w:cs="仿宋"/>
        </w:rPr>
        <w:t>其实际的产品销售价格信息未能获取</w:t>
      </w:r>
      <w:r>
        <w:rPr>
          <w:rFonts w:hint="eastAsia" w:ascii="仿宋" w:hAnsi="仿宋" w:eastAsia="仿宋" w:cs="仿宋"/>
          <w:lang w:eastAsia="zh-CN"/>
        </w:rPr>
        <w:t>；</w:t>
      </w:r>
      <w:r>
        <w:rPr>
          <w:rFonts w:hint="eastAsia" w:ascii="仿宋" w:hAnsi="仿宋" w:eastAsia="仿宋" w:cs="仿宋"/>
        </w:rPr>
        <w:t>根据价格评估人员对当地</w:t>
      </w:r>
      <w:r>
        <w:rPr>
          <w:rFonts w:hint="eastAsia" w:ascii="仿宋" w:hAnsi="仿宋" w:eastAsia="仿宋" w:cs="仿宋"/>
          <w:lang w:eastAsia="zh-CN"/>
        </w:rPr>
        <w:t>乱</w:t>
      </w:r>
      <w:r>
        <w:rPr>
          <w:rFonts w:hint="eastAsia" w:ascii="仿宋" w:hAnsi="仿宋" w:eastAsia="仿宋" w:cs="仿宋"/>
        </w:rPr>
        <w:t>石统料</w:t>
      </w:r>
      <w:r>
        <w:rPr>
          <w:rFonts w:hint="eastAsia" w:ascii="仿宋" w:hAnsi="仿宋" w:eastAsia="仿宋" w:cs="仿宋"/>
          <w:lang w:eastAsia="zh-CN"/>
        </w:rPr>
        <w:t>、</w:t>
      </w:r>
      <w:r>
        <w:rPr>
          <w:rFonts w:hint="eastAsia" w:ascii="仿宋" w:hAnsi="仿宋" w:eastAsia="仿宋" w:cs="仿宋"/>
          <w:lang w:val="en-US" w:eastAsia="zh-CN"/>
        </w:rPr>
        <w:t>宕碴</w:t>
      </w:r>
      <w:r>
        <w:rPr>
          <w:rFonts w:hint="eastAsia" w:ascii="仿宋" w:hAnsi="仿宋" w:eastAsia="仿宋" w:cs="仿宋"/>
        </w:rPr>
        <w:t>市场价格进行调查，根据市场行情,本次价格评估采用市场价格调查与市场行情相互映证的方法确定其均价。</w:t>
      </w:r>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评估组现场调查时未能获取矿产品的相关销售凭证，评估通过查询资料和对当地同类型普通建筑石料矿山的走访了解，</w:t>
      </w:r>
      <w:r>
        <w:rPr>
          <w:rFonts w:hint="eastAsia" w:ascii="仿宋" w:hAnsi="仿宋" w:eastAsia="仿宋" w:cs="仿宋"/>
          <w:lang w:val="en-US" w:eastAsia="zh-CN"/>
        </w:rPr>
        <w:t>乱石统料、宕碴</w:t>
      </w:r>
      <w:r>
        <w:rPr>
          <w:rFonts w:hint="eastAsia" w:ascii="仿宋" w:hAnsi="仿宋" w:eastAsia="仿宋" w:cs="仿宋"/>
        </w:rPr>
        <w:t>产品因</w:t>
      </w:r>
      <w:r>
        <w:rPr>
          <w:rFonts w:hint="eastAsia" w:ascii="仿宋" w:hAnsi="仿宋" w:eastAsia="仿宋" w:cs="仿宋"/>
          <w:lang w:val="en-US" w:eastAsia="zh-CN"/>
        </w:rPr>
        <w:t>矿石质量</w:t>
      </w:r>
      <w:r>
        <w:rPr>
          <w:rFonts w:hint="eastAsia" w:ascii="仿宋" w:hAnsi="仿宋" w:eastAsia="仿宋" w:cs="仿宋"/>
        </w:rPr>
        <w:t>、</w:t>
      </w:r>
      <w:r>
        <w:rPr>
          <w:rFonts w:hint="eastAsia" w:ascii="仿宋" w:hAnsi="仿宋" w:eastAsia="仿宋" w:cs="仿宋"/>
          <w:lang w:val="en-US" w:eastAsia="zh-CN"/>
        </w:rPr>
        <w:t>开采技术条件</w:t>
      </w:r>
      <w:r>
        <w:rPr>
          <w:rFonts w:hint="eastAsia" w:ascii="仿宋" w:hAnsi="仿宋" w:eastAsia="仿宋" w:cs="仿宋"/>
        </w:rPr>
        <w:t>和运输条件等因素关系，其市场价格差异较大。</w:t>
      </w:r>
    </w:p>
    <w:p>
      <w:pPr>
        <w:pageBreakBefore w:val="0"/>
        <w:widowControl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rPr>
        <w:t>为了较综合地反映当地产品市场价格，评估组收集了2020年0</w:t>
      </w:r>
      <w:r>
        <w:rPr>
          <w:rFonts w:hint="eastAsia" w:ascii="仿宋" w:hAnsi="仿宋" w:eastAsia="仿宋" w:cs="仿宋"/>
          <w:lang w:val="en-US" w:eastAsia="zh-CN"/>
        </w:rPr>
        <w:t>6</w:t>
      </w:r>
      <w:r>
        <w:rPr>
          <w:rFonts w:hint="eastAsia" w:ascii="仿宋" w:hAnsi="仿宋" w:eastAsia="仿宋" w:cs="仿宋"/>
        </w:rPr>
        <w:t>月～2021年0</w:t>
      </w:r>
      <w:r>
        <w:rPr>
          <w:rFonts w:hint="eastAsia" w:ascii="仿宋" w:hAnsi="仿宋" w:eastAsia="仿宋" w:cs="仿宋"/>
          <w:lang w:val="en-US" w:eastAsia="zh-CN"/>
        </w:rPr>
        <w:t>5</w:t>
      </w:r>
      <w:r>
        <w:rPr>
          <w:rFonts w:hint="eastAsia" w:ascii="仿宋" w:hAnsi="仿宋" w:eastAsia="仿宋" w:cs="仿宋"/>
        </w:rPr>
        <w:t>月的《浙江交通建设工程质监与造价》（2020年第</w:t>
      </w:r>
      <w:r>
        <w:rPr>
          <w:rFonts w:hint="eastAsia" w:ascii="仿宋" w:hAnsi="仿宋" w:eastAsia="仿宋" w:cs="仿宋"/>
          <w:lang w:val="en-US" w:eastAsia="zh-CN"/>
        </w:rPr>
        <w:t>六</w:t>
      </w:r>
      <w:r>
        <w:rPr>
          <w:rFonts w:hint="eastAsia" w:ascii="仿宋" w:hAnsi="仿宋" w:eastAsia="仿宋" w:cs="仿宋"/>
        </w:rPr>
        <w:t>期～2021年第</w:t>
      </w:r>
      <w:r>
        <w:rPr>
          <w:rFonts w:hint="eastAsia" w:ascii="仿宋" w:hAnsi="仿宋" w:eastAsia="仿宋" w:cs="仿宋"/>
          <w:lang w:val="en-US" w:eastAsia="zh-CN"/>
        </w:rPr>
        <w:t>五</w:t>
      </w:r>
      <w:r>
        <w:rPr>
          <w:rFonts w:hint="eastAsia" w:ascii="仿宋" w:hAnsi="仿宋" w:eastAsia="仿宋" w:cs="仿宋"/>
        </w:rPr>
        <w:t>期）对评估组了解的</w:t>
      </w:r>
      <w:r>
        <w:rPr>
          <w:rFonts w:hint="eastAsia" w:ascii="仿宋" w:hAnsi="仿宋" w:eastAsia="仿宋" w:cs="仿宋"/>
          <w:lang w:val="en-US" w:eastAsia="zh-CN"/>
        </w:rPr>
        <w:t>乱石统料和宕碴</w:t>
      </w:r>
      <w:r>
        <w:rPr>
          <w:rFonts w:hint="eastAsia" w:ascii="仿宋" w:hAnsi="仿宋" w:eastAsia="仿宋" w:cs="仿宋"/>
        </w:rPr>
        <w:t>市场价格进行佐证。因交通建设工程地方材料价格信息统计未显示</w:t>
      </w:r>
      <w:r>
        <w:rPr>
          <w:rFonts w:hint="eastAsia" w:ascii="仿宋" w:hAnsi="仿宋" w:eastAsia="仿宋" w:cs="仿宋"/>
          <w:lang w:eastAsia="zh-CN"/>
        </w:rPr>
        <w:t>乱</w:t>
      </w:r>
      <w:r>
        <w:rPr>
          <w:rFonts w:hint="eastAsia" w:ascii="仿宋" w:hAnsi="仿宋" w:eastAsia="仿宋" w:cs="仿宋"/>
        </w:rPr>
        <w:t>石统料的价格信息，本次评估选取了与</w:t>
      </w:r>
      <w:r>
        <w:rPr>
          <w:rFonts w:hint="eastAsia" w:ascii="仿宋" w:hAnsi="仿宋" w:eastAsia="仿宋" w:cs="仿宋"/>
          <w:lang w:eastAsia="zh-CN"/>
        </w:rPr>
        <w:t>乱</w:t>
      </w:r>
      <w:r>
        <w:rPr>
          <w:rFonts w:hint="eastAsia" w:ascii="仿宋" w:hAnsi="仿宋" w:eastAsia="仿宋" w:cs="仿宋"/>
        </w:rPr>
        <w:t>石统料产品较接近的片石作参照对象</w:t>
      </w:r>
      <w:r>
        <w:rPr>
          <w:rFonts w:hint="eastAsia" w:ascii="仿宋" w:hAnsi="仿宋" w:eastAsia="仿宋" w:cs="仿宋"/>
          <w:lang w:eastAsia="zh-CN"/>
        </w:rPr>
        <w:t>。</w:t>
      </w:r>
      <w:r>
        <w:rPr>
          <w:rFonts w:hint="eastAsia" w:ascii="仿宋" w:hAnsi="仿宋" w:eastAsia="仿宋" w:cs="仿宋"/>
        </w:rPr>
        <w:t>统计表明2020年0</w:t>
      </w:r>
      <w:r>
        <w:rPr>
          <w:rFonts w:hint="eastAsia" w:ascii="仿宋" w:hAnsi="仿宋" w:eastAsia="仿宋" w:cs="仿宋"/>
          <w:lang w:val="en-US" w:eastAsia="zh-CN"/>
        </w:rPr>
        <w:t>6</w:t>
      </w:r>
      <w:r>
        <w:rPr>
          <w:rFonts w:hint="eastAsia" w:ascii="仿宋" w:hAnsi="仿宋" w:eastAsia="仿宋" w:cs="仿宋"/>
        </w:rPr>
        <w:t>月～2021年0</w:t>
      </w:r>
      <w:r>
        <w:rPr>
          <w:rFonts w:hint="eastAsia" w:ascii="仿宋" w:hAnsi="仿宋" w:eastAsia="仿宋" w:cs="仿宋"/>
          <w:lang w:val="en-US" w:eastAsia="zh-CN"/>
        </w:rPr>
        <w:t>5</w:t>
      </w:r>
      <w:r>
        <w:rPr>
          <w:rFonts w:hint="eastAsia" w:ascii="仿宋" w:hAnsi="仿宋" w:eastAsia="仿宋" w:cs="仿宋"/>
        </w:rPr>
        <w:t>月</w:t>
      </w:r>
      <w:r>
        <w:rPr>
          <w:rFonts w:hint="eastAsia" w:ascii="仿宋" w:hAnsi="仿宋" w:eastAsia="仿宋" w:cs="仿宋"/>
          <w:lang w:val="en-US" w:eastAsia="zh-CN"/>
        </w:rPr>
        <w:t>义乌市</w:t>
      </w:r>
      <w:r>
        <w:rPr>
          <w:rFonts w:hint="eastAsia" w:ascii="仿宋" w:hAnsi="仿宋" w:eastAsia="仿宋" w:cs="仿宋"/>
        </w:rPr>
        <w:t>片石</w:t>
      </w:r>
      <w:r>
        <w:rPr>
          <w:rFonts w:hint="eastAsia" w:ascii="仿宋" w:hAnsi="仿宋" w:eastAsia="仿宋" w:cs="仿宋"/>
          <w:lang w:eastAsia="zh-CN"/>
        </w:rPr>
        <w:t>（</w:t>
      </w:r>
      <w:r>
        <w:rPr>
          <w:rFonts w:hint="eastAsia" w:ascii="仿宋" w:hAnsi="仿宋" w:eastAsia="仿宋" w:cs="仿宋"/>
          <w:lang w:val="en-US" w:eastAsia="zh-CN"/>
        </w:rPr>
        <w:t>码方</w:t>
      </w:r>
      <w:r>
        <w:rPr>
          <w:rFonts w:hint="eastAsia" w:ascii="仿宋" w:hAnsi="仿宋" w:eastAsia="仿宋" w:cs="仿宋"/>
          <w:lang w:eastAsia="zh-CN"/>
        </w:rPr>
        <w:t>）、</w:t>
      </w:r>
      <w:r>
        <w:rPr>
          <w:rFonts w:hint="eastAsia" w:ascii="仿宋" w:hAnsi="仿宋" w:eastAsia="仿宋" w:cs="仿宋"/>
          <w:lang w:val="en-US" w:eastAsia="zh-CN"/>
        </w:rPr>
        <w:t>宕碴（堆方）</w:t>
      </w:r>
      <w:r>
        <w:rPr>
          <w:rFonts w:hint="eastAsia" w:ascii="仿宋" w:hAnsi="仿宋" w:eastAsia="仿宋" w:cs="仿宋"/>
        </w:rPr>
        <w:t>的含税信息价</w:t>
      </w:r>
      <w:r>
        <w:rPr>
          <w:rFonts w:hint="eastAsia" w:ascii="仿宋" w:hAnsi="仿宋" w:eastAsia="仿宋" w:cs="仿宋"/>
          <w:lang w:val="en-US" w:eastAsia="zh-CN"/>
        </w:rPr>
        <w:t>分别</w:t>
      </w:r>
      <w:r>
        <w:rPr>
          <w:rFonts w:hint="eastAsia" w:ascii="仿宋" w:hAnsi="仿宋" w:eastAsia="仿宋" w:cs="仿宋"/>
        </w:rPr>
        <w:t>为</w:t>
      </w:r>
      <w:r>
        <w:rPr>
          <w:rFonts w:hint="eastAsia" w:ascii="仿宋" w:hAnsi="仿宋" w:eastAsia="仿宋" w:cs="仿宋"/>
          <w:lang w:val="en-US" w:eastAsia="zh-CN"/>
        </w:rPr>
        <w:t>103.00</w:t>
      </w:r>
      <w:r>
        <w:rPr>
          <w:rFonts w:hint="eastAsia" w:ascii="仿宋" w:hAnsi="仿宋" w:eastAsia="仿宋" w:cs="仿宋"/>
        </w:rPr>
        <w:t>元/m</w:t>
      </w:r>
      <w:r>
        <w:rPr>
          <w:rFonts w:hint="eastAsia" w:ascii="仿宋" w:hAnsi="仿宋" w:eastAsia="仿宋" w:cs="仿宋"/>
          <w:vertAlign w:val="superscript"/>
        </w:rPr>
        <w:t>3</w:t>
      </w:r>
      <w:r>
        <w:rPr>
          <w:rFonts w:hint="eastAsia" w:ascii="仿宋" w:hAnsi="仿宋" w:eastAsia="仿宋" w:cs="仿宋"/>
          <w:vertAlign w:val="baseline"/>
          <w:lang w:eastAsia="zh-CN"/>
        </w:rPr>
        <w:t>、</w:t>
      </w:r>
      <w:r>
        <w:rPr>
          <w:rFonts w:hint="eastAsia" w:ascii="仿宋" w:hAnsi="仿宋" w:eastAsia="仿宋" w:cs="仿宋"/>
          <w:vertAlign w:val="baseline"/>
          <w:lang w:val="en-US" w:eastAsia="zh-CN"/>
        </w:rPr>
        <w:t>60.00</w:t>
      </w:r>
      <w:r>
        <w:rPr>
          <w:rFonts w:hint="eastAsia" w:ascii="仿宋" w:hAnsi="仿宋" w:eastAsia="仿宋" w:cs="仿宋"/>
        </w:rPr>
        <w:t>元/m</w:t>
      </w:r>
      <w:r>
        <w:rPr>
          <w:rFonts w:hint="eastAsia" w:ascii="仿宋" w:hAnsi="仿宋" w:eastAsia="仿宋" w:cs="仿宋"/>
          <w:vertAlign w:val="superscript"/>
        </w:rPr>
        <w:t>3</w:t>
      </w:r>
      <w:r>
        <w:rPr>
          <w:rFonts w:hint="eastAsia" w:ascii="仿宋" w:hAnsi="仿宋" w:eastAsia="仿宋" w:cs="仿宋"/>
        </w:rPr>
        <w:t>（见表8-1）。</w:t>
      </w:r>
    </w:p>
    <w:p>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sz w:val="24"/>
          <w:vertAlign w:val="superscript"/>
        </w:rPr>
      </w:pPr>
      <w:r>
        <w:rPr>
          <w:rFonts w:hint="eastAsia" w:ascii="仿宋" w:hAnsi="仿宋" w:eastAsia="仿宋" w:cs="仿宋"/>
          <w:b w:val="0"/>
          <w:bCs w:val="0"/>
          <w:sz w:val="24"/>
        </w:rPr>
        <w:t>表8-1  《浙江交通建设工程质监与造价》义乌市信息价统计表</w:t>
      </w:r>
      <w:r>
        <w:rPr>
          <w:rFonts w:hint="eastAsia" w:ascii="仿宋" w:hAnsi="仿宋" w:eastAsia="仿宋" w:cs="仿宋"/>
          <w:b w:val="0"/>
          <w:bCs w:val="0"/>
          <w:sz w:val="24"/>
          <w:lang w:eastAsia="zh-CN"/>
        </w:rPr>
        <w:t>（</w:t>
      </w:r>
      <w:r>
        <w:rPr>
          <w:rFonts w:hint="eastAsia" w:ascii="仿宋" w:hAnsi="仿宋" w:eastAsia="仿宋" w:cs="仿宋"/>
          <w:b w:val="0"/>
          <w:bCs w:val="0"/>
          <w:sz w:val="24"/>
          <w:lang w:val="en-US" w:eastAsia="zh-CN"/>
        </w:rPr>
        <w:t>含税</w:t>
      </w:r>
      <w:r>
        <w:rPr>
          <w:rFonts w:hint="eastAsia" w:ascii="仿宋" w:hAnsi="仿宋" w:eastAsia="仿宋" w:cs="仿宋"/>
          <w:b w:val="0"/>
          <w:bCs w:val="0"/>
          <w:sz w:val="24"/>
          <w:lang w:eastAsia="zh-CN"/>
        </w:rPr>
        <w:t>）</w:t>
      </w:r>
      <w:r>
        <w:rPr>
          <w:rFonts w:hint="eastAsia" w:ascii="仿宋" w:hAnsi="仿宋" w:eastAsia="仿宋" w:cs="仿宋"/>
          <w:b w:val="0"/>
          <w:bCs w:val="0"/>
          <w:sz w:val="24"/>
        </w:rPr>
        <w:t xml:space="preserve">  元/m</w:t>
      </w:r>
      <w:r>
        <w:rPr>
          <w:rFonts w:hint="eastAsia" w:ascii="仿宋" w:hAnsi="仿宋" w:eastAsia="仿宋" w:cs="仿宋"/>
          <w:b w:val="0"/>
          <w:bCs w:val="0"/>
          <w:sz w:val="24"/>
          <w:vertAlign w:val="superscript"/>
        </w:rPr>
        <w:t>3</w:t>
      </w:r>
    </w:p>
    <w:tbl>
      <w:tblPr>
        <w:tblStyle w:val="21"/>
        <w:tblW w:w="82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1237"/>
        <w:gridCol w:w="1083"/>
        <w:gridCol w:w="1734"/>
        <w:gridCol w:w="1138"/>
        <w:gridCol w:w="1127"/>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片石</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（堆方）</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片石</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（堆方）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2020年06月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07</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2020年0</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年02月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2020年0</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08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月</w:t>
            </w:r>
          </w:p>
        </w:tc>
        <w:tc>
          <w:tcPr>
            <w:tcW w:w="1138"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103.00</w:t>
            </w:r>
          </w:p>
        </w:tc>
        <w:tc>
          <w:tcPr>
            <w:tcW w:w="1127"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平均信息价</w:t>
            </w:r>
          </w:p>
        </w:tc>
        <w:tc>
          <w:tcPr>
            <w:tcW w:w="6319" w:type="dxa"/>
            <w:gridSpan w:val="5"/>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宕碴平均信息价</w:t>
            </w:r>
          </w:p>
        </w:tc>
        <w:tc>
          <w:tcPr>
            <w:tcW w:w="6319" w:type="dxa"/>
            <w:gridSpan w:val="5"/>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bl>
    <w:p>
      <w:pPr>
        <w:bidi w:val="0"/>
        <w:ind w:firstLine="964"/>
        <w:rPr>
          <w:rFonts w:hint="eastAsia" w:ascii="仿宋" w:hAnsi="仿宋" w:eastAsia="仿宋" w:cs="仿宋"/>
          <w:lang w:val="en-US" w:eastAsia="zh-CN"/>
        </w:rPr>
      </w:pPr>
      <w:r>
        <w:rPr>
          <w:rFonts w:hint="eastAsia" w:ascii="仿宋" w:hAnsi="仿宋" w:eastAsia="仿宋" w:cs="仿宋"/>
          <w:lang w:val="en-US" w:eastAsia="zh-CN"/>
        </w:rPr>
        <w:t>经计算，片石（码方）平均信息价（含税）为103.00元/m</w:t>
      </w:r>
      <w:r>
        <w:rPr>
          <w:rFonts w:hint="eastAsia" w:ascii="仿宋" w:hAnsi="仿宋" w:eastAsia="仿宋" w:cs="仿宋"/>
          <w:vertAlign w:val="superscript"/>
          <w:lang w:val="en-US" w:eastAsia="zh-CN"/>
        </w:rPr>
        <w:t>3</w:t>
      </w:r>
      <w:r>
        <w:rPr>
          <w:rFonts w:hint="eastAsia" w:ascii="仿宋" w:hAnsi="仿宋" w:eastAsia="仿宋" w:cs="仿宋"/>
          <w:vertAlign w:val="baseline"/>
          <w:lang w:val="en-US" w:eastAsia="zh-CN"/>
        </w:rPr>
        <w:t>，</w:t>
      </w:r>
      <w:r>
        <w:rPr>
          <w:rFonts w:hint="eastAsia" w:ascii="仿宋" w:hAnsi="仿宋" w:eastAsia="仿宋" w:cs="仿宋"/>
          <w:lang w:val="en-US" w:eastAsia="zh-CN"/>
        </w:rPr>
        <w:t>宕碴（堆方）平均信息价（含税）为60.00元/m</w:t>
      </w:r>
      <w:r>
        <w:rPr>
          <w:rFonts w:hint="eastAsia" w:ascii="仿宋" w:hAnsi="仿宋" w:eastAsia="仿宋" w:cs="仿宋"/>
          <w:vertAlign w:val="superscript"/>
          <w:lang w:val="en-US" w:eastAsia="zh-CN"/>
        </w:rPr>
        <w:t>3</w:t>
      </w:r>
      <w:r>
        <w:rPr>
          <w:rFonts w:hint="eastAsia" w:ascii="仿宋" w:hAnsi="仿宋" w:eastAsia="仿宋" w:cs="仿宋"/>
          <w:lang w:val="en-US" w:eastAsia="zh-CN"/>
        </w:rPr>
        <w:t>。《估算报告》明确的矿产品原矿矿石小体重为2.58t/m</w:t>
      </w:r>
      <w:r>
        <w:rPr>
          <w:rFonts w:hint="eastAsia" w:ascii="仿宋" w:hAnsi="仿宋" w:eastAsia="仿宋" w:cs="仿宋"/>
          <w:vertAlign w:val="superscript"/>
          <w:lang w:val="en-US" w:eastAsia="zh-CN"/>
        </w:rPr>
        <w:t>3</w:t>
      </w:r>
      <w:r>
        <w:rPr>
          <w:rFonts w:hint="eastAsia" w:ascii="仿宋" w:hAnsi="仿宋" w:eastAsia="仿宋" w:cs="仿宋"/>
          <w:lang w:val="en-US" w:eastAsia="zh-CN"/>
        </w:rPr>
        <w:t>，乱石统料</w:t>
      </w:r>
      <w:r>
        <w:rPr>
          <w:rFonts w:hint="eastAsia" w:ascii="仿宋" w:hAnsi="仿宋" w:eastAsia="仿宋" w:cs="仿宋"/>
        </w:rPr>
        <w:t>按石方松散系数1.53，换算求得</w:t>
      </w:r>
      <w:r>
        <w:rPr>
          <w:rFonts w:hint="eastAsia" w:ascii="仿宋" w:hAnsi="仿宋" w:eastAsia="仿宋" w:cs="仿宋"/>
          <w:lang w:val="en-US" w:eastAsia="zh-CN"/>
        </w:rPr>
        <w:t>乱石统料</w:t>
      </w:r>
      <w:r>
        <w:rPr>
          <w:rFonts w:hint="eastAsia" w:ascii="仿宋" w:hAnsi="仿宋" w:eastAsia="仿宋" w:cs="仿宋"/>
        </w:rPr>
        <w:t>松方比重</w:t>
      </w:r>
      <w:r>
        <w:rPr>
          <w:rFonts w:hint="eastAsia" w:ascii="仿宋" w:hAnsi="仿宋" w:eastAsia="仿宋" w:cs="仿宋"/>
          <w:lang w:val="en-US" w:eastAsia="zh-CN"/>
        </w:rPr>
        <w:t>1.69</w:t>
      </w:r>
      <w:r>
        <w:rPr>
          <w:rFonts w:hint="eastAsia" w:ascii="仿宋" w:hAnsi="仿宋" w:eastAsia="仿宋" w:cs="仿宋"/>
        </w:rPr>
        <w:t>t/m</w:t>
      </w:r>
      <w:r>
        <w:rPr>
          <w:rFonts w:hint="eastAsia" w:ascii="仿宋" w:hAnsi="仿宋" w:eastAsia="仿宋" w:cs="仿宋"/>
          <w:vertAlign w:val="superscript"/>
        </w:rPr>
        <w:t>3</w:t>
      </w:r>
      <w:r>
        <w:rPr>
          <w:rFonts w:hint="eastAsia" w:ascii="仿宋" w:hAnsi="仿宋" w:eastAsia="仿宋" w:cs="仿宋"/>
        </w:rPr>
        <w:t>（2.</w:t>
      </w:r>
      <w:r>
        <w:rPr>
          <w:rFonts w:hint="eastAsia" w:ascii="仿宋" w:hAnsi="仿宋" w:eastAsia="仿宋" w:cs="仿宋"/>
          <w:lang w:val="en-US" w:eastAsia="zh-CN"/>
        </w:rPr>
        <w:t>58</w:t>
      </w:r>
      <w:r>
        <w:rPr>
          <w:rFonts w:hint="eastAsia" w:ascii="仿宋" w:hAnsi="仿宋" w:eastAsia="仿宋" w:cs="仿宋"/>
        </w:rPr>
        <w:t>÷1.53）</w:t>
      </w:r>
      <w:r>
        <w:rPr>
          <w:rFonts w:hint="eastAsia" w:ascii="仿宋" w:hAnsi="仿宋" w:eastAsia="仿宋" w:cs="仿宋"/>
          <w:lang w:eastAsia="zh-CN"/>
        </w:rPr>
        <w:t>，</w:t>
      </w:r>
      <w:r>
        <w:rPr>
          <w:rFonts w:hint="eastAsia" w:ascii="仿宋" w:hAnsi="仿宋" w:eastAsia="仿宋" w:cs="仿宋"/>
        </w:rPr>
        <w:t>由此计算</w:t>
      </w:r>
      <w:r>
        <w:rPr>
          <w:rFonts w:hint="eastAsia" w:ascii="仿宋" w:hAnsi="仿宋" w:eastAsia="仿宋" w:cs="仿宋"/>
          <w:lang w:eastAsia="zh-CN"/>
        </w:rPr>
        <w:t>乱</w:t>
      </w:r>
      <w:r>
        <w:rPr>
          <w:rFonts w:hint="eastAsia" w:ascii="仿宋" w:hAnsi="仿宋" w:eastAsia="仿宋" w:cs="仿宋"/>
        </w:rPr>
        <w:t>石统料产品平均信息价为</w:t>
      </w:r>
      <w:r>
        <w:rPr>
          <w:rFonts w:hint="eastAsia" w:ascii="仿宋" w:hAnsi="仿宋" w:eastAsia="仿宋" w:cs="仿宋"/>
          <w:lang w:val="en-US" w:eastAsia="zh-CN"/>
        </w:rPr>
        <w:t>60.95</w:t>
      </w:r>
      <w:r>
        <w:rPr>
          <w:rFonts w:hint="eastAsia" w:ascii="仿宋" w:hAnsi="仿宋" w:eastAsia="仿宋" w:cs="仿宋"/>
        </w:rPr>
        <w:t>元/t（</w:t>
      </w:r>
      <w:r>
        <w:rPr>
          <w:rFonts w:hint="eastAsia" w:ascii="仿宋" w:hAnsi="仿宋" w:eastAsia="仿宋" w:cs="仿宋"/>
          <w:lang w:val="en-US" w:eastAsia="zh-CN"/>
        </w:rPr>
        <w:t>103</w:t>
      </w:r>
      <w:r>
        <w:rPr>
          <w:rFonts w:hint="eastAsia" w:ascii="仿宋" w:hAnsi="仿宋" w:eastAsia="仿宋" w:cs="仿宋"/>
        </w:rPr>
        <w:t>.</w:t>
      </w:r>
      <w:r>
        <w:rPr>
          <w:rFonts w:hint="eastAsia" w:ascii="仿宋" w:hAnsi="仿宋" w:eastAsia="仿宋" w:cs="仿宋"/>
          <w:lang w:val="en-US" w:eastAsia="zh-CN"/>
        </w:rPr>
        <w:t>00</w:t>
      </w:r>
      <w:r>
        <w:rPr>
          <w:rFonts w:hint="eastAsia" w:ascii="仿宋" w:hAnsi="仿宋" w:eastAsia="仿宋" w:cs="仿宋"/>
        </w:rPr>
        <w:t>÷</w:t>
      </w:r>
      <w:r>
        <w:rPr>
          <w:rFonts w:hint="eastAsia" w:ascii="仿宋" w:hAnsi="仿宋" w:eastAsia="仿宋" w:cs="仿宋"/>
          <w:lang w:val="en-US" w:eastAsia="zh-CN"/>
        </w:rPr>
        <w:t>1.69</w:t>
      </w:r>
      <w:r>
        <w:rPr>
          <w:rFonts w:hint="eastAsia" w:ascii="仿宋" w:hAnsi="仿宋" w:eastAsia="仿宋" w:cs="仿宋"/>
        </w:rPr>
        <w:t>）</w:t>
      </w:r>
      <w:r>
        <w:rPr>
          <w:rFonts w:hint="eastAsia" w:ascii="仿宋" w:hAnsi="仿宋" w:eastAsia="仿宋" w:cs="仿宋"/>
          <w:lang w:eastAsia="zh-CN"/>
        </w:rPr>
        <w:t>；</w:t>
      </w:r>
      <w:r>
        <w:rPr>
          <w:rFonts w:hint="eastAsia" w:ascii="仿宋" w:hAnsi="仿宋" w:eastAsia="仿宋" w:cs="仿宋"/>
          <w:lang w:val="en-US" w:eastAsia="zh-CN"/>
        </w:rPr>
        <w:t>宕碴按混合料松散系数1.19计算，换算求得宕碴松方比重2.17t/m</w:t>
      </w:r>
      <w:r>
        <w:rPr>
          <w:rFonts w:hint="eastAsia" w:ascii="仿宋" w:hAnsi="仿宋" w:eastAsia="仿宋" w:cs="仿宋"/>
          <w:vertAlign w:val="superscript"/>
          <w:lang w:val="en-US" w:eastAsia="zh-CN"/>
        </w:rPr>
        <w:t>3</w:t>
      </w:r>
      <w:r>
        <w:rPr>
          <w:rFonts w:hint="eastAsia" w:ascii="仿宋" w:hAnsi="仿宋" w:eastAsia="仿宋" w:cs="仿宋"/>
          <w:lang w:val="en-US" w:eastAsia="zh-CN"/>
        </w:rPr>
        <w:t>（2.58÷1.19），由此计算宕碴产品平均信息价为27.65元/t（60.00÷2.17）。</w:t>
      </w:r>
    </w:p>
    <w:p>
      <w:pPr>
        <w:pageBreakBefore w:val="0"/>
        <w:widowControl w:val="0"/>
        <w:kinsoku/>
        <w:wordWrap/>
        <w:overflowPunct/>
        <w:topLinePunct w:val="0"/>
        <w:bidi w:val="0"/>
        <w:snapToGrid/>
        <w:ind w:firstLine="964"/>
        <w:textAlignment w:val="auto"/>
        <w:rPr>
          <w:rFonts w:hint="eastAsia" w:ascii="仿宋" w:hAnsi="仿宋" w:eastAsia="仿宋" w:cs="仿宋"/>
          <w:lang w:val="en-US" w:eastAsia="zh-CN"/>
        </w:rPr>
      </w:pPr>
      <w:r>
        <w:rPr>
          <w:rFonts w:hint="eastAsia" w:ascii="仿宋" w:hAnsi="仿宋" w:eastAsia="仿宋" w:cs="仿宋"/>
          <w:lang w:val="en-US" w:eastAsia="zh-CN"/>
        </w:rPr>
        <w:t>根据《浙江省交通建设工程材料价格信息使用说明》规定：</w:t>
      </w:r>
    </w:p>
    <w:p>
      <w:pPr>
        <w:pageBreakBefore w:val="0"/>
        <w:widowControl w:val="0"/>
        <w:kinsoku/>
        <w:wordWrap/>
        <w:overflowPunct/>
        <w:topLinePunct w:val="0"/>
        <w:bidi w:val="0"/>
        <w:snapToGrid/>
        <w:textAlignment w:val="auto"/>
        <w:rPr>
          <w:rFonts w:hint="eastAsia" w:ascii="仿宋" w:hAnsi="仿宋" w:eastAsia="仿宋" w:cs="仿宋"/>
          <w:lang w:val="en-US" w:eastAsia="zh-CN"/>
        </w:rPr>
      </w:pPr>
      <w:r>
        <w:rPr>
          <w:rFonts w:hint="eastAsia" w:ascii="仿宋" w:hAnsi="仿宋" w:eastAsia="仿宋" w:cs="仿宋"/>
          <w:lang w:val="en-US" w:eastAsia="zh-CN"/>
        </w:rPr>
        <w:t>材料供应价＝材料信息价/[（1+场外运输损耗率）×（1+采购及保管费率）]-运杂费；</w:t>
      </w:r>
    </w:p>
    <w:p>
      <w:pPr>
        <w:pageBreakBefore w:val="0"/>
        <w:widowControl w:val="0"/>
        <w:kinsoku/>
        <w:wordWrap/>
        <w:overflowPunct/>
        <w:topLinePunct w:val="0"/>
        <w:bidi w:val="0"/>
        <w:snapToGrid/>
        <w:textAlignment w:val="auto"/>
        <w:rPr>
          <w:rFonts w:hint="eastAsia" w:ascii="仿宋" w:hAnsi="仿宋" w:eastAsia="仿宋" w:cs="仿宋"/>
          <w:lang w:val="en-US" w:eastAsia="zh-CN"/>
        </w:rPr>
      </w:pPr>
      <w:r>
        <w:rPr>
          <w:rFonts w:hint="eastAsia" w:ascii="仿宋" w:hAnsi="仿宋" w:eastAsia="仿宋" w:cs="仿宋"/>
          <w:lang w:val="en-US" w:eastAsia="zh-CN"/>
        </w:rPr>
        <w:t>其中：场外运输损耗率1%，采购及保管费率1.5%。</w:t>
      </w:r>
    </w:p>
    <w:p>
      <w:pPr>
        <w:bidi w:val="0"/>
        <w:rPr>
          <w:rFonts w:hint="eastAsia" w:ascii="仿宋" w:hAnsi="仿宋" w:eastAsia="仿宋" w:cs="仿宋"/>
          <w:lang w:val="en-US" w:eastAsia="zh-CN"/>
        </w:rPr>
      </w:pPr>
      <w:r>
        <w:rPr>
          <w:rFonts w:hint="eastAsia" w:ascii="仿宋" w:hAnsi="仿宋" w:eastAsia="仿宋" w:cs="仿宋"/>
          <w:lang w:val="en-US" w:eastAsia="zh-CN"/>
        </w:rPr>
        <w:t>据了解，一般石料产品的平均运输距离约在20～35km左右，宕碴的平均运输距离约在15～20km左右，运杂费平均按0.80元/ t·km（含税）计费；计算片石的运杂费（装卸费、运输损耗及其他附加费）约18.00～30.00元/t，宕碴的运杂费（装卸费、运输损耗及其他附加费）约13.00～17.00元/t。经计算片石产品供应区间价约30.95～42.95元/t，宕碴供应区间价约10.65～14.65元/t。</w:t>
      </w:r>
    </w:p>
    <w:p>
      <w:pPr>
        <w:bidi w:val="0"/>
        <w:rPr>
          <w:rFonts w:hint="eastAsia" w:ascii="仿宋" w:hAnsi="仿宋" w:eastAsia="仿宋" w:cs="仿宋"/>
        </w:rPr>
      </w:pPr>
      <w:r>
        <w:rPr>
          <w:rFonts w:hint="eastAsia" w:ascii="仿宋" w:hAnsi="仿宋" w:eastAsia="仿宋" w:cs="仿宋"/>
          <w:lang w:val="en-US" w:eastAsia="zh-CN"/>
        </w:rPr>
        <w:t>经评估组对当地同类型乱石统料产品调查了解，乱石统料产品平均场地交货含税区间价为25.00～35.00元/t，</w:t>
      </w:r>
      <w:r>
        <w:rPr>
          <w:rFonts w:hint="eastAsia" w:ascii="仿宋" w:hAnsi="仿宋" w:eastAsia="仿宋" w:cs="仿宋"/>
          <w:lang w:eastAsia="zh-CN"/>
        </w:rPr>
        <w:t>宕碴产品平均场地交货含税区间价为7.00～</w:t>
      </w:r>
      <w:r>
        <w:rPr>
          <w:rFonts w:hint="eastAsia" w:ascii="仿宋" w:hAnsi="仿宋" w:eastAsia="仿宋" w:cs="仿宋"/>
          <w:lang w:val="en-US" w:eastAsia="zh-CN"/>
        </w:rPr>
        <w:t>15</w:t>
      </w:r>
      <w:r>
        <w:rPr>
          <w:rFonts w:hint="eastAsia" w:ascii="仿宋" w:hAnsi="仿宋" w:eastAsia="仿宋" w:cs="仿宋"/>
          <w:lang w:eastAsia="zh-CN"/>
        </w:rPr>
        <w:t>.00元/t。</w:t>
      </w:r>
      <w:r>
        <w:rPr>
          <w:rFonts w:hint="eastAsia" w:ascii="仿宋" w:hAnsi="仿宋" w:eastAsia="仿宋" w:cs="仿宋"/>
          <w:lang w:val="en-US" w:eastAsia="zh-CN"/>
        </w:rPr>
        <w:t>因片石产品规格和产品形态均优于乱石统料，其市场价格亦高于乱石统料市场价格。评估组分析认为，</w:t>
      </w:r>
      <w:r>
        <w:rPr>
          <w:rFonts w:hint="eastAsia" w:ascii="仿宋" w:hAnsi="仿宋" w:eastAsia="仿宋" w:cs="仿宋"/>
        </w:rPr>
        <w:t>评估组</w:t>
      </w:r>
      <w:r>
        <w:rPr>
          <w:rFonts w:hint="eastAsia" w:ascii="仿宋" w:hAnsi="仿宋" w:eastAsia="仿宋" w:cs="仿宋"/>
          <w:lang w:val="en-US" w:eastAsia="zh-CN"/>
        </w:rPr>
        <w:t>调查</w:t>
      </w:r>
      <w:r>
        <w:rPr>
          <w:rFonts w:hint="eastAsia" w:ascii="仿宋" w:hAnsi="仿宋" w:eastAsia="仿宋" w:cs="仿宋"/>
        </w:rPr>
        <w:t>了解的</w:t>
      </w:r>
      <w:r>
        <w:rPr>
          <w:rFonts w:hint="eastAsia" w:ascii="仿宋" w:hAnsi="仿宋" w:eastAsia="仿宋" w:cs="仿宋"/>
          <w:lang w:val="en-US" w:eastAsia="zh-CN"/>
        </w:rPr>
        <w:t>乱石统料和宕碴</w:t>
      </w:r>
      <w:r>
        <w:rPr>
          <w:rFonts w:hint="eastAsia" w:ascii="仿宋" w:hAnsi="仿宋" w:eastAsia="仿宋" w:cs="仿宋"/>
        </w:rPr>
        <w:t>产品</w:t>
      </w:r>
      <w:r>
        <w:rPr>
          <w:rFonts w:hint="eastAsia" w:ascii="仿宋" w:hAnsi="仿宋" w:eastAsia="仿宋" w:cs="仿宋"/>
          <w:lang w:val="en-US" w:eastAsia="zh-CN"/>
        </w:rPr>
        <w:t>平均场地交货含税区间价基本可信。结合开挖区矿石质量、开采和运输条件，确定本次评估乱石统料产品供应价（含税）为32.00元/t，宕碴产品供应价（含税）为12.00元/t。即本次评估乱石统料</w:t>
      </w:r>
      <w:r>
        <w:rPr>
          <w:rFonts w:hint="eastAsia" w:ascii="仿宋" w:hAnsi="仿宋" w:eastAsia="仿宋" w:cs="仿宋"/>
        </w:rPr>
        <w:t>的场地交货含税价为</w:t>
      </w:r>
      <w:r>
        <w:rPr>
          <w:rFonts w:hint="eastAsia" w:ascii="仿宋" w:hAnsi="仿宋" w:eastAsia="仿宋" w:cs="仿宋"/>
          <w:lang w:val="en-US" w:eastAsia="zh-CN"/>
        </w:rPr>
        <w:t>32.00元/t，宕碴的场地交货含税价为12.00元/t</w:t>
      </w:r>
      <w:r>
        <w:rPr>
          <w:rFonts w:hint="eastAsia" w:ascii="仿宋" w:hAnsi="仿宋" w:eastAsia="仿宋" w:cs="仿宋"/>
        </w:rPr>
        <w:t>。</w:t>
      </w:r>
    </w:p>
    <w:p>
      <w:pPr>
        <w:pStyle w:val="4"/>
        <w:pageBreakBefore w:val="0"/>
        <w:widowControl w:val="0"/>
        <w:kinsoku/>
        <w:wordWrap/>
        <w:overflowPunct/>
        <w:topLinePunct w:val="0"/>
        <w:bidi w:val="0"/>
        <w:snapToGrid/>
        <w:ind w:left="0" w:leftChars="0" w:firstLine="0" w:firstLineChars="0"/>
        <w:textAlignment w:val="auto"/>
        <w:rPr>
          <w:rFonts w:hint="eastAsia" w:ascii="仿宋" w:hAnsi="仿宋" w:eastAsia="仿宋" w:cs="仿宋"/>
          <w:sz w:val="28"/>
          <w:szCs w:val="28"/>
        </w:rPr>
      </w:pPr>
      <w:bookmarkStart w:id="19" w:name="_Toc22210"/>
      <w:r>
        <w:rPr>
          <w:rFonts w:hint="eastAsia" w:ascii="仿宋" w:hAnsi="仿宋" w:eastAsia="仿宋" w:cs="仿宋"/>
          <w:sz w:val="28"/>
          <w:szCs w:val="28"/>
          <w:lang w:val="en-US" w:eastAsia="zh-CN"/>
        </w:rPr>
        <w:t>3、</w:t>
      </w:r>
      <w:r>
        <w:rPr>
          <w:rFonts w:hint="eastAsia" w:ascii="仿宋" w:hAnsi="仿宋" w:eastAsia="仿宋" w:cs="仿宋"/>
          <w:sz w:val="28"/>
          <w:szCs w:val="28"/>
        </w:rPr>
        <w:t>合理利润率</w:t>
      </w:r>
      <w:bookmarkEnd w:id="19"/>
    </w:p>
    <w:p>
      <w:pPr>
        <w:pageBreakBefore w:val="0"/>
        <w:widowControl w:val="0"/>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4"/>
        <w:pageBreakBefore w:val="0"/>
        <w:widowControl w:val="0"/>
        <w:kinsoku/>
        <w:wordWrap/>
        <w:overflowPunct/>
        <w:topLinePunct w:val="0"/>
        <w:bidi w:val="0"/>
        <w:snapToGrid/>
        <w:ind w:left="0" w:leftChars="0" w:firstLine="0" w:firstLineChars="0"/>
        <w:textAlignment w:val="auto"/>
        <w:rPr>
          <w:rFonts w:hint="eastAsia" w:ascii="仿宋" w:hAnsi="仿宋" w:eastAsia="仿宋" w:cs="仿宋"/>
          <w:sz w:val="28"/>
          <w:szCs w:val="28"/>
        </w:rPr>
      </w:pPr>
      <w:bookmarkStart w:id="20" w:name="_Toc37673480"/>
      <w:bookmarkStart w:id="21" w:name="_Toc10559"/>
      <w:r>
        <w:rPr>
          <w:rFonts w:hint="eastAsia" w:ascii="仿宋" w:hAnsi="仿宋" w:eastAsia="仿宋" w:cs="仿宋"/>
          <w:sz w:val="28"/>
          <w:szCs w:val="28"/>
          <w:lang w:val="en-US" w:eastAsia="zh-CN"/>
        </w:rPr>
        <w:t>4、</w:t>
      </w:r>
      <w:r>
        <w:rPr>
          <w:rFonts w:hint="eastAsia" w:ascii="仿宋" w:hAnsi="仿宋" w:eastAsia="仿宋" w:cs="仿宋"/>
          <w:sz w:val="28"/>
          <w:szCs w:val="28"/>
        </w:rPr>
        <w:t>评估结果计算</w:t>
      </w:r>
      <w:bookmarkEnd w:id="20"/>
      <w:bookmarkEnd w:id="21"/>
    </w:p>
    <w:p>
      <w:pPr>
        <w:pageBreakBefore w:val="0"/>
        <w:widowControl w:val="0"/>
        <w:kinsoku/>
        <w:wordWrap/>
        <w:overflowPunct/>
        <w:topLinePunct w:val="0"/>
        <w:bidi w:val="0"/>
        <w:snapToGrid/>
        <w:ind w:firstLine="964"/>
        <w:textAlignment w:val="auto"/>
        <w:rPr>
          <w:rFonts w:hint="eastAsia" w:ascii="仿宋" w:hAnsi="仿宋" w:eastAsia="仿宋" w:cs="仿宋"/>
        </w:rPr>
      </w:pPr>
      <w:r>
        <w:rPr>
          <w:rFonts w:hint="eastAsia" w:ascii="仿宋" w:hAnsi="仿宋" w:eastAsia="仿宋" w:cs="仿宋"/>
        </w:rPr>
        <w:t>根据上述“七”确定的评估结果计算公式和“8.1”确定的产品量、“8.2”确定的产品市场价格及“8.3”</w:t>
      </w:r>
      <w:r>
        <w:rPr>
          <w:rFonts w:hint="eastAsia" w:ascii="仿宋" w:hAnsi="仿宋" w:eastAsia="仿宋" w:cs="仿宋"/>
          <w:lang w:eastAsia="zh-CN"/>
        </w:rPr>
        <w:t>确定的</w:t>
      </w:r>
      <w:r>
        <w:rPr>
          <w:rFonts w:hint="eastAsia" w:ascii="仿宋" w:hAnsi="仿宋" w:eastAsia="仿宋" w:cs="仿宋"/>
        </w:rPr>
        <w:t>利润率，计算评估结果为：</w:t>
      </w:r>
    </w:p>
    <w:p>
      <w:pPr>
        <w:pageBreakBefore w:val="0"/>
        <w:widowControl w:val="0"/>
        <w:kinsoku/>
        <w:wordWrap/>
        <w:overflowPunct/>
        <w:topLinePunct w:val="0"/>
        <w:bidi w:val="0"/>
        <w:snapToGrid/>
        <w:ind w:firstLine="964"/>
        <w:textAlignment w:val="auto"/>
        <w:rPr>
          <w:rFonts w:hint="eastAsia" w:ascii="仿宋" w:hAnsi="仿宋" w:eastAsia="仿宋" w:cs="仿宋"/>
        </w:rPr>
      </w:pPr>
      <w:r>
        <w:rPr>
          <w:rFonts w:hint="eastAsia" w:ascii="仿宋" w:hAnsi="仿宋" w:eastAsia="仿宋" w:cs="仿宋"/>
          <w:lang w:eastAsia="zh-CN"/>
        </w:rPr>
        <w:t>评估利用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rPr>
        <w:t>价值＝产品产量×产品市场价格×（1-合理利润率）</w:t>
      </w:r>
    </w:p>
    <w:p>
      <w:pPr>
        <w:keepNext w:val="0"/>
        <w:keepLines w:val="0"/>
        <w:pageBreakBefore w:val="0"/>
        <w:widowControl w:val="0"/>
        <w:kinsoku/>
        <w:wordWrap/>
        <w:overflowPunct/>
        <w:topLinePunct w:val="0"/>
        <w:autoSpaceDE/>
        <w:autoSpaceDN/>
        <w:bidi w:val="0"/>
        <w:adjustRightInd/>
        <w:snapToGrid/>
        <w:ind w:firstLine="964"/>
        <w:textAlignment w:val="auto"/>
        <w:rPr>
          <w:rFonts w:hint="eastAsia"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eastAsia="zh-CN"/>
        </w:rPr>
        <w:t>中风化矿处置价值</w:t>
      </w:r>
      <w:r>
        <w:rPr>
          <w:rFonts w:hint="eastAsia" w:ascii="仿宋" w:hAnsi="仿宋" w:eastAsia="仿宋" w:cs="仿宋"/>
          <w:color w:val="000000" w:themeColor="text1"/>
          <w:sz w:val="28"/>
          <w:szCs w:val="28"/>
        </w:rPr>
        <w:t>＝</w:t>
      </w:r>
      <w:r>
        <w:rPr>
          <w:rFonts w:hint="eastAsia" w:ascii="仿宋" w:hAnsi="仿宋" w:eastAsia="仿宋" w:cs="仿宋"/>
          <w:sz w:val="28"/>
          <w:lang w:val="en-US" w:eastAsia="zh-CN"/>
        </w:rPr>
        <w:t>3279.2（</w:t>
      </w:r>
      <w:r>
        <w:rPr>
          <w:rFonts w:hint="eastAsia" w:ascii="仿宋" w:hAnsi="仿宋" w:eastAsia="仿宋" w:cs="仿宋"/>
          <w:sz w:val="28"/>
          <w:lang w:eastAsia="zh-CN"/>
        </w:rPr>
        <w:t>t</w:t>
      </w:r>
      <w:r>
        <w:rPr>
          <w:rFonts w:hint="eastAsia" w:ascii="仿宋" w:hAnsi="仿宋" w:eastAsia="仿宋" w:cs="仿宋"/>
          <w:sz w:val="28"/>
          <w:lang w:val="en-US" w:eastAsia="zh-CN"/>
        </w:rPr>
        <w:t>）</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32.00</w:t>
      </w:r>
      <w:r>
        <w:rPr>
          <w:rFonts w:hint="eastAsia" w:ascii="仿宋" w:hAnsi="仿宋" w:eastAsia="仿宋" w:cs="仿宋"/>
          <w:color w:val="000000" w:themeColor="text1"/>
          <w:sz w:val="28"/>
          <w:szCs w:val="28"/>
        </w:rPr>
        <w:t>（元/t）×（1-10%）</w:t>
      </w:r>
    </w:p>
    <w:p>
      <w:pPr>
        <w:keepNext w:val="0"/>
        <w:keepLines w:val="0"/>
        <w:pageBreakBefore w:val="0"/>
        <w:widowControl w:val="0"/>
        <w:kinsoku/>
        <w:wordWrap/>
        <w:overflowPunct/>
        <w:topLinePunct w:val="0"/>
        <w:autoSpaceDE/>
        <w:autoSpaceDN/>
        <w:bidi w:val="0"/>
        <w:adjustRightInd/>
        <w:snapToGrid/>
        <w:ind w:firstLine="2800" w:firstLineChars="10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94441</w:t>
      </w:r>
      <w:r>
        <w:rPr>
          <w:rFonts w:hint="eastAsia" w:ascii="仿宋" w:hAnsi="仿宋" w:eastAsia="仿宋" w:cs="仿宋"/>
          <w:color w:val="000000" w:themeColor="text1"/>
          <w:sz w:val="28"/>
          <w:szCs w:val="28"/>
        </w:rPr>
        <w:t>（元）</w:t>
      </w:r>
    </w:p>
    <w:p>
      <w:pPr>
        <w:keepNext w:val="0"/>
        <w:keepLines w:val="0"/>
        <w:pageBreakBefore w:val="0"/>
        <w:widowControl w:val="0"/>
        <w:kinsoku/>
        <w:wordWrap/>
        <w:overflowPunct/>
        <w:topLinePunct w:val="0"/>
        <w:autoSpaceDE/>
        <w:autoSpaceDN/>
        <w:bidi w:val="0"/>
        <w:adjustRightInd/>
        <w:snapToGrid/>
        <w:ind w:firstLine="964"/>
        <w:textAlignment w:val="auto"/>
        <w:rPr>
          <w:rFonts w:hint="eastAsia" w:ascii="仿宋" w:hAnsi="仿宋" w:eastAsia="仿宋" w:cs="仿宋"/>
          <w:color w:val="000000" w:themeColor="text1"/>
          <w:sz w:val="28"/>
          <w:szCs w:val="28"/>
          <w:lang w:val="en-US" w:eastAsia="zh-CN"/>
        </w:rPr>
      </w:pPr>
      <w:r>
        <w:rPr>
          <w:rFonts w:hint="eastAsia" w:ascii="仿宋" w:hAnsi="仿宋" w:eastAsia="仿宋" w:cs="仿宋"/>
          <w:color w:val="000000" w:themeColor="text1"/>
          <w:sz w:val="28"/>
          <w:szCs w:val="28"/>
          <w:lang w:eastAsia="zh-CN"/>
        </w:rPr>
        <w:t>强风化矿处置价值</w:t>
      </w:r>
      <w:r>
        <w:rPr>
          <w:rFonts w:hint="eastAsia" w:ascii="仿宋" w:hAnsi="仿宋" w:eastAsia="仿宋" w:cs="仿宋"/>
          <w:color w:val="000000" w:themeColor="text1"/>
          <w:sz w:val="28"/>
          <w:szCs w:val="28"/>
        </w:rPr>
        <w:t>＝</w:t>
      </w:r>
      <w:r>
        <w:rPr>
          <w:rFonts w:hint="eastAsia" w:ascii="仿宋" w:hAnsi="仿宋" w:eastAsia="仿宋" w:cs="仿宋"/>
          <w:sz w:val="28"/>
          <w:lang w:val="en-US" w:eastAsia="zh-CN"/>
        </w:rPr>
        <w:t>706.9（</w:t>
      </w:r>
      <w:r>
        <w:rPr>
          <w:rFonts w:hint="eastAsia" w:ascii="仿宋" w:hAnsi="仿宋" w:eastAsia="仿宋" w:cs="仿宋"/>
          <w:sz w:val="28"/>
          <w:lang w:eastAsia="zh-CN"/>
        </w:rPr>
        <w:t>t</w:t>
      </w:r>
      <w:r>
        <w:rPr>
          <w:rFonts w:hint="eastAsia" w:ascii="仿宋" w:hAnsi="仿宋" w:eastAsia="仿宋" w:cs="仿宋"/>
          <w:sz w:val="28"/>
          <w:lang w:val="en-US" w:eastAsia="zh-CN"/>
        </w:rPr>
        <w:t>）</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12.00</w:t>
      </w:r>
      <w:r>
        <w:rPr>
          <w:rFonts w:hint="eastAsia" w:ascii="仿宋" w:hAnsi="仿宋" w:eastAsia="仿宋" w:cs="仿宋"/>
          <w:color w:val="000000" w:themeColor="text1"/>
          <w:sz w:val="28"/>
          <w:szCs w:val="28"/>
        </w:rPr>
        <w:t>（元/t）×（1-10%）</w:t>
      </w:r>
    </w:p>
    <w:p>
      <w:pPr>
        <w:keepNext w:val="0"/>
        <w:keepLines w:val="0"/>
        <w:pageBreakBefore w:val="0"/>
        <w:widowControl w:val="0"/>
        <w:kinsoku/>
        <w:wordWrap/>
        <w:overflowPunct/>
        <w:topLinePunct w:val="0"/>
        <w:autoSpaceDE/>
        <w:autoSpaceDN/>
        <w:bidi w:val="0"/>
        <w:adjustRightInd/>
        <w:snapToGrid/>
        <w:ind w:firstLine="2800" w:firstLineChars="1000"/>
        <w:textAlignment w:val="auto"/>
        <w:rPr>
          <w:rFonts w:hint="eastAsia" w:ascii="仿宋" w:hAnsi="仿宋" w:eastAsia="仿宋" w:cs="仿宋"/>
          <w:color w:val="000000" w:themeColor="text1"/>
          <w:sz w:val="28"/>
          <w:szCs w:val="28"/>
        </w:rPr>
      </w:pP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val="en-US" w:eastAsia="zh-CN"/>
        </w:rPr>
        <w:t>7635</w:t>
      </w:r>
      <w:r>
        <w:rPr>
          <w:rFonts w:hint="eastAsia" w:ascii="仿宋" w:hAnsi="仿宋" w:eastAsia="仿宋" w:cs="仿宋"/>
          <w:color w:val="000000" w:themeColor="text1"/>
          <w:sz w:val="28"/>
          <w:szCs w:val="28"/>
        </w:rPr>
        <w:t>（元）</w:t>
      </w:r>
    </w:p>
    <w:p>
      <w:pPr>
        <w:keepNext w:val="0"/>
        <w:keepLines w:val="0"/>
        <w:pageBreakBefore w:val="0"/>
        <w:widowControl w:val="0"/>
        <w:kinsoku/>
        <w:wordWrap/>
        <w:overflowPunct/>
        <w:topLinePunct w:val="0"/>
        <w:autoSpaceDE/>
        <w:autoSpaceDN/>
        <w:bidi w:val="0"/>
        <w:adjustRightInd/>
        <w:snapToGrid/>
        <w:ind w:firstLine="964"/>
        <w:textAlignment w:val="auto"/>
        <w:rPr>
          <w:rFonts w:hint="eastAsia" w:ascii="仿宋" w:hAnsi="仿宋" w:eastAsia="仿宋" w:cs="仿宋"/>
          <w:color w:val="000000" w:themeColor="text1"/>
          <w:sz w:val="28"/>
          <w:szCs w:val="28"/>
        </w:rPr>
      </w:pPr>
      <w:r>
        <w:rPr>
          <w:rFonts w:hint="eastAsia" w:ascii="仿宋" w:hAnsi="仿宋" w:eastAsia="仿宋" w:cs="仿宋"/>
          <w:lang w:eastAsia="zh-CN"/>
        </w:rPr>
        <w:t>评估利用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rPr>
        <w:t>价值</w:t>
      </w:r>
      <w:r>
        <w:rPr>
          <w:rFonts w:hint="eastAsia" w:ascii="仿宋" w:hAnsi="仿宋" w:eastAsia="仿宋" w:cs="仿宋"/>
          <w:lang w:val="en-US" w:eastAsia="zh-CN"/>
        </w:rPr>
        <w:t>=94441</w:t>
      </w:r>
      <w:r>
        <w:rPr>
          <w:rFonts w:hint="eastAsia" w:ascii="仿宋" w:hAnsi="仿宋" w:eastAsia="仿宋" w:cs="仿宋"/>
          <w:color w:val="000000" w:themeColor="text1"/>
          <w:sz w:val="28"/>
          <w:szCs w:val="28"/>
        </w:rPr>
        <w:t>（元）</w:t>
      </w:r>
      <w:r>
        <w:rPr>
          <w:rFonts w:hint="eastAsia" w:ascii="仿宋" w:hAnsi="仿宋" w:eastAsia="仿宋" w:cs="仿宋"/>
          <w:color w:val="000000" w:themeColor="text1"/>
          <w:sz w:val="28"/>
          <w:szCs w:val="28"/>
          <w:lang w:val="en-US" w:eastAsia="zh-CN"/>
        </w:rPr>
        <w:t>+7635</w:t>
      </w:r>
      <w:r>
        <w:rPr>
          <w:rFonts w:hint="eastAsia" w:ascii="仿宋" w:hAnsi="仿宋" w:eastAsia="仿宋" w:cs="仿宋"/>
          <w:color w:val="000000" w:themeColor="text1"/>
          <w:sz w:val="28"/>
          <w:szCs w:val="28"/>
        </w:rPr>
        <w:t>（元）</w:t>
      </w:r>
    </w:p>
    <w:p>
      <w:pPr>
        <w:pStyle w:val="2"/>
        <w:rPr>
          <w:rFonts w:hint="eastAsia" w:ascii="仿宋" w:hAnsi="仿宋" w:eastAsia="仿宋" w:cs="仿宋"/>
          <w:lang w:val="en-US" w:eastAsia="zh-CN"/>
        </w:rPr>
      </w:pPr>
      <w:r>
        <w:rPr>
          <w:rFonts w:hint="eastAsia" w:ascii="仿宋" w:hAnsi="仿宋" w:eastAsia="仿宋" w:cs="仿宋"/>
          <w:color w:val="000000" w:themeColor="text1"/>
          <w:sz w:val="28"/>
          <w:szCs w:val="28"/>
          <w:lang w:val="en-US" w:eastAsia="zh-CN"/>
        </w:rPr>
        <w:t xml:space="preserve">                    =102076（元）</w:t>
      </w:r>
    </w:p>
    <w:p>
      <w:pPr>
        <w:pageBreakBefore w:val="0"/>
        <w:widowControl w:val="0"/>
        <w:kinsoku/>
        <w:wordWrap/>
        <w:overflowPunct/>
        <w:topLinePunct w:val="0"/>
        <w:bidi w:val="0"/>
        <w:snapToGrid/>
        <w:ind w:firstLine="964"/>
        <w:textAlignment w:val="auto"/>
        <w:rPr>
          <w:rFonts w:hint="eastAsia" w:ascii="仿宋" w:hAnsi="仿宋" w:eastAsia="仿宋" w:cs="仿宋"/>
          <w:lang w:val="en-US" w:eastAsia="zh-CN"/>
        </w:rPr>
      </w:pPr>
      <w:r>
        <w:rPr>
          <w:rFonts w:hint="eastAsia" w:ascii="仿宋" w:hAnsi="仿宋" w:eastAsia="仿宋" w:cs="仿宋"/>
        </w:rPr>
        <w:t>计算</w:t>
      </w:r>
      <w:r>
        <w:rPr>
          <w:rFonts w:hint="eastAsia" w:ascii="仿宋" w:hAnsi="仿宋" w:eastAsia="仿宋" w:cs="仿宋"/>
          <w:lang w:eastAsia="zh-CN"/>
        </w:rPr>
        <w:t>评估利用</w:t>
      </w:r>
      <w:r>
        <w:rPr>
          <w:rFonts w:hint="eastAsia" w:ascii="仿宋" w:hAnsi="仿宋" w:eastAsia="仿宋" w:cs="仿宋"/>
          <w:lang w:val="en-US" w:eastAsia="zh-CN"/>
        </w:rPr>
        <w:t>开挖区</w:t>
      </w:r>
      <w:r>
        <w:rPr>
          <w:rFonts w:hint="eastAsia" w:ascii="仿宋" w:hAnsi="仿宋" w:eastAsia="仿宋" w:cs="仿宋"/>
        </w:rPr>
        <w:t>资源所对应的</w:t>
      </w:r>
      <w:r>
        <w:rPr>
          <w:rFonts w:hint="eastAsia" w:ascii="仿宋" w:hAnsi="仿宋" w:eastAsia="仿宋" w:cs="仿宋"/>
          <w:lang w:eastAsia="zh-CN"/>
        </w:rPr>
        <w:t>处置</w:t>
      </w:r>
      <w:r>
        <w:rPr>
          <w:rFonts w:hint="eastAsia" w:ascii="仿宋" w:hAnsi="仿宋" w:eastAsia="仿宋" w:cs="仿宋"/>
        </w:rPr>
        <w:t>价值为</w:t>
      </w:r>
      <w:r>
        <w:rPr>
          <w:rFonts w:hint="eastAsia" w:ascii="仿宋" w:hAnsi="仿宋" w:eastAsia="仿宋" w:cs="仿宋"/>
          <w:lang w:val="en-US" w:eastAsia="zh-CN"/>
        </w:rPr>
        <w:t>102076</w:t>
      </w:r>
      <w:r>
        <w:rPr>
          <w:rFonts w:hint="eastAsia" w:ascii="仿宋" w:hAnsi="仿宋" w:eastAsia="仿宋" w:cs="仿宋"/>
        </w:rPr>
        <w:t>元。</w:t>
      </w:r>
      <w:bookmarkStart w:id="22" w:name="_Toc214942516"/>
      <w:bookmarkStart w:id="23" w:name="_Toc210237925"/>
      <w:bookmarkStart w:id="24" w:name="_Toc239775477"/>
      <w:bookmarkStart w:id="25" w:name="_Toc187815557"/>
      <w:bookmarkStart w:id="26" w:name="_Toc187815799"/>
      <w:r>
        <w:rPr>
          <w:rFonts w:hint="eastAsia" w:ascii="仿宋" w:hAnsi="仿宋" w:eastAsia="仿宋" w:cs="仿宋"/>
          <w:lang w:eastAsia="zh-CN"/>
        </w:rPr>
        <w:t>其中：评估利用开挖区中风化矿资源所对应的处置价值为</w:t>
      </w:r>
      <w:r>
        <w:rPr>
          <w:rFonts w:hint="eastAsia" w:ascii="仿宋" w:hAnsi="仿宋" w:eastAsia="仿宋" w:cs="仿宋"/>
          <w:lang w:val="en-US" w:eastAsia="zh-CN"/>
        </w:rPr>
        <w:t>94441元</w:t>
      </w:r>
      <w:r>
        <w:rPr>
          <w:rFonts w:hint="eastAsia" w:ascii="仿宋" w:hAnsi="仿宋" w:eastAsia="仿宋" w:cs="仿宋"/>
        </w:rPr>
        <w:t>，折算至</w:t>
      </w:r>
      <w:r>
        <w:rPr>
          <w:rFonts w:hint="eastAsia" w:ascii="仿宋" w:hAnsi="仿宋" w:eastAsia="仿宋" w:cs="仿宋"/>
          <w:lang w:val="en-US" w:eastAsia="zh-CN"/>
        </w:rPr>
        <w:t>单位</w:t>
      </w:r>
      <w:r>
        <w:rPr>
          <w:rFonts w:hint="eastAsia" w:ascii="仿宋" w:hAnsi="仿宋" w:eastAsia="仿宋" w:cs="仿宋"/>
          <w:lang w:eastAsia="zh-CN"/>
        </w:rPr>
        <w:t>中风化矿</w:t>
      </w:r>
      <w:r>
        <w:rPr>
          <w:rFonts w:hint="eastAsia" w:ascii="仿宋" w:hAnsi="仿宋" w:eastAsia="仿宋" w:cs="仿宋"/>
        </w:rPr>
        <w:t>平均</w:t>
      </w:r>
      <w:r>
        <w:rPr>
          <w:rFonts w:hint="eastAsia" w:ascii="仿宋" w:hAnsi="仿宋" w:eastAsia="仿宋" w:cs="仿宋"/>
          <w:lang w:eastAsia="zh-CN"/>
        </w:rPr>
        <w:t>处置</w:t>
      </w:r>
      <w:r>
        <w:rPr>
          <w:rFonts w:hint="eastAsia" w:ascii="仿宋" w:hAnsi="仿宋" w:eastAsia="仿宋" w:cs="仿宋"/>
        </w:rPr>
        <w:t>价格为</w:t>
      </w:r>
      <w:r>
        <w:rPr>
          <w:rFonts w:hint="eastAsia" w:ascii="仿宋" w:hAnsi="仿宋" w:eastAsia="仿宋" w:cs="仿宋"/>
          <w:lang w:val="en-US" w:eastAsia="zh-CN"/>
        </w:rPr>
        <w:t>28.80</w:t>
      </w:r>
      <w:r>
        <w:rPr>
          <w:rFonts w:hint="eastAsia" w:ascii="仿宋" w:hAnsi="仿宋" w:eastAsia="仿宋" w:cs="仿宋"/>
        </w:rPr>
        <w:t>元/t（</w:t>
      </w:r>
      <w:r>
        <w:rPr>
          <w:rFonts w:hint="eastAsia" w:ascii="仿宋" w:hAnsi="仿宋" w:eastAsia="仿宋" w:cs="仿宋"/>
          <w:lang w:val="en-US" w:eastAsia="zh-CN"/>
        </w:rPr>
        <w:t>94441</w:t>
      </w:r>
      <w:r>
        <w:rPr>
          <w:rFonts w:hint="eastAsia" w:ascii="仿宋" w:hAnsi="仿宋" w:eastAsia="仿宋" w:cs="仿宋"/>
        </w:rPr>
        <w:t>÷</w:t>
      </w:r>
      <w:r>
        <w:rPr>
          <w:rFonts w:hint="eastAsia" w:ascii="仿宋" w:hAnsi="仿宋" w:eastAsia="仿宋" w:cs="仿宋"/>
          <w:lang w:val="en-US" w:eastAsia="zh-CN"/>
        </w:rPr>
        <w:t>3279.2</w:t>
      </w:r>
      <w:r>
        <w:rPr>
          <w:rFonts w:hint="eastAsia" w:ascii="仿宋" w:hAnsi="仿宋" w:eastAsia="仿宋" w:cs="仿宋"/>
        </w:rPr>
        <w:t>）</w:t>
      </w:r>
      <w:r>
        <w:rPr>
          <w:rFonts w:hint="eastAsia" w:ascii="仿宋" w:hAnsi="仿宋" w:eastAsia="仿宋" w:cs="仿宋"/>
          <w:lang w:eastAsia="zh-CN"/>
        </w:rPr>
        <w:t>；评估利用开挖区强风化矿资源所对应的处置价值为</w:t>
      </w:r>
      <w:r>
        <w:rPr>
          <w:rFonts w:hint="eastAsia" w:ascii="仿宋" w:hAnsi="仿宋" w:eastAsia="仿宋" w:cs="仿宋"/>
          <w:lang w:val="en-US" w:eastAsia="zh-CN"/>
        </w:rPr>
        <w:t>7635元</w:t>
      </w:r>
      <w:r>
        <w:rPr>
          <w:rFonts w:hint="eastAsia" w:ascii="仿宋" w:hAnsi="仿宋" w:eastAsia="仿宋" w:cs="仿宋"/>
        </w:rPr>
        <w:t>，折算至</w:t>
      </w:r>
      <w:r>
        <w:rPr>
          <w:rFonts w:hint="eastAsia" w:ascii="仿宋" w:hAnsi="仿宋" w:eastAsia="仿宋" w:cs="仿宋"/>
          <w:lang w:val="en-US" w:eastAsia="zh-CN"/>
        </w:rPr>
        <w:t>单位</w:t>
      </w:r>
      <w:r>
        <w:rPr>
          <w:rFonts w:hint="eastAsia" w:ascii="仿宋" w:hAnsi="仿宋" w:eastAsia="仿宋" w:cs="仿宋"/>
          <w:lang w:eastAsia="zh-CN"/>
        </w:rPr>
        <w:t>强风化矿</w:t>
      </w:r>
      <w:r>
        <w:rPr>
          <w:rFonts w:hint="eastAsia" w:ascii="仿宋" w:hAnsi="仿宋" w:eastAsia="仿宋" w:cs="仿宋"/>
        </w:rPr>
        <w:t>平均</w:t>
      </w:r>
      <w:r>
        <w:rPr>
          <w:rFonts w:hint="eastAsia" w:ascii="仿宋" w:hAnsi="仿宋" w:eastAsia="仿宋" w:cs="仿宋"/>
          <w:lang w:eastAsia="zh-CN"/>
        </w:rPr>
        <w:t>处置</w:t>
      </w:r>
      <w:r>
        <w:rPr>
          <w:rFonts w:hint="eastAsia" w:ascii="仿宋" w:hAnsi="仿宋" w:eastAsia="仿宋" w:cs="仿宋"/>
        </w:rPr>
        <w:t>价格为</w:t>
      </w:r>
      <w:r>
        <w:rPr>
          <w:rFonts w:hint="eastAsia" w:ascii="仿宋" w:hAnsi="仿宋" w:eastAsia="仿宋" w:cs="仿宋"/>
          <w:lang w:val="en-US" w:eastAsia="zh-CN"/>
        </w:rPr>
        <w:t>10.80</w:t>
      </w:r>
      <w:r>
        <w:rPr>
          <w:rFonts w:hint="eastAsia" w:ascii="仿宋" w:hAnsi="仿宋" w:eastAsia="仿宋" w:cs="仿宋"/>
        </w:rPr>
        <w:t>元/t（</w:t>
      </w:r>
      <w:r>
        <w:rPr>
          <w:rFonts w:hint="eastAsia" w:ascii="仿宋" w:hAnsi="仿宋" w:eastAsia="仿宋" w:cs="仿宋"/>
          <w:lang w:val="en-US" w:eastAsia="zh-CN"/>
        </w:rPr>
        <w:t>7635</w:t>
      </w:r>
      <w:r>
        <w:rPr>
          <w:rFonts w:hint="eastAsia" w:ascii="仿宋" w:hAnsi="仿宋" w:eastAsia="仿宋" w:cs="仿宋"/>
        </w:rPr>
        <w:t>÷</w:t>
      </w:r>
      <w:r>
        <w:rPr>
          <w:rFonts w:hint="eastAsia" w:ascii="仿宋" w:hAnsi="仿宋" w:eastAsia="仿宋" w:cs="仿宋"/>
          <w:lang w:val="en-US" w:eastAsia="zh-CN"/>
        </w:rPr>
        <w:t>706.9</w:t>
      </w:r>
      <w:r>
        <w:rPr>
          <w:rFonts w:hint="eastAsia" w:ascii="仿宋" w:hAnsi="仿宋" w:eastAsia="仿宋" w:cs="仿宋"/>
        </w:rPr>
        <w:t>）</w:t>
      </w:r>
      <w:r>
        <w:rPr>
          <w:rFonts w:hint="eastAsia" w:ascii="仿宋" w:hAnsi="仿宋" w:eastAsia="仿宋" w:cs="仿宋"/>
          <w:lang w:eastAsia="zh-CN"/>
        </w:rPr>
        <w:t>。</w:t>
      </w:r>
    </w:p>
    <w:bookmarkEnd w:id="22"/>
    <w:bookmarkEnd w:id="23"/>
    <w:bookmarkEnd w:id="24"/>
    <w:bookmarkEnd w:id="25"/>
    <w:bookmarkEnd w:id="26"/>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b/>
          <w:sz w:val="28"/>
          <w:szCs w:val="28"/>
        </w:rPr>
      </w:pPr>
      <w:bookmarkStart w:id="27" w:name="_Toc11517"/>
      <w:r>
        <w:rPr>
          <w:rFonts w:hint="eastAsia" w:ascii="仿宋" w:hAnsi="仿宋" w:eastAsia="仿宋" w:cs="仿宋"/>
          <w:b/>
          <w:sz w:val="28"/>
          <w:szCs w:val="28"/>
        </w:rPr>
        <w:t>九、价格</w:t>
      </w:r>
      <w:r>
        <w:rPr>
          <w:rFonts w:hint="eastAsia" w:ascii="仿宋" w:hAnsi="仿宋" w:eastAsia="仿宋" w:cs="仿宋"/>
          <w:b/>
          <w:kern w:val="0"/>
          <w:sz w:val="28"/>
          <w:szCs w:val="28"/>
        </w:rPr>
        <w:t>评估</w:t>
      </w:r>
      <w:r>
        <w:rPr>
          <w:rFonts w:hint="eastAsia" w:ascii="仿宋" w:hAnsi="仿宋" w:eastAsia="仿宋" w:cs="仿宋"/>
          <w:b/>
          <w:sz w:val="28"/>
          <w:szCs w:val="28"/>
        </w:rPr>
        <w:t>结论</w:t>
      </w:r>
      <w:bookmarkEnd w:id="27"/>
    </w:p>
    <w:p>
      <w:pPr>
        <w:pStyle w:val="2"/>
        <w:pageBreakBefore w:val="0"/>
        <w:widowControl w:val="0"/>
        <w:kinsoku/>
        <w:wordWrap/>
        <w:overflowPunct/>
        <w:topLinePunct w:val="0"/>
        <w:bidi w:val="0"/>
        <w:snapToGrid/>
        <w:spacing w:line="360" w:lineRule="auto"/>
        <w:ind w:firstLineChars="0"/>
        <w:jc w:val="both"/>
        <w:textAlignment w:val="auto"/>
        <w:rPr>
          <w:rFonts w:hint="eastAsia" w:ascii="仿宋" w:hAnsi="仿宋" w:eastAsia="仿宋" w:cs="仿宋"/>
          <w:szCs w:val="28"/>
          <w:lang w:eastAsia="zh-CN"/>
        </w:rPr>
      </w:pPr>
      <w:r>
        <w:rPr>
          <w:rFonts w:hint="eastAsia" w:ascii="仿宋" w:hAnsi="仿宋" w:eastAsia="仿宋" w:cs="仿宋"/>
          <w:sz w:val="28"/>
          <w:lang w:eastAsia="zh-CN"/>
        </w:rPr>
        <w:t>义乌市大陈镇</w:t>
      </w:r>
      <w:r>
        <w:rPr>
          <w:rFonts w:hint="eastAsia" w:ascii="仿宋" w:hAnsi="仿宋" w:eastAsia="仿宋" w:cs="仿宋"/>
          <w:sz w:val="28"/>
          <w:lang w:val="en-US" w:eastAsia="zh-CN"/>
        </w:rPr>
        <w:t>楂林菜市场周边配套工程及边坡治理弃渣资源</w:t>
      </w:r>
      <w:r>
        <w:rPr>
          <w:rFonts w:hint="eastAsia" w:ascii="仿宋" w:hAnsi="仿宋" w:eastAsia="仿宋" w:cs="仿宋"/>
          <w:color w:val="000000" w:themeColor="text1"/>
          <w:spacing w:val="12"/>
          <w:sz w:val="28"/>
          <w:szCs w:val="28"/>
        </w:rPr>
        <w:t>在评估基准日（二〇二一年</w:t>
      </w:r>
      <w:r>
        <w:rPr>
          <w:rFonts w:hint="eastAsia" w:ascii="仿宋" w:hAnsi="仿宋" w:eastAsia="仿宋" w:cs="仿宋"/>
          <w:color w:val="000000" w:themeColor="text1"/>
          <w:spacing w:val="12"/>
          <w:sz w:val="28"/>
          <w:szCs w:val="28"/>
          <w:lang w:eastAsia="zh-CN"/>
        </w:rPr>
        <w:t>七</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七</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仿宋"/>
          <w:b/>
          <w:bCs/>
          <w:color w:val="000000" w:themeColor="text1"/>
          <w:sz w:val="28"/>
          <w:szCs w:val="28"/>
          <w:lang w:val="en-US" w:eastAsia="zh-CN"/>
        </w:rPr>
        <w:t>102076</w:t>
      </w:r>
      <w:r>
        <w:rPr>
          <w:rFonts w:hint="eastAsia" w:ascii="仿宋" w:hAnsi="仿宋" w:eastAsia="仿宋" w:cs="仿宋"/>
          <w:b/>
          <w:bCs/>
          <w:color w:val="000000" w:themeColor="text1"/>
          <w:sz w:val="28"/>
          <w:szCs w:val="28"/>
        </w:rPr>
        <w:t>元</w:t>
      </w:r>
      <w:r>
        <w:rPr>
          <w:rFonts w:hint="eastAsia" w:ascii="仿宋" w:hAnsi="仿宋" w:eastAsia="仿宋" w:cs="仿宋"/>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壹拾万贰仟零柒拾陆元</w:t>
      </w:r>
      <w:r>
        <w:rPr>
          <w:rFonts w:hint="eastAsia" w:ascii="仿宋" w:hAnsi="仿宋" w:eastAsia="仿宋" w:cs="仿宋"/>
          <w:b/>
          <w:bCs/>
          <w:color w:val="000000" w:themeColor="text1"/>
          <w:sz w:val="28"/>
          <w:szCs w:val="28"/>
        </w:rPr>
        <w:t>整</w:t>
      </w:r>
      <w:r>
        <w:rPr>
          <w:rFonts w:hint="eastAsia" w:ascii="仿宋" w:hAnsi="仿宋" w:eastAsia="仿宋" w:cs="仿宋"/>
          <w:color w:val="000000" w:themeColor="text1"/>
          <w:sz w:val="28"/>
          <w:szCs w:val="28"/>
        </w:rPr>
        <w:t>。</w:t>
      </w:r>
      <w:r>
        <w:rPr>
          <w:rFonts w:hint="eastAsia" w:ascii="仿宋" w:hAnsi="仿宋" w:eastAsia="仿宋" w:cs="仿宋"/>
          <w:color w:val="000000" w:themeColor="text1"/>
          <w:sz w:val="28"/>
          <w:szCs w:val="28"/>
          <w:lang w:eastAsia="zh-CN"/>
        </w:rPr>
        <w:t>其中：中风化矿</w:t>
      </w:r>
      <w:r>
        <w:rPr>
          <w:rFonts w:hint="eastAsia" w:ascii="仿宋" w:hAnsi="仿宋" w:eastAsia="仿宋" w:cs="仿宋"/>
          <w:color w:val="000000" w:themeColor="text1"/>
          <w:spacing w:val="12"/>
          <w:sz w:val="28"/>
          <w:szCs w:val="28"/>
        </w:rPr>
        <w:t>资源在评估基准日（二〇二一年</w:t>
      </w:r>
      <w:r>
        <w:rPr>
          <w:rFonts w:hint="eastAsia" w:ascii="仿宋" w:hAnsi="仿宋" w:eastAsia="仿宋" w:cs="仿宋"/>
          <w:color w:val="000000" w:themeColor="text1"/>
          <w:spacing w:val="12"/>
          <w:sz w:val="28"/>
          <w:szCs w:val="28"/>
          <w:lang w:eastAsia="zh-CN"/>
        </w:rPr>
        <w:t>七</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七</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仿宋"/>
          <w:b/>
          <w:bCs/>
          <w:color w:val="000000" w:themeColor="text1"/>
          <w:sz w:val="28"/>
          <w:szCs w:val="28"/>
          <w:lang w:val="en-US" w:eastAsia="zh-CN"/>
        </w:rPr>
        <w:t>94441</w:t>
      </w:r>
      <w:r>
        <w:rPr>
          <w:rFonts w:hint="eastAsia" w:ascii="仿宋" w:hAnsi="仿宋" w:eastAsia="仿宋" w:cs="仿宋"/>
          <w:b/>
          <w:bCs/>
          <w:color w:val="000000" w:themeColor="text1"/>
          <w:sz w:val="28"/>
          <w:szCs w:val="28"/>
        </w:rPr>
        <w:t>元</w:t>
      </w:r>
      <w:r>
        <w:rPr>
          <w:rFonts w:hint="eastAsia" w:ascii="仿宋" w:hAnsi="仿宋" w:eastAsia="仿宋" w:cs="仿宋"/>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玖万肆仟肆佰肆拾壹元</w:t>
      </w:r>
      <w:r>
        <w:rPr>
          <w:rFonts w:hint="eastAsia" w:ascii="仿宋" w:hAnsi="仿宋" w:eastAsia="仿宋" w:cs="仿宋"/>
          <w:b/>
          <w:bCs/>
          <w:color w:val="000000" w:themeColor="text1"/>
          <w:sz w:val="28"/>
          <w:szCs w:val="28"/>
        </w:rPr>
        <w:t>整</w:t>
      </w:r>
      <w:r>
        <w:rPr>
          <w:rFonts w:hint="eastAsia" w:ascii="仿宋" w:hAnsi="仿宋" w:eastAsia="仿宋" w:cs="仿宋"/>
          <w:b/>
          <w:bCs/>
          <w:color w:val="000000" w:themeColor="text1"/>
          <w:sz w:val="28"/>
          <w:szCs w:val="28"/>
          <w:lang w:eastAsia="zh-CN"/>
        </w:rPr>
        <w:t>，</w:t>
      </w:r>
      <w:r>
        <w:rPr>
          <w:rFonts w:hint="eastAsia" w:ascii="仿宋" w:hAnsi="仿宋" w:eastAsia="仿宋" w:cs="仿宋"/>
          <w:color w:val="000000" w:themeColor="text1"/>
          <w:sz w:val="28"/>
          <w:szCs w:val="28"/>
        </w:rPr>
        <w:t>折算至</w:t>
      </w:r>
      <w:r>
        <w:rPr>
          <w:rFonts w:hint="eastAsia" w:ascii="仿宋" w:hAnsi="仿宋" w:eastAsia="仿宋" w:cs="仿宋"/>
          <w:color w:val="000000" w:themeColor="text1"/>
          <w:sz w:val="28"/>
          <w:szCs w:val="28"/>
          <w:lang w:eastAsia="zh-CN"/>
        </w:rPr>
        <w:t>中风化矿</w:t>
      </w:r>
      <w:r>
        <w:rPr>
          <w:rFonts w:hint="eastAsia" w:ascii="仿宋" w:hAnsi="仿宋" w:eastAsia="仿宋" w:cs="仿宋"/>
          <w:color w:val="000000" w:themeColor="text1"/>
          <w:sz w:val="28"/>
          <w:szCs w:val="28"/>
        </w:rPr>
        <w:t>资源平均单位评估结果为</w:t>
      </w:r>
      <w:r>
        <w:rPr>
          <w:rFonts w:hint="eastAsia" w:ascii="仿宋" w:hAnsi="仿宋" w:eastAsia="仿宋" w:cs="仿宋"/>
          <w:b/>
          <w:sz w:val="28"/>
          <w:szCs w:val="28"/>
          <w:lang w:val="en-US" w:eastAsia="zh-CN"/>
        </w:rPr>
        <w:t>28.80</w:t>
      </w:r>
      <w:r>
        <w:rPr>
          <w:rFonts w:hint="eastAsia" w:ascii="仿宋" w:hAnsi="仿宋" w:eastAsia="仿宋" w:cs="仿宋"/>
          <w:b/>
          <w:sz w:val="28"/>
          <w:szCs w:val="28"/>
        </w:rPr>
        <w:t>元/</w:t>
      </w:r>
      <w:r>
        <w:rPr>
          <w:rFonts w:hint="eastAsia" w:ascii="仿宋" w:hAnsi="仿宋" w:eastAsia="仿宋" w:cs="仿宋"/>
          <w:b/>
          <w:color w:val="000000" w:themeColor="text1"/>
          <w:sz w:val="28"/>
          <w:szCs w:val="28"/>
        </w:rPr>
        <w:t>t</w:t>
      </w:r>
      <w:r>
        <w:rPr>
          <w:rFonts w:hint="eastAsia" w:ascii="仿宋" w:hAnsi="仿宋" w:eastAsia="仿宋" w:cs="仿宋"/>
          <w:color w:val="000000" w:themeColor="text1"/>
          <w:sz w:val="28"/>
          <w:szCs w:val="28"/>
          <w:lang w:eastAsia="zh-CN"/>
        </w:rPr>
        <w:t>；强风化矿</w:t>
      </w:r>
      <w:r>
        <w:rPr>
          <w:rFonts w:hint="eastAsia" w:ascii="仿宋" w:hAnsi="仿宋" w:eastAsia="仿宋" w:cs="仿宋"/>
          <w:color w:val="000000" w:themeColor="text1"/>
          <w:spacing w:val="12"/>
          <w:sz w:val="28"/>
          <w:szCs w:val="28"/>
        </w:rPr>
        <w:t>资源在评估基准日（二〇二一年</w:t>
      </w:r>
      <w:r>
        <w:rPr>
          <w:rFonts w:hint="eastAsia" w:ascii="仿宋" w:hAnsi="仿宋" w:eastAsia="仿宋" w:cs="仿宋"/>
          <w:color w:val="000000" w:themeColor="text1"/>
          <w:spacing w:val="12"/>
          <w:sz w:val="28"/>
          <w:szCs w:val="28"/>
          <w:lang w:eastAsia="zh-CN"/>
        </w:rPr>
        <w:t>七</w:t>
      </w:r>
      <w:r>
        <w:rPr>
          <w:rFonts w:hint="eastAsia" w:ascii="仿宋" w:hAnsi="仿宋" w:eastAsia="仿宋" w:cs="仿宋"/>
          <w:color w:val="000000" w:themeColor="text1"/>
          <w:spacing w:val="12"/>
          <w:sz w:val="28"/>
          <w:szCs w:val="28"/>
        </w:rPr>
        <w:t>月</w:t>
      </w:r>
      <w:r>
        <w:rPr>
          <w:rFonts w:hint="eastAsia" w:ascii="仿宋" w:hAnsi="仿宋" w:eastAsia="仿宋" w:cs="仿宋"/>
          <w:color w:val="000000" w:themeColor="text1"/>
          <w:spacing w:val="12"/>
          <w:sz w:val="28"/>
          <w:szCs w:val="28"/>
          <w:lang w:val="en-US" w:eastAsia="zh-CN"/>
        </w:rPr>
        <w:t>七</w:t>
      </w:r>
      <w:r>
        <w:rPr>
          <w:rFonts w:hint="eastAsia" w:ascii="仿宋" w:hAnsi="仿宋" w:eastAsia="仿宋" w:cs="仿宋"/>
          <w:color w:val="000000" w:themeColor="text1"/>
          <w:spacing w:val="12"/>
          <w:sz w:val="28"/>
          <w:szCs w:val="28"/>
        </w:rPr>
        <w:t>日）的</w:t>
      </w:r>
      <w:r>
        <w:rPr>
          <w:rFonts w:hint="eastAsia" w:ascii="仿宋" w:hAnsi="仿宋" w:eastAsia="仿宋" w:cs="仿宋"/>
          <w:color w:val="000000" w:themeColor="text1"/>
          <w:sz w:val="28"/>
          <w:szCs w:val="28"/>
        </w:rPr>
        <w:t>评估结果为</w:t>
      </w:r>
      <w:r>
        <w:rPr>
          <w:rFonts w:hint="eastAsia" w:ascii="仿宋" w:hAnsi="仿宋" w:eastAsia="仿宋" w:cs="仿宋"/>
          <w:b/>
          <w:bCs/>
          <w:color w:val="000000" w:themeColor="text1"/>
          <w:sz w:val="28"/>
          <w:szCs w:val="28"/>
          <w:lang w:val="en-US" w:eastAsia="zh-CN"/>
        </w:rPr>
        <w:t>7635</w:t>
      </w:r>
      <w:r>
        <w:rPr>
          <w:rFonts w:hint="eastAsia" w:ascii="仿宋" w:hAnsi="仿宋" w:eastAsia="仿宋" w:cs="仿宋"/>
          <w:b/>
          <w:bCs/>
          <w:color w:val="000000" w:themeColor="text1"/>
          <w:sz w:val="28"/>
          <w:szCs w:val="28"/>
        </w:rPr>
        <w:t>元</w:t>
      </w:r>
      <w:r>
        <w:rPr>
          <w:rFonts w:hint="eastAsia" w:ascii="仿宋" w:hAnsi="仿宋" w:eastAsia="仿宋" w:cs="仿宋"/>
          <w:bCs/>
          <w:color w:val="000000" w:themeColor="text1"/>
          <w:sz w:val="28"/>
          <w:szCs w:val="28"/>
        </w:rPr>
        <w:t>，</w:t>
      </w:r>
      <w:r>
        <w:rPr>
          <w:rFonts w:hint="eastAsia" w:ascii="仿宋" w:hAnsi="仿宋" w:eastAsia="仿宋" w:cs="仿宋"/>
          <w:color w:val="000000" w:themeColor="text1"/>
          <w:sz w:val="28"/>
          <w:szCs w:val="28"/>
        </w:rPr>
        <w:t>大写人民币</w:t>
      </w:r>
      <w:r>
        <w:rPr>
          <w:rFonts w:hint="eastAsia" w:ascii="仿宋" w:hAnsi="仿宋" w:eastAsia="仿宋" w:cs="仿宋"/>
          <w:b/>
          <w:bCs/>
          <w:color w:val="000000" w:themeColor="text1"/>
          <w:sz w:val="28"/>
          <w:szCs w:val="28"/>
          <w:lang w:val="en-US" w:eastAsia="zh-CN"/>
        </w:rPr>
        <w:t>柒仟陆佰叁拾伍元</w:t>
      </w:r>
      <w:r>
        <w:rPr>
          <w:rFonts w:hint="eastAsia" w:ascii="仿宋" w:hAnsi="仿宋" w:eastAsia="仿宋" w:cs="仿宋"/>
          <w:b/>
          <w:bCs/>
          <w:color w:val="000000" w:themeColor="text1"/>
          <w:sz w:val="28"/>
          <w:szCs w:val="28"/>
        </w:rPr>
        <w:t>整</w:t>
      </w:r>
      <w:r>
        <w:rPr>
          <w:rFonts w:hint="eastAsia" w:ascii="仿宋" w:hAnsi="仿宋" w:eastAsia="仿宋" w:cs="仿宋"/>
          <w:b/>
          <w:bCs/>
          <w:color w:val="000000" w:themeColor="text1"/>
          <w:sz w:val="28"/>
          <w:szCs w:val="28"/>
          <w:lang w:eastAsia="zh-CN"/>
        </w:rPr>
        <w:t>，</w:t>
      </w:r>
      <w:r>
        <w:rPr>
          <w:rFonts w:hint="eastAsia" w:ascii="仿宋" w:hAnsi="仿宋" w:eastAsia="仿宋" w:cs="仿宋"/>
          <w:color w:val="000000" w:themeColor="text1"/>
          <w:sz w:val="28"/>
          <w:szCs w:val="28"/>
        </w:rPr>
        <w:t>折算至</w:t>
      </w:r>
      <w:r>
        <w:rPr>
          <w:rFonts w:hint="eastAsia" w:ascii="仿宋" w:hAnsi="仿宋" w:eastAsia="仿宋" w:cs="仿宋"/>
          <w:color w:val="000000" w:themeColor="text1"/>
          <w:sz w:val="28"/>
          <w:szCs w:val="28"/>
          <w:lang w:eastAsia="zh-CN"/>
        </w:rPr>
        <w:t>强风化矿</w:t>
      </w:r>
      <w:r>
        <w:rPr>
          <w:rFonts w:hint="eastAsia" w:ascii="仿宋" w:hAnsi="仿宋" w:eastAsia="仿宋" w:cs="仿宋"/>
          <w:color w:val="000000" w:themeColor="text1"/>
          <w:sz w:val="28"/>
          <w:szCs w:val="28"/>
        </w:rPr>
        <w:t>资源平均单位评估结果为</w:t>
      </w:r>
      <w:r>
        <w:rPr>
          <w:rFonts w:hint="eastAsia" w:ascii="仿宋" w:hAnsi="仿宋" w:eastAsia="仿宋" w:cs="仿宋"/>
          <w:b/>
          <w:sz w:val="28"/>
          <w:szCs w:val="28"/>
          <w:lang w:val="en-US" w:eastAsia="zh-CN"/>
        </w:rPr>
        <w:t>10.80</w:t>
      </w:r>
      <w:r>
        <w:rPr>
          <w:rFonts w:hint="eastAsia" w:ascii="仿宋" w:hAnsi="仿宋" w:eastAsia="仿宋" w:cs="仿宋"/>
          <w:b/>
          <w:sz w:val="28"/>
          <w:szCs w:val="28"/>
        </w:rPr>
        <w:t>元/</w:t>
      </w:r>
      <w:r>
        <w:rPr>
          <w:rFonts w:hint="eastAsia" w:ascii="仿宋" w:hAnsi="仿宋" w:eastAsia="仿宋" w:cs="仿宋"/>
          <w:b/>
          <w:color w:val="000000" w:themeColor="text1"/>
          <w:sz w:val="28"/>
          <w:szCs w:val="28"/>
        </w:rPr>
        <w:t>t</w:t>
      </w:r>
    </w:p>
    <w:p>
      <w:pPr>
        <w:pStyle w:val="3"/>
        <w:keepNext/>
        <w:keepLines/>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 w:hAnsi="仿宋" w:eastAsia="仿宋" w:cs="仿宋"/>
          <w:b/>
          <w:sz w:val="28"/>
          <w:szCs w:val="28"/>
        </w:rPr>
      </w:pPr>
      <w:bookmarkStart w:id="28" w:name="_Toc20815"/>
      <w:r>
        <w:rPr>
          <w:rFonts w:hint="eastAsia" w:ascii="仿宋" w:hAnsi="仿宋" w:eastAsia="仿宋" w:cs="仿宋"/>
          <w:b/>
          <w:sz w:val="28"/>
          <w:szCs w:val="28"/>
        </w:rPr>
        <w:t>十、价格评估限定条件</w:t>
      </w:r>
      <w:bookmarkEnd w:id="28"/>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rPr>
        <w:t>1、委托方提供的资料客观真实</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rPr>
        <w:t>3、评估结论仅为委托方办理矿产业务提供价格参考，如果改变评估目的或用于其他用途对委托方造成的损失，我公司不承担任何责任</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rPr>
      </w:pPr>
      <w:r>
        <w:rPr>
          <w:rFonts w:hint="eastAsia" w:ascii="仿宋" w:hAnsi="仿宋" w:eastAsia="仿宋" w:cs="仿宋"/>
        </w:rPr>
        <w:t>4、评估结论采用公开市场价值标准，公开市场价值满足下列条件：</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lang w:val="en-US" w:eastAsia="zh-CN"/>
        </w:rPr>
        <w:t>1）</w:t>
      </w:r>
      <w:r>
        <w:rPr>
          <w:rFonts w:hint="eastAsia" w:ascii="仿宋" w:hAnsi="仿宋" w:eastAsia="仿宋" w:cs="仿宋"/>
        </w:rPr>
        <w:t>交易双方是自愿地进行交易</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lang w:val="en-US" w:eastAsia="zh-CN"/>
        </w:rPr>
        <w:t>2）</w:t>
      </w:r>
      <w:r>
        <w:rPr>
          <w:rFonts w:hint="eastAsia" w:ascii="仿宋" w:hAnsi="仿宋" w:eastAsia="仿宋" w:cs="仿宋"/>
        </w:rPr>
        <w:t>交易双方进行交易的目的是追求各自最大的利益</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lang w:val="en-US" w:eastAsia="zh-CN"/>
        </w:rPr>
        <w:t>3</w:t>
      </w:r>
      <w:r>
        <w:rPr>
          <w:rFonts w:hint="eastAsia" w:ascii="仿宋" w:hAnsi="仿宋" w:eastAsia="仿宋" w:cs="仿宋"/>
          <w:lang w:eastAsia="zh-CN"/>
        </w:rPr>
        <w:t>）</w:t>
      </w:r>
      <w:r>
        <w:rPr>
          <w:rFonts w:hint="eastAsia" w:ascii="仿宋" w:hAnsi="仿宋" w:eastAsia="仿宋" w:cs="仿宋"/>
        </w:rPr>
        <w:t>交易双方是理性而谨慎的，并且了解交易对象、知晓市场行情</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lang w:val="en-US" w:eastAsia="zh-CN"/>
        </w:rPr>
        <w:t>4</w:t>
      </w:r>
      <w:r>
        <w:rPr>
          <w:rFonts w:hint="eastAsia" w:ascii="仿宋" w:hAnsi="仿宋" w:eastAsia="仿宋" w:cs="仿宋"/>
          <w:lang w:eastAsia="zh-CN"/>
        </w:rPr>
        <w:t>）</w:t>
      </w:r>
      <w:r>
        <w:rPr>
          <w:rFonts w:hint="eastAsia" w:ascii="仿宋" w:hAnsi="仿宋" w:eastAsia="仿宋" w:cs="仿宋"/>
        </w:rPr>
        <w:t>交易双方有充裕的时间进行交易</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lang w:eastAsia="zh-CN"/>
        </w:rPr>
      </w:pPr>
      <w:r>
        <w:rPr>
          <w:rFonts w:hint="eastAsia" w:ascii="仿宋" w:hAnsi="仿宋" w:eastAsia="仿宋" w:cs="仿宋"/>
          <w:lang w:val="en-US" w:eastAsia="zh-CN"/>
        </w:rPr>
        <w:t>5</w:t>
      </w:r>
      <w:r>
        <w:rPr>
          <w:rFonts w:hint="eastAsia" w:ascii="仿宋" w:hAnsi="仿宋" w:eastAsia="仿宋" w:cs="仿宋"/>
          <w:lang w:eastAsia="zh-CN"/>
        </w:rPr>
        <w:t>）</w:t>
      </w:r>
      <w:r>
        <w:rPr>
          <w:rFonts w:hint="eastAsia" w:ascii="仿宋" w:hAnsi="仿宋" w:eastAsia="仿宋" w:cs="仿宋"/>
        </w:rPr>
        <w:t>不存在买者因特殊兴趣而给予附加出价</w:t>
      </w:r>
      <w:r>
        <w:rPr>
          <w:rFonts w:hint="eastAsia" w:ascii="仿宋" w:hAnsi="仿宋" w:eastAsia="仿宋" w:cs="仿宋"/>
          <w:lang w:eastAsia="zh-CN"/>
        </w:rPr>
        <w:t>；</w:t>
      </w:r>
    </w:p>
    <w:p>
      <w:pPr>
        <w:pageBreakBefore w:val="0"/>
        <w:widowControl w:val="0"/>
        <w:kinsoku/>
        <w:wordWrap/>
        <w:overflowPunct/>
        <w:topLinePunct w:val="0"/>
        <w:bidi w:val="0"/>
        <w:snapToGrid/>
        <w:ind w:firstLine="964"/>
        <w:textAlignment w:val="auto"/>
        <w:rPr>
          <w:rFonts w:hint="eastAsia" w:ascii="仿宋" w:hAnsi="仿宋" w:eastAsia="仿宋" w:cs="仿宋"/>
        </w:rPr>
      </w:pPr>
      <w:r>
        <w:rPr>
          <w:rFonts w:hint="eastAsia" w:ascii="仿宋" w:hAnsi="仿宋" w:eastAsia="仿宋" w:cs="仿宋"/>
          <w:lang w:val="en-US" w:eastAsia="zh-CN"/>
        </w:rPr>
        <w:t>6</w:t>
      </w:r>
      <w:r>
        <w:rPr>
          <w:rFonts w:hint="eastAsia" w:ascii="仿宋" w:hAnsi="仿宋" w:eastAsia="仿宋" w:cs="仿宋"/>
          <w:lang w:eastAsia="zh-CN"/>
        </w:rPr>
        <w:t>）</w:t>
      </w:r>
      <w:r>
        <w:rPr>
          <w:rFonts w:hint="eastAsia" w:ascii="仿宋" w:hAnsi="仿宋" w:eastAsia="仿宋" w:cs="仿宋"/>
        </w:rPr>
        <w:t>交易市场状况是公开、平等、自愿地。</w:t>
      </w:r>
    </w:p>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b/>
          <w:kern w:val="0"/>
          <w:sz w:val="28"/>
        </w:rPr>
      </w:pPr>
      <w:bookmarkStart w:id="29" w:name="_Toc12838"/>
      <w:r>
        <w:rPr>
          <w:rFonts w:hint="eastAsia" w:ascii="仿宋" w:hAnsi="仿宋" w:eastAsia="仿宋" w:cs="仿宋"/>
          <w:b/>
          <w:kern w:val="0"/>
          <w:sz w:val="28"/>
        </w:rPr>
        <w:t>十一、</w:t>
      </w:r>
      <w:r>
        <w:rPr>
          <w:rFonts w:hint="eastAsia" w:ascii="仿宋" w:hAnsi="仿宋" w:eastAsia="仿宋" w:cs="仿宋"/>
          <w:b/>
          <w:sz w:val="28"/>
          <w:szCs w:val="28"/>
        </w:rPr>
        <w:t>声</w:t>
      </w:r>
      <w:r>
        <w:rPr>
          <w:rFonts w:hint="eastAsia" w:ascii="仿宋" w:hAnsi="仿宋" w:eastAsia="仿宋" w:cs="仿宋"/>
          <w:b/>
          <w:kern w:val="0"/>
          <w:sz w:val="28"/>
        </w:rPr>
        <w:t>明</w:t>
      </w:r>
      <w:bookmarkEnd w:id="29"/>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1、本次评估工程内</w:t>
      </w:r>
      <w:r>
        <w:rPr>
          <w:rFonts w:hint="eastAsia" w:ascii="仿宋" w:hAnsi="仿宋" w:eastAsia="仿宋" w:cs="仿宋"/>
          <w:lang w:eastAsia="zh-CN"/>
        </w:rPr>
        <w:t>资源量、石料</w:t>
      </w:r>
      <w:r>
        <w:rPr>
          <w:rFonts w:hint="eastAsia" w:ascii="仿宋" w:hAnsi="仿宋" w:eastAsia="仿宋" w:cs="仿宋"/>
        </w:rPr>
        <w:t>岩性</w:t>
      </w:r>
      <w:r>
        <w:rPr>
          <w:rFonts w:hint="eastAsia" w:ascii="仿宋" w:hAnsi="仿宋" w:eastAsia="仿宋" w:cs="仿宋"/>
          <w:lang w:eastAsia="zh-CN"/>
        </w:rPr>
        <w:t>和</w:t>
      </w:r>
      <w:r>
        <w:rPr>
          <w:rFonts w:hint="eastAsia" w:ascii="仿宋" w:hAnsi="仿宋" w:eastAsia="仿宋" w:cs="仿宋"/>
        </w:rPr>
        <w:t>质量</w:t>
      </w:r>
      <w:r>
        <w:rPr>
          <w:rFonts w:hint="eastAsia" w:ascii="仿宋" w:hAnsi="仿宋" w:eastAsia="仿宋" w:cs="仿宋"/>
          <w:lang w:eastAsia="zh-CN"/>
        </w:rPr>
        <w:t>均</w:t>
      </w:r>
      <w:r>
        <w:rPr>
          <w:rFonts w:hint="eastAsia" w:ascii="仿宋" w:hAnsi="仿宋" w:eastAsia="仿宋" w:cs="仿宋"/>
        </w:rPr>
        <w:t>直接根据《</w:t>
      </w:r>
      <w:r>
        <w:rPr>
          <w:rFonts w:hint="eastAsia" w:ascii="仿宋" w:hAnsi="仿宋" w:eastAsia="仿宋" w:cs="仿宋"/>
          <w:lang w:val="en-US" w:eastAsia="zh-CN"/>
        </w:rPr>
        <w:t>估算方案</w:t>
      </w:r>
      <w:r>
        <w:rPr>
          <w:rFonts w:hint="eastAsia" w:ascii="仿宋" w:hAnsi="仿宋" w:eastAsia="仿宋" w:cs="仿宋"/>
        </w:rPr>
        <w:t>》描述确定，评估不对工程内</w:t>
      </w:r>
      <w:r>
        <w:rPr>
          <w:rFonts w:hint="eastAsia" w:ascii="仿宋" w:hAnsi="仿宋" w:eastAsia="仿宋" w:cs="仿宋"/>
          <w:lang w:eastAsia="zh-CN"/>
        </w:rPr>
        <w:t>资源量、石料</w:t>
      </w:r>
      <w:r>
        <w:rPr>
          <w:rFonts w:hint="eastAsia" w:ascii="仿宋" w:hAnsi="仿宋" w:eastAsia="仿宋" w:cs="仿宋"/>
        </w:rPr>
        <w:t>岩性和质量等的</w:t>
      </w:r>
      <w:r>
        <w:rPr>
          <w:rFonts w:hint="eastAsia" w:ascii="仿宋" w:hAnsi="仿宋" w:eastAsia="仿宋" w:cs="仿宋"/>
          <w:lang w:eastAsia="zh-CN"/>
        </w:rPr>
        <w:t>真实性和</w:t>
      </w:r>
      <w:r>
        <w:rPr>
          <w:rFonts w:hint="eastAsia" w:ascii="仿宋" w:hAnsi="仿宋" w:eastAsia="仿宋" w:cs="仿宋"/>
        </w:rPr>
        <w:t>准确性负责</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2、评估选取的合理利润率为当地建筑石料行业的平均合理利润率，影响合理利润率的因素较多（如受让人的技术能力、管理能力和销售能力等），故评估选取的合理利润率与工程实际利润率可能存在不一致</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3、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4、价格评估结论受结论书中已说明的限定条件限制</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5、委托方提供资料的真实性由委托方负责</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6、价格评估结论仅对本次委托有效，不作它用。未经我公司同意，不得向委托方和有关当事人之外的任何单位和个人提供结论书的全部或部分内容，不得发表于任何公开媒体上</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7、评估机构和评估人员与价格评估标的没有任何利害关系，也与有关当事人没有利害关系</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lang w:eastAsia="zh-CN"/>
        </w:rPr>
      </w:pPr>
      <w:r>
        <w:rPr>
          <w:rFonts w:hint="eastAsia" w:ascii="仿宋" w:hAnsi="仿宋" w:eastAsia="仿宋" w:cs="仿宋"/>
        </w:rPr>
        <w:t>8、价格结论的使用归委托方所有，我公司对价格结论有最终解释权</w:t>
      </w:r>
      <w:r>
        <w:rPr>
          <w:rFonts w:hint="eastAsia" w:ascii="仿宋" w:hAnsi="仿宋" w:eastAsia="仿宋" w:cs="仿宋"/>
          <w:lang w:eastAsia="zh-CN"/>
        </w:rPr>
        <w:t>；</w:t>
      </w:r>
    </w:p>
    <w:p>
      <w:pPr>
        <w:pageBreakBefore w:val="0"/>
        <w:widowControl w:val="0"/>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9、价格评估结论书只对盖章原件有效，复印件无法律效力。</w:t>
      </w:r>
    </w:p>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b/>
          <w:kern w:val="0"/>
          <w:sz w:val="28"/>
        </w:rPr>
      </w:pPr>
      <w:bookmarkStart w:id="30" w:name="_Toc20720"/>
      <w:r>
        <w:rPr>
          <w:rFonts w:hint="eastAsia" w:ascii="仿宋" w:hAnsi="仿宋" w:eastAsia="仿宋" w:cs="仿宋"/>
          <w:b/>
          <w:kern w:val="0"/>
          <w:sz w:val="28"/>
        </w:rPr>
        <w:t>十二、价格</w:t>
      </w:r>
      <w:r>
        <w:rPr>
          <w:rFonts w:hint="eastAsia" w:ascii="仿宋" w:hAnsi="仿宋" w:eastAsia="仿宋" w:cs="仿宋"/>
          <w:b/>
          <w:sz w:val="28"/>
          <w:szCs w:val="28"/>
        </w:rPr>
        <w:t>评估</w:t>
      </w:r>
      <w:r>
        <w:rPr>
          <w:rFonts w:hint="eastAsia" w:ascii="仿宋" w:hAnsi="仿宋" w:eastAsia="仿宋" w:cs="仿宋"/>
          <w:b/>
          <w:kern w:val="0"/>
          <w:sz w:val="28"/>
        </w:rPr>
        <w:t>作业日期</w:t>
      </w:r>
      <w:bookmarkEnd w:id="30"/>
    </w:p>
    <w:p>
      <w:pPr>
        <w:pageBreakBefore w:val="0"/>
        <w:widowControl w:val="0"/>
        <w:kinsoku/>
        <w:wordWrap/>
        <w:overflowPunct/>
        <w:topLinePunct w:val="0"/>
        <w:autoSpaceDE w:val="0"/>
        <w:autoSpaceDN w:val="0"/>
        <w:bidi w:val="0"/>
        <w:adjustRightInd w:val="0"/>
        <w:snapToGrid/>
        <w:spacing w:line="360" w:lineRule="auto"/>
        <w:ind w:firstLine="608" w:firstLineChars="200"/>
        <w:jc w:val="left"/>
        <w:textAlignment w:val="auto"/>
        <w:rPr>
          <w:rFonts w:hint="eastAsia" w:ascii="仿宋" w:hAnsi="仿宋" w:eastAsia="仿宋" w:cs="仿宋"/>
          <w:kern w:val="0"/>
          <w:sz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七</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五</w:t>
      </w:r>
      <w:r>
        <w:rPr>
          <w:rFonts w:hint="eastAsia" w:ascii="仿宋" w:hAnsi="仿宋" w:eastAsia="仿宋" w:cs="仿宋"/>
          <w:spacing w:val="12"/>
          <w:sz w:val="28"/>
          <w:szCs w:val="28"/>
        </w:rPr>
        <w:t>日</w:t>
      </w:r>
      <w:r>
        <w:rPr>
          <w:rFonts w:hint="eastAsia" w:ascii="仿宋" w:hAnsi="仿宋" w:eastAsia="仿宋" w:cs="仿宋"/>
          <w:kern w:val="0"/>
          <w:sz w:val="28"/>
        </w:rPr>
        <w:t>至二○二一年</w:t>
      </w:r>
      <w:r>
        <w:rPr>
          <w:rFonts w:hint="eastAsia" w:ascii="仿宋" w:hAnsi="仿宋" w:eastAsia="仿宋" w:cs="仿宋"/>
          <w:kern w:val="0"/>
          <w:sz w:val="28"/>
          <w:lang w:eastAsia="zh-CN"/>
        </w:rPr>
        <w:t>七</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七</w:t>
      </w:r>
      <w:r>
        <w:rPr>
          <w:rFonts w:hint="eastAsia" w:ascii="仿宋" w:hAnsi="仿宋" w:eastAsia="仿宋" w:cs="仿宋"/>
          <w:spacing w:val="1"/>
          <w:kern w:val="0"/>
          <w:sz w:val="28"/>
        </w:rPr>
        <w:t>日。</w:t>
      </w:r>
    </w:p>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b/>
          <w:kern w:val="0"/>
          <w:sz w:val="28"/>
        </w:rPr>
      </w:pPr>
      <w:bookmarkStart w:id="31" w:name="_Toc28821"/>
      <w:r>
        <w:rPr>
          <w:rFonts w:hint="eastAsia" w:ascii="仿宋" w:hAnsi="仿宋" w:eastAsia="仿宋" w:cs="仿宋"/>
          <w:b/>
          <w:kern w:val="0"/>
          <w:sz w:val="28"/>
        </w:rPr>
        <w:t>十三、价格评估机构</w:t>
      </w:r>
      <w:bookmarkEnd w:id="31"/>
    </w:p>
    <w:p>
      <w:pPr>
        <w:keepNext w:val="0"/>
        <w:keepLines w:val="0"/>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s="仿宋"/>
        </w:rPr>
      </w:pPr>
      <w:bookmarkStart w:id="32" w:name="_Toc7630"/>
      <w:r>
        <w:rPr>
          <w:rFonts w:hint="eastAsia" w:ascii="仿宋" w:hAnsi="仿宋" w:eastAsia="仿宋" w:cs="仿宋"/>
          <w:sz w:val="28"/>
          <w:szCs w:val="28"/>
        </w:rPr>
        <w:t>评估机构名称：浙江矿评房地产资产评估有限公司；</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2"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机构类别：综合涉诉讼类；</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2"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证书编号：中J110029；</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2"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总经理：郦  晟；</w:t>
      </w:r>
    </w:p>
    <w:p>
      <w:pPr>
        <w:keepNext w:val="0"/>
        <w:keepLines w:val="0"/>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联系电话：13805748746；</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2"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2"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keepNext w:val="0"/>
        <w:keepLines w:val="0"/>
        <w:pageBreakBefore w:val="0"/>
        <w:widowControl w:val="0"/>
        <w:kinsoku/>
        <w:wordWrap/>
        <w:overflowPunct/>
        <w:topLinePunct w:val="0"/>
        <w:bidi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b/>
          <w:kern w:val="0"/>
          <w:sz w:val="28"/>
        </w:rPr>
      </w:pPr>
      <w:r>
        <w:rPr>
          <w:rFonts w:hint="eastAsia" w:ascii="仿宋" w:hAnsi="仿宋" w:eastAsia="仿宋" w:cs="仿宋"/>
          <w:b/>
          <w:kern w:val="0"/>
          <w:sz w:val="28"/>
        </w:rPr>
        <w:t>十四、价格评估人员</w:t>
      </w:r>
      <w:bookmarkEnd w:id="32"/>
    </w:p>
    <w:p>
      <w:pPr>
        <w:keepNext w:val="0"/>
        <w:keepLines w:val="0"/>
        <w:pageBreakBefore w:val="0"/>
        <w:widowControl w:val="0"/>
        <w:kinsoku/>
        <w:wordWrap/>
        <w:overflowPunct/>
        <w:topLinePunct w:val="0"/>
        <w:autoSpaceDE/>
        <w:autoSpaceDN/>
        <w:bidi w:val="0"/>
        <w:adjustRightInd/>
        <w:snapToGrid/>
        <w:spacing w:line="360" w:lineRule="auto"/>
        <w:ind w:right="34" w:rightChars="12" w:firstLine="600" w:firstLineChars="200"/>
        <w:textAlignment w:val="auto"/>
        <w:rPr>
          <w:rFonts w:hint="eastAsia" w:ascii="仿宋" w:hAnsi="仿宋" w:eastAsia="仿宋" w:cs="仿宋"/>
          <w:spacing w:val="10"/>
          <w:sz w:val="28"/>
          <w:szCs w:val="28"/>
        </w:rPr>
      </w:pPr>
      <w:r>
        <w:rPr>
          <w:rFonts w:hint="eastAsia" w:ascii="仿宋" w:hAnsi="仿宋" w:eastAsia="仿宋" w:cs="仿宋"/>
          <w:spacing w:val="10"/>
          <w:sz w:val="28"/>
          <w:szCs w:val="28"/>
        </w:rPr>
        <w:t>姓名          执业资格名称         资格证号盖章</w:t>
      </w:r>
    </w:p>
    <w:p>
      <w:pPr>
        <w:pageBreakBefore w:val="0"/>
        <w:widowControl w:val="0"/>
        <w:kinsoku/>
        <w:wordWrap/>
        <w:overflowPunct/>
        <w:topLinePunct w:val="0"/>
        <w:bidi w:val="0"/>
        <w:snapToGrid/>
        <w:spacing w:line="360" w:lineRule="auto"/>
        <w:ind w:right="34" w:rightChars="12"/>
        <w:textAlignment w:val="auto"/>
        <w:rPr>
          <w:rFonts w:hint="eastAsia" w:ascii="仿宋" w:hAnsi="仿宋" w:eastAsia="仿宋" w:cs="仿宋"/>
          <w:spacing w:val="10"/>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right="0" w:rightChars="0" w:firstLine="600" w:firstLineChars="200"/>
        <w:textAlignment w:val="auto"/>
        <w:rPr>
          <w:rFonts w:hint="eastAsia" w:ascii="仿宋" w:hAnsi="仿宋" w:eastAsia="仿宋" w:cs="仿宋"/>
          <w:spacing w:val="10"/>
          <w:sz w:val="28"/>
          <w:szCs w:val="28"/>
        </w:rPr>
      </w:pPr>
      <w:r>
        <w:rPr>
          <w:rFonts w:hint="eastAsia" w:ascii="仿宋" w:hAnsi="仿宋" w:eastAsia="仿宋" w:cs="仿宋"/>
          <w:spacing w:val="10"/>
          <w:sz w:val="28"/>
          <w:szCs w:val="28"/>
        </w:rPr>
        <w:t xml:space="preserve">刘彦军    </w:t>
      </w:r>
      <w:r>
        <w:rPr>
          <w:rFonts w:hint="eastAsia" w:ascii="仿宋" w:hAnsi="仿宋" w:eastAsia="仿宋" w:cs="仿宋"/>
          <w:spacing w:val="10"/>
          <w:sz w:val="28"/>
          <w:szCs w:val="28"/>
          <w:lang w:val="en-US" w:eastAsia="zh-CN"/>
        </w:rPr>
        <w:t xml:space="preserve">    </w:t>
      </w:r>
      <w:r>
        <w:rPr>
          <w:rFonts w:hint="eastAsia" w:ascii="仿宋" w:hAnsi="仿宋" w:eastAsia="仿宋" w:cs="仿宋"/>
          <w:spacing w:val="10"/>
          <w:sz w:val="28"/>
          <w:szCs w:val="28"/>
        </w:rPr>
        <w:t xml:space="preserve"> 价格鉴证师     </w:t>
      </w:r>
      <w:r>
        <w:rPr>
          <w:rFonts w:hint="eastAsia" w:ascii="仿宋" w:hAnsi="仿宋" w:eastAsia="仿宋" w:cs="仿宋"/>
          <w:spacing w:val="10"/>
          <w:sz w:val="28"/>
          <w:szCs w:val="28"/>
          <w:lang w:val="en-US" w:eastAsia="zh-CN"/>
        </w:rPr>
        <w:t xml:space="preserve">    </w:t>
      </w:r>
      <w:r>
        <w:rPr>
          <w:rFonts w:hint="eastAsia" w:ascii="仿宋" w:hAnsi="仿宋" w:eastAsia="仿宋" w:cs="仿宋"/>
          <w:spacing w:val="10"/>
          <w:sz w:val="28"/>
          <w:szCs w:val="28"/>
        </w:rPr>
        <w:t xml:space="preserve">   0014243</w:t>
      </w:r>
    </w:p>
    <w:p>
      <w:pPr>
        <w:pageBreakBefore w:val="0"/>
        <w:widowControl w:val="0"/>
        <w:kinsoku/>
        <w:wordWrap/>
        <w:overflowPunct/>
        <w:topLinePunct w:val="0"/>
        <w:bidi w:val="0"/>
        <w:snapToGrid/>
        <w:spacing w:line="360" w:lineRule="auto"/>
        <w:ind w:right="1459" w:rightChars="521"/>
        <w:textAlignment w:val="auto"/>
        <w:rPr>
          <w:rFonts w:hint="eastAsia" w:ascii="仿宋" w:hAnsi="仿宋" w:eastAsia="仿宋" w:cs="仿宋"/>
          <w:spacing w:val="10"/>
          <w:sz w:val="28"/>
          <w:szCs w:val="28"/>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00" w:firstLineChars="200"/>
        <w:jc w:val="left"/>
        <w:textAlignment w:val="auto"/>
        <w:rPr>
          <w:rFonts w:hint="eastAsia" w:ascii="仿宋" w:hAnsi="仿宋" w:eastAsia="仿宋" w:cs="仿宋"/>
          <w:spacing w:val="10"/>
          <w:sz w:val="28"/>
          <w:szCs w:val="28"/>
        </w:rPr>
      </w:pPr>
      <w:r>
        <w:rPr>
          <w:rFonts w:hint="eastAsia" w:ascii="仿宋" w:hAnsi="仿宋" w:eastAsia="仿宋" w:cs="仿宋"/>
          <w:spacing w:val="10"/>
          <w:sz w:val="28"/>
          <w:szCs w:val="28"/>
        </w:rPr>
        <w:t xml:space="preserve">王秀英         价格鉴证师            0012387 </w:t>
      </w:r>
    </w:p>
    <w:p>
      <w:pPr>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仿宋" w:hAnsi="仿宋" w:eastAsia="仿宋" w:cs="仿宋"/>
          <w:b/>
          <w:sz w:val="28"/>
        </w:rPr>
      </w:pPr>
    </w:p>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kern w:val="0"/>
          <w:sz w:val="28"/>
          <w:szCs w:val="28"/>
        </w:rPr>
      </w:pPr>
      <w:bookmarkStart w:id="33" w:name="_Toc12568"/>
      <w:r>
        <w:rPr>
          <w:rFonts w:hint="eastAsia" w:ascii="仿宋" w:hAnsi="仿宋" w:eastAsia="仿宋" w:cs="仿宋"/>
          <w:b/>
          <w:sz w:val="28"/>
          <w:szCs w:val="28"/>
        </w:rPr>
        <w:t>十五、</w:t>
      </w:r>
      <w:r>
        <w:rPr>
          <w:rFonts w:hint="eastAsia" w:ascii="仿宋" w:hAnsi="仿宋" w:eastAsia="仿宋" w:cs="仿宋"/>
          <w:b/>
          <w:kern w:val="0"/>
          <w:sz w:val="28"/>
        </w:rPr>
        <w:t>价格</w:t>
      </w:r>
      <w:r>
        <w:rPr>
          <w:rFonts w:hint="eastAsia" w:ascii="仿宋" w:hAnsi="仿宋" w:eastAsia="仿宋" w:cs="仿宋"/>
          <w:b/>
          <w:sz w:val="28"/>
          <w:szCs w:val="28"/>
        </w:rPr>
        <w:t>评估</w:t>
      </w:r>
      <w:r>
        <w:rPr>
          <w:rFonts w:hint="eastAsia" w:ascii="仿宋" w:hAnsi="仿宋" w:eastAsia="仿宋" w:cs="仿宋"/>
          <w:b/>
          <w:kern w:val="0"/>
          <w:sz w:val="28"/>
        </w:rPr>
        <w:t>结</w:t>
      </w:r>
      <w:r>
        <w:rPr>
          <w:rFonts w:hint="eastAsia" w:ascii="仿宋" w:hAnsi="仿宋" w:eastAsia="仿宋" w:cs="仿宋"/>
          <w:b/>
          <w:sz w:val="28"/>
          <w:szCs w:val="28"/>
        </w:rPr>
        <w:t>论书有效期</w:t>
      </w:r>
      <w:bookmarkEnd w:id="33"/>
    </w:p>
    <w:p>
      <w:pPr>
        <w:pageBreakBefore w:val="0"/>
        <w:widowControl w:val="0"/>
        <w:kinsoku/>
        <w:wordWrap/>
        <w:overflowPunct/>
        <w:topLinePunct w:val="0"/>
        <w:autoSpaceDE w:val="0"/>
        <w:autoSpaceDN w:val="0"/>
        <w:bidi w:val="0"/>
        <w:adjustRightInd w:val="0"/>
        <w:snapToGrid/>
        <w:spacing w:line="360" w:lineRule="auto"/>
        <w:ind w:right="-445" w:rightChars="-159" w:firstLine="358" w:firstLineChars="128"/>
        <w:jc w:val="left"/>
        <w:textAlignment w:val="auto"/>
        <w:rPr>
          <w:rFonts w:hint="eastAsia"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二○二一</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七</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七</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rPr>
        <w:t>二</w:t>
      </w:r>
      <w:r>
        <w:rPr>
          <w:rFonts w:hint="eastAsia" w:ascii="仿宋" w:hAnsi="仿宋" w:eastAsia="仿宋" w:cs="仿宋"/>
          <w:kern w:val="0"/>
          <w:sz w:val="28"/>
          <w:szCs w:val="28"/>
        </w:rPr>
        <w:t>年</w:t>
      </w:r>
      <w:r>
        <w:rPr>
          <w:rFonts w:hint="eastAsia" w:ascii="仿宋" w:hAnsi="仿宋" w:eastAsia="仿宋" w:cs="仿宋"/>
          <w:kern w:val="0"/>
          <w:sz w:val="28"/>
          <w:szCs w:val="28"/>
          <w:lang w:eastAsia="zh-CN"/>
        </w:rPr>
        <w:t>七</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六</w:t>
      </w:r>
      <w:r>
        <w:rPr>
          <w:rFonts w:hint="eastAsia" w:ascii="仿宋" w:hAnsi="仿宋" w:eastAsia="仿宋" w:cs="仿宋"/>
          <w:kern w:val="0"/>
          <w:sz w:val="28"/>
          <w:szCs w:val="28"/>
        </w:rPr>
        <w:t>日。</w:t>
      </w:r>
    </w:p>
    <w:p>
      <w:pPr>
        <w:pStyle w:val="3"/>
        <w:pageBreakBefore w:val="0"/>
        <w:widowControl w:val="0"/>
        <w:kinsoku/>
        <w:wordWrap/>
        <w:overflowPunct/>
        <w:topLinePunct w:val="0"/>
        <w:bidi w:val="0"/>
        <w:snapToGrid/>
        <w:ind w:left="0" w:leftChars="0" w:firstLine="0" w:firstLineChars="0"/>
        <w:textAlignment w:val="auto"/>
        <w:rPr>
          <w:rFonts w:hint="eastAsia" w:ascii="仿宋" w:hAnsi="仿宋" w:eastAsia="仿宋" w:cs="仿宋"/>
          <w:b/>
          <w:sz w:val="28"/>
        </w:rPr>
      </w:pPr>
      <w:bookmarkStart w:id="34" w:name="_Toc10252"/>
      <w:r>
        <w:rPr>
          <w:rFonts w:hint="eastAsia" w:ascii="仿宋" w:hAnsi="仿宋" w:eastAsia="仿宋" w:cs="仿宋"/>
          <w:b/>
          <w:sz w:val="28"/>
        </w:rPr>
        <w:t>十六、</w:t>
      </w:r>
      <w:r>
        <w:rPr>
          <w:rFonts w:hint="eastAsia" w:ascii="仿宋" w:hAnsi="仿宋" w:eastAsia="仿宋" w:cs="仿宋"/>
          <w:b/>
          <w:kern w:val="0"/>
          <w:sz w:val="28"/>
        </w:rPr>
        <w:t>附件</w:t>
      </w:r>
      <w:r>
        <w:rPr>
          <w:rFonts w:hint="eastAsia" w:ascii="仿宋" w:hAnsi="仿宋" w:eastAsia="仿宋" w:cs="仿宋"/>
          <w:b/>
          <w:sz w:val="28"/>
        </w:rPr>
        <w:t>资料</w:t>
      </w:r>
      <w:bookmarkEnd w:id="34"/>
    </w:p>
    <w:p>
      <w:pPr>
        <w:pageBreakBefore w:val="0"/>
        <w:widowControl w:val="0"/>
        <w:numPr>
          <w:ilvl w:val="0"/>
          <w:numId w:val="3"/>
        </w:numPr>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《评估委托书及承诺函》</w:t>
      </w:r>
      <w:r>
        <w:rPr>
          <w:rFonts w:hint="eastAsia" w:ascii="仿宋" w:hAnsi="仿宋" w:eastAsia="仿宋" w:cs="仿宋"/>
          <w:lang w:eastAsia="zh-CN"/>
        </w:rPr>
        <w:t>；</w:t>
      </w:r>
    </w:p>
    <w:p>
      <w:pPr>
        <w:pageBreakBefore w:val="0"/>
        <w:widowControl w:val="0"/>
        <w:numPr>
          <w:ilvl w:val="0"/>
          <w:numId w:val="3"/>
        </w:numPr>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《义乌市大陈镇</w:t>
      </w:r>
      <w:r>
        <w:rPr>
          <w:rFonts w:hint="eastAsia" w:ascii="仿宋" w:hAnsi="仿宋" w:eastAsia="仿宋" w:cs="仿宋"/>
          <w:lang w:val="en-US" w:eastAsia="zh-CN"/>
        </w:rPr>
        <w:t>楂林菜市场周边配套工程及边坡治理弃渣估算报告》（浙江地勘矿业技术有限公司，2021年07月）</w:t>
      </w:r>
      <w:r>
        <w:rPr>
          <w:rFonts w:hint="eastAsia" w:ascii="仿宋" w:hAnsi="仿宋" w:eastAsia="仿宋" w:cs="仿宋"/>
          <w:lang w:eastAsia="zh-CN"/>
        </w:rPr>
        <w:t>；</w:t>
      </w:r>
    </w:p>
    <w:p>
      <w:pPr>
        <w:pageBreakBefore w:val="0"/>
        <w:widowControl w:val="0"/>
        <w:numPr>
          <w:ilvl w:val="0"/>
          <w:numId w:val="3"/>
        </w:numPr>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《浙江交通建设工程质监与造价》（2020年第</w:t>
      </w:r>
      <w:r>
        <w:rPr>
          <w:rFonts w:hint="eastAsia" w:ascii="仿宋" w:hAnsi="仿宋" w:eastAsia="仿宋" w:cs="仿宋"/>
          <w:lang w:val="en-US" w:eastAsia="zh-CN"/>
        </w:rPr>
        <w:t>六</w:t>
      </w:r>
      <w:r>
        <w:rPr>
          <w:rFonts w:hint="eastAsia" w:ascii="仿宋" w:hAnsi="仿宋" w:eastAsia="仿宋" w:cs="仿宋"/>
        </w:rPr>
        <w:t>期～2021年第</w:t>
      </w:r>
      <w:r>
        <w:rPr>
          <w:rFonts w:hint="eastAsia" w:ascii="仿宋" w:hAnsi="仿宋" w:eastAsia="仿宋" w:cs="仿宋"/>
          <w:lang w:val="en-US" w:eastAsia="zh-CN"/>
        </w:rPr>
        <w:t>五</w:t>
      </w:r>
      <w:r>
        <w:rPr>
          <w:rFonts w:hint="eastAsia" w:ascii="仿宋" w:hAnsi="仿宋" w:eastAsia="仿宋" w:cs="仿宋"/>
        </w:rPr>
        <w:t>期）</w:t>
      </w:r>
      <w:r>
        <w:rPr>
          <w:rFonts w:hint="eastAsia" w:ascii="仿宋" w:hAnsi="仿宋" w:eastAsia="仿宋" w:cs="仿宋"/>
          <w:lang w:eastAsia="zh-CN"/>
        </w:rPr>
        <w:t>；</w:t>
      </w:r>
    </w:p>
    <w:p>
      <w:pPr>
        <w:pageBreakBefore w:val="0"/>
        <w:widowControl w:val="0"/>
        <w:numPr>
          <w:ilvl w:val="0"/>
          <w:numId w:val="3"/>
        </w:numPr>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现场实地勘查时点照片</w:t>
      </w:r>
      <w:r>
        <w:rPr>
          <w:rFonts w:hint="eastAsia" w:ascii="仿宋" w:hAnsi="仿宋" w:eastAsia="仿宋" w:cs="仿宋"/>
          <w:lang w:eastAsia="zh-CN"/>
        </w:rPr>
        <w:t>；</w:t>
      </w:r>
    </w:p>
    <w:p>
      <w:pPr>
        <w:pageBreakBefore w:val="0"/>
        <w:widowControl w:val="0"/>
        <w:numPr>
          <w:ilvl w:val="0"/>
          <w:numId w:val="3"/>
        </w:numPr>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价格评估机构《营业执照》复印件</w:t>
      </w:r>
      <w:r>
        <w:rPr>
          <w:rFonts w:hint="eastAsia" w:ascii="仿宋" w:hAnsi="仿宋" w:eastAsia="仿宋" w:cs="仿宋"/>
          <w:lang w:eastAsia="zh-CN"/>
        </w:rPr>
        <w:t>；</w:t>
      </w:r>
    </w:p>
    <w:p>
      <w:pPr>
        <w:pageBreakBefore w:val="0"/>
        <w:widowControl w:val="0"/>
        <w:numPr>
          <w:ilvl w:val="0"/>
          <w:numId w:val="3"/>
        </w:numPr>
        <w:kinsoku/>
        <w:wordWrap/>
        <w:overflowPunct/>
        <w:topLinePunct w:val="0"/>
        <w:bidi w:val="0"/>
        <w:snapToGrid/>
        <w:textAlignment w:val="auto"/>
        <w:rPr>
          <w:rFonts w:hint="eastAsia" w:ascii="仿宋" w:hAnsi="仿宋" w:eastAsia="仿宋" w:cs="仿宋"/>
        </w:rPr>
      </w:pPr>
      <w:r>
        <w:rPr>
          <w:rFonts w:hint="eastAsia" w:ascii="仿宋" w:hAnsi="仿宋" w:eastAsia="仿宋" w:cs="仿宋"/>
        </w:rPr>
        <w:t>《价格评估机构资质证书》复印件</w:t>
      </w:r>
      <w:r>
        <w:rPr>
          <w:rFonts w:hint="eastAsia" w:ascii="仿宋" w:hAnsi="仿宋" w:eastAsia="仿宋" w:cs="仿宋"/>
          <w:lang w:eastAsia="zh-CN"/>
        </w:rPr>
        <w:t>；</w:t>
      </w:r>
    </w:p>
    <w:p>
      <w:pPr>
        <w:pageBreakBefore w:val="0"/>
        <w:widowControl w:val="0"/>
        <w:numPr>
          <w:ilvl w:val="0"/>
          <w:numId w:val="3"/>
        </w:numPr>
        <w:kinsoku/>
        <w:wordWrap/>
        <w:overflowPunct/>
        <w:topLinePunct w:val="0"/>
        <w:bidi w:val="0"/>
        <w:snapToGrid/>
        <w:spacing w:line="360" w:lineRule="auto"/>
        <w:textAlignment w:val="auto"/>
        <w:rPr>
          <w:rFonts w:hint="eastAsia" w:ascii="仿宋" w:hAnsi="仿宋" w:eastAsia="仿宋" w:cs="仿宋"/>
          <w:sz w:val="28"/>
        </w:rPr>
      </w:pPr>
      <w:r>
        <w:rPr>
          <w:rFonts w:hint="eastAsia" w:ascii="仿宋" w:hAnsi="仿宋" w:eastAsia="仿宋" w:cs="仿宋"/>
          <w:sz w:val="28"/>
        </w:rPr>
        <w:t>《价格评估人员执业资格证书》复印件。</w:t>
      </w:r>
    </w:p>
    <w:p>
      <w:pPr>
        <w:pageBreakBefore w:val="0"/>
        <w:widowControl w:val="0"/>
        <w:kinsoku/>
        <w:wordWrap/>
        <w:overflowPunct/>
        <w:topLinePunct w:val="0"/>
        <w:bidi w:val="0"/>
        <w:snapToGrid/>
        <w:spacing w:line="360" w:lineRule="auto"/>
        <w:jc w:val="right"/>
        <w:textAlignment w:val="auto"/>
        <w:rPr>
          <w:rFonts w:hint="eastAsia" w:ascii="仿宋" w:hAnsi="仿宋" w:eastAsia="仿宋" w:cs="仿宋"/>
          <w:sz w:val="28"/>
          <w:szCs w:val="28"/>
        </w:rPr>
      </w:pPr>
    </w:p>
    <w:p>
      <w:pPr>
        <w:pageBreakBefore w:val="0"/>
        <w:widowControl w:val="0"/>
        <w:kinsoku/>
        <w:wordWrap/>
        <w:overflowPunct/>
        <w:topLinePunct w:val="0"/>
        <w:bidi w:val="0"/>
        <w:snapToGrid/>
        <w:spacing w:line="360" w:lineRule="auto"/>
        <w:jc w:val="right"/>
        <w:textAlignment w:val="auto"/>
        <w:rPr>
          <w:rFonts w:hint="eastAsia" w:ascii="仿宋" w:hAnsi="仿宋" w:eastAsia="仿宋" w:cs="仿宋"/>
          <w:sz w:val="28"/>
          <w:szCs w:val="28"/>
        </w:rPr>
      </w:pPr>
      <w:r>
        <w:rPr>
          <w:rFonts w:hint="eastAsia" w:ascii="仿宋" w:hAnsi="仿宋" w:eastAsia="仿宋" w:cs="仿宋"/>
          <w:sz w:val="28"/>
          <w:szCs w:val="28"/>
        </w:rPr>
        <w:t>浙江矿评房地产资产评估有限公司</w:t>
      </w:r>
    </w:p>
    <w:p>
      <w:pPr>
        <w:pageBreakBefore w:val="0"/>
        <w:widowControl w:val="0"/>
        <w:kinsoku/>
        <w:wordWrap/>
        <w:overflowPunct/>
        <w:topLinePunct w:val="0"/>
        <w:bidi w:val="0"/>
        <w:snapToGrid/>
        <w:spacing w:line="360" w:lineRule="auto"/>
        <w:jc w:val="right"/>
        <w:textAlignment w:val="auto"/>
        <w:rPr>
          <w:rFonts w:hint="eastAsia" w:ascii="仿宋" w:hAnsi="仿宋" w:eastAsia="仿宋" w:cs="仿宋"/>
          <w:sz w:val="28"/>
          <w:szCs w:val="28"/>
        </w:rPr>
      </w:pPr>
      <w:r>
        <w:rPr>
          <w:rFonts w:hint="eastAsia" w:ascii="仿宋" w:hAnsi="仿宋" w:eastAsia="仿宋" w:cs="仿宋"/>
          <w:sz w:val="28"/>
          <w:szCs w:val="28"/>
        </w:rPr>
        <w:t>二</w:t>
      </w:r>
      <w:r>
        <w:rPr>
          <w:rFonts w:hint="eastAsia" w:ascii="仿宋" w:hAnsi="仿宋" w:eastAsia="仿宋" w:cs="仿宋"/>
          <w:color w:val="000000" w:themeColor="text1"/>
          <w:spacing w:val="12"/>
          <w:sz w:val="28"/>
          <w:szCs w:val="28"/>
        </w:rPr>
        <w:t>〇</w:t>
      </w:r>
      <w:r>
        <w:rPr>
          <w:rFonts w:hint="eastAsia" w:ascii="仿宋" w:hAnsi="仿宋" w:eastAsia="仿宋" w:cs="仿宋"/>
          <w:sz w:val="28"/>
          <w:szCs w:val="28"/>
        </w:rPr>
        <w:t>二一年</w:t>
      </w:r>
      <w:r>
        <w:rPr>
          <w:rFonts w:hint="eastAsia" w:ascii="仿宋" w:hAnsi="仿宋" w:eastAsia="仿宋" w:cs="仿宋"/>
          <w:sz w:val="28"/>
          <w:szCs w:val="28"/>
          <w:lang w:eastAsia="zh-CN"/>
        </w:rPr>
        <w:t>七</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七</w:t>
      </w:r>
      <w:r>
        <w:rPr>
          <w:rFonts w:hint="eastAsia" w:ascii="仿宋" w:hAnsi="仿宋" w:eastAsia="仿宋" w:cs="仿宋"/>
          <w:spacing w:val="1"/>
          <w:kern w:val="0"/>
          <w:sz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0" w:leftChars="0" w:firstLine="0" w:firstLineChars="0"/>
      <w:rPr>
        <w:rFonts w:ascii="仿宋" w:hAnsi="仿宋" w:eastAsia="仿宋" w:cs="仿宋"/>
        <w:sz w:val="21"/>
        <w:szCs w:val="21"/>
      </w:rPr>
    </w:pPr>
    <w:r>
      <w:rPr>
        <w:sz w:val="21"/>
        <w:szCs w:val="21"/>
      </w:rPr>
      <w:pict>
        <v:shape id="_x0000_s3076" o:spid="_x0000_s3076" o:spt="202" type="#_x0000_t202" style="position:absolute;left:0pt;margin-left:170.9pt;margin-top:-1.5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6"/>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21</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21</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w:r>
    <w:r>
      <w:rPr>
        <w:rFonts w:hint="eastAsia" w:ascii="仿宋" w:hAnsi="仿宋" w:eastAsia="仿宋" w:cs="仿宋"/>
        <w:sz w:val="21"/>
        <w:szCs w:val="21"/>
      </w:rPr>
      <w:t>电话：（0571）87154615                                  传真：（0571）87151415</w:t>
    </w:r>
  </w:p>
  <w:p>
    <w:pPr>
      <w:pStyle w:val="16"/>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left="0" w:leftChars="0" w:firstLine="0" w:firstLineChars="0"/>
      <w:jc w:val="both"/>
      <w:rPr>
        <w:rFonts w:ascii="仿宋_GB2312" w:eastAsia="仿宋_GB2312"/>
        <w:color w:val="000000" w:themeColor="text1"/>
      </w:rPr>
    </w:pPr>
    <w:r>
      <w:rPr>
        <w:rFonts w:hint="eastAsia" w:ascii="仿宋_GB2312" w:hAnsi="宋体" w:eastAsia="仿宋_GB2312"/>
        <w:color w:val="000000" w:themeColor="text1"/>
        <w:sz w:val="21"/>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19D089"/>
    <w:multiLevelType w:val="singleLevel"/>
    <w:tmpl w:val="FF19D089"/>
    <w:lvl w:ilvl="0" w:tentative="0">
      <w:start w:val="4"/>
      <w:numFmt w:val="decimal"/>
      <w:suff w:val="nothing"/>
      <w:lvlText w:val="%1、"/>
      <w:lvlJc w:val="left"/>
    </w:lvl>
  </w:abstractNum>
  <w:abstractNum w:abstractNumId="1">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2">
    <w:nsid w:val="0000000D"/>
    <w:multiLevelType w:val="singleLevel"/>
    <w:tmpl w:val="0000000D"/>
    <w:lvl w:ilvl="0" w:tentative="0">
      <w:start w:val="1"/>
      <w:numFmt w:val="decimal"/>
      <w:suff w:val="nothing"/>
      <w:lvlText w:val="%1、"/>
      <w:lvlJc w:val="left"/>
      <w:rPr>
        <w:rFonts w:cs="Times New Roman"/>
        <w:sz w:val="28"/>
        <w:szCs w:val="28"/>
      </w:rPr>
    </w:lvl>
  </w:abstractNum>
  <w:num w:numId="1">
    <w:abstractNumId w:val="0"/>
  </w:num>
  <w:num w:numId="2">
    <w:abstractNumId w:val="2"/>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4EB0"/>
    <w:rsid w:val="00066FF0"/>
    <w:rsid w:val="0007330C"/>
    <w:rsid w:val="00073421"/>
    <w:rsid w:val="000738F3"/>
    <w:rsid w:val="0007619A"/>
    <w:rsid w:val="000761A7"/>
    <w:rsid w:val="00076937"/>
    <w:rsid w:val="0007798B"/>
    <w:rsid w:val="00077BFA"/>
    <w:rsid w:val="000811AF"/>
    <w:rsid w:val="00082324"/>
    <w:rsid w:val="0008331D"/>
    <w:rsid w:val="000837C0"/>
    <w:rsid w:val="00084310"/>
    <w:rsid w:val="00085216"/>
    <w:rsid w:val="000855CB"/>
    <w:rsid w:val="0008580D"/>
    <w:rsid w:val="00085908"/>
    <w:rsid w:val="0009029D"/>
    <w:rsid w:val="00091754"/>
    <w:rsid w:val="0009207D"/>
    <w:rsid w:val="000927C0"/>
    <w:rsid w:val="000979AF"/>
    <w:rsid w:val="000A0854"/>
    <w:rsid w:val="000A0D5A"/>
    <w:rsid w:val="000A4B0B"/>
    <w:rsid w:val="000B1687"/>
    <w:rsid w:val="000B2F8C"/>
    <w:rsid w:val="000B3920"/>
    <w:rsid w:val="000B3BC3"/>
    <w:rsid w:val="000B69F8"/>
    <w:rsid w:val="000C5565"/>
    <w:rsid w:val="000D058B"/>
    <w:rsid w:val="000D6270"/>
    <w:rsid w:val="000D6D39"/>
    <w:rsid w:val="000E00C2"/>
    <w:rsid w:val="000E2320"/>
    <w:rsid w:val="000E76D3"/>
    <w:rsid w:val="000F0580"/>
    <w:rsid w:val="000F20E9"/>
    <w:rsid w:val="000F2401"/>
    <w:rsid w:val="00114BD2"/>
    <w:rsid w:val="00115CBF"/>
    <w:rsid w:val="0012502E"/>
    <w:rsid w:val="0012737D"/>
    <w:rsid w:val="00127EA9"/>
    <w:rsid w:val="00130402"/>
    <w:rsid w:val="00131D68"/>
    <w:rsid w:val="001357C0"/>
    <w:rsid w:val="0014075F"/>
    <w:rsid w:val="00142257"/>
    <w:rsid w:val="00143F05"/>
    <w:rsid w:val="0014798A"/>
    <w:rsid w:val="00150221"/>
    <w:rsid w:val="001523CB"/>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573D"/>
    <w:rsid w:val="00185D1E"/>
    <w:rsid w:val="001904FE"/>
    <w:rsid w:val="00191FF3"/>
    <w:rsid w:val="00194DC5"/>
    <w:rsid w:val="001957B0"/>
    <w:rsid w:val="001A0020"/>
    <w:rsid w:val="001A29AD"/>
    <w:rsid w:val="001A5428"/>
    <w:rsid w:val="001A75D4"/>
    <w:rsid w:val="001B3400"/>
    <w:rsid w:val="001B6354"/>
    <w:rsid w:val="001C07C6"/>
    <w:rsid w:val="001C5C6F"/>
    <w:rsid w:val="001D1A68"/>
    <w:rsid w:val="001D2F27"/>
    <w:rsid w:val="001D7883"/>
    <w:rsid w:val="001D7B39"/>
    <w:rsid w:val="001E2986"/>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A2387"/>
    <w:rsid w:val="002B23E5"/>
    <w:rsid w:val="002B41BE"/>
    <w:rsid w:val="002B5CDA"/>
    <w:rsid w:val="002B60B7"/>
    <w:rsid w:val="002B6D85"/>
    <w:rsid w:val="002B7470"/>
    <w:rsid w:val="002C3C37"/>
    <w:rsid w:val="002C4FE5"/>
    <w:rsid w:val="002C5594"/>
    <w:rsid w:val="002D246A"/>
    <w:rsid w:val="002D37A9"/>
    <w:rsid w:val="002E0ACD"/>
    <w:rsid w:val="002E3A75"/>
    <w:rsid w:val="002E3FCD"/>
    <w:rsid w:val="002E524A"/>
    <w:rsid w:val="002E64FE"/>
    <w:rsid w:val="002E7807"/>
    <w:rsid w:val="002F0076"/>
    <w:rsid w:val="002F53A5"/>
    <w:rsid w:val="002F6362"/>
    <w:rsid w:val="002F6DE6"/>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72C4F"/>
    <w:rsid w:val="00385A1A"/>
    <w:rsid w:val="00386773"/>
    <w:rsid w:val="00387E2B"/>
    <w:rsid w:val="00396E86"/>
    <w:rsid w:val="003A18DE"/>
    <w:rsid w:val="003A2ADE"/>
    <w:rsid w:val="003B0F7B"/>
    <w:rsid w:val="003B1B82"/>
    <w:rsid w:val="003B33E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43A0"/>
    <w:rsid w:val="0043542D"/>
    <w:rsid w:val="004377B0"/>
    <w:rsid w:val="00437DF5"/>
    <w:rsid w:val="00444097"/>
    <w:rsid w:val="00450343"/>
    <w:rsid w:val="00455918"/>
    <w:rsid w:val="00456898"/>
    <w:rsid w:val="00462D6F"/>
    <w:rsid w:val="00463077"/>
    <w:rsid w:val="00464876"/>
    <w:rsid w:val="004649AF"/>
    <w:rsid w:val="00465992"/>
    <w:rsid w:val="00466488"/>
    <w:rsid w:val="004726A2"/>
    <w:rsid w:val="00474BF5"/>
    <w:rsid w:val="00477BE2"/>
    <w:rsid w:val="00480056"/>
    <w:rsid w:val="00480184"/>
    <w:rsid w:val="00484B82"/>
    <w:rsid w:val="00485400"/>
    <w:rsid w:val="00485C9D"/>
    <w:rsid w:val="00492C3E"/>
    <w:rsid w:val="00494DDB"/>
    <w:rsid w:val="00495087"/>
    <w:rsid w:val="00496692"/>
    <w:rsid w:val="004A0492"/>
    <w:rsid w:val="004A099D"/>
    <w:rsid w:val="004A0FDE"/>
    <w:rsid w:val="004A355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C8F"/>
    <w:rsid w:val="004E3790"/>
    <w:rsid w:val="004E3D30"/>
    <w:rsid w:val="004E50EE"/>
    <w:rsid w:val="004E5B7A"/>
    <w:rsid w:val="004F47BA"/>
    <w:rsid w:val="004F4C0D"/>
    <w:rsid w:val="00503DC1"/>
    <w:rsid w:val="00506043"/>
    <w:rsid w:val="00510161"/>
    <w:rsid w:val="00510B2D"/>
    <w:rsid w:val="00520782"/>
    <w:rsid w:val="005226BA"/>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AAA"/>
    <w:rsid w:val="005B396E"/>
    <w:rsid w:val="005B4469"/>
    <w:rsid w:val="005B4DCF"/>
    <w:rsid w:val="005C03E8"/>
    <w:rsid w:val="005C0A07"/>
    <w:rsid w:val="005C167D"/>
    <w:rsid w:val="005C4431"/>
    <w:rsid w:val="005C6801"/>
    <w:rsid w:val="005D33F3"/>
    <w:rsid w:val="005D4BF6"/>
    <w:rsid w:val="005E0DDB"/>
    <w:rsid w:val="005E1646"/>
    <w:rsid w:val="005E18C2"/>
    <w:rsid w:val="005E300D"/>
    <w:rsid w:val="005E3932"/>
    <w:rsid w:val="005E4A51"/>
    <w:rsid w:val="005F103C"/>
    <w:rsid w:val="005F11F0"/>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2610"/>
    <w:rsid w:val="006330DB"/>
    <w:rsid w:val="006344EB"/>
    <w:rsid w:val="00641D64"/>
    <w:rsid w:val="006471BE"/>
    <w:rsid w:val="00650556"/>
    <w:rsid w:val="00651A2C"/>
    <w:rsid w:val="00652772"/>
    <w:rsid w:val="00652A80"/>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60499"/>
    <w:rsid w:val="00763438"/>
    <w:rsid w:val="00766399"/>
    <w:rsid w:val="0077316C"/>
    <w:rsid w:val="0078070D"/>
    <w:rsid w:val="00781EA1"/>
    <w:rsid w:val="00784482"/>
    <w:rsid w:val="007863C3"/>
    <w:rsid w:val="00786627"/>
    <w:rsid w:val="007912BA"/>
    <w:rsid w:val="007962B6"/>
    <w:rsid w:val="007A5D69"/>
    <w:rsid w:val="007B111E"/>
    <w:rsid w:val="007B2987"/>
    <w:rsid w:val="007B29D0"/>
    <w:rsid w:val="007B4B75"/>
    <w:rsid w:val="007C172B"/>
    <w:rsid w:val="007C3D8B"/>
    <w:rsid w:val="007C5045"/>
    <w:rsid w:val="007C5CCA"/>
    <w:rsid w:val="007C5FAD"/>
    <w:rsid w:val="007D1B2E"/>
    <w:rsid w:val="007D1C78"/>
    <w:rsid w:val="007D259A"/>
    <w:rsid w:val="007D3432"/>
    <w:rsid w:val="007D50F0"/>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1EB6"/>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6E8E"/>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17E3"/>
    <w:rsid w:val="00922AD0"/>
    <w:rsid w:val="00924952"/>
    <w:rsid w:val="00924A47"/>
    <w:rsid w:val="0092538B"/>
    <w:rsid w:val="00926443"/>
    <w:rsid w:val="00926F40"/>
    <w:rsid w:val="0093248A"/>
    <w:rsid w:val="00933A06"/>
    <w:rsid w:val="00936DD4"/>
    <w:rsid w:val="009379D0"/>
    <w:rsid w:val="009405AA"/>
    <w:rsid w:val="00942B93"/>
    <w:rsid w:val="0094602F"/>
    <w:rsid w:val="00951362"/>
    <w:rsid w:val="00952C1D"/>
    <w:rsid w:val="0095445F"/>
    <w:rsid w:val="00956441"/>
    <w:rsid w:val="009605DB"/>
    <w:rsid w:val="00960AF4"/>
    <w:rsid w:val="009650F3"/>
    <w:rsid w:val="0096735C"/>
    <w:rsid w:val="00972798"/>
    <w:rsid w:val="009739A8"/>
    <w:rsid w:val="00974313"/>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285C"/>
    <w:rsid w:val="009C30D2"/>
    <w:rsid w:val="009C35AC"/>
    <w:rsid w:val="009C3C2E"/>
    <w:rsid w:val="009C4F11"/>
    <w:rsid w:val="009C516D"/>
    <w:rsid w:val="009C55A7"/>
    <w:rsid w:val="009D1F7E"/>
    <w:rsid w:val="009D3FDD"/>
    <w:rsid w:val="009D4098"/>
    <w:rsid w:val="009E02F6"/>
    <w:rsid w:val="009E2C33"/>
    <w:rsid w:val="009F01ED"/>
    <w:rsid w:val="009F095F"/>
    <w:rsid w:val="009F3B34"/>
    <w:rsid w:val="00A02922"/>
    <w:rsid w:val="00A12F99"/>
    <w:rsid w:val="00A16218"/>
    <w:rsid w:val="00A16635"/>
    <w:rsid w:val="00A230D6"/>
    <w:rsid w:val="00A23112"/>
    <w:rsid w:val="00A249BA"/>
    <w:rsid w:val="00A26816"/>
    <w:rsid w:val="00A27979"/>
    <w:rsid w:val="00A3055A"/>
    <w:rsid w:val="00A32843"/>
    <w:rsid w:val="00A3652B"/>
    <w:rsid w:val="00A4028C"/>
    <w:rsid w:val="00A403E9"/>
    <w:rsid w:val="00A41134"/>
    <w:rsid w:val="00A426C4"/>
    <w:rsid w:val="00A42E69"/>
    <w:rsid w:val="00A461B3"/>
    <w:rsid w:val="00A47A53"/>
    <w:rsid w:val="00A50506"/>
    <w:rsid w:val="00A54DA4"/>
    <w:rsid w:val="00A55E94"/>
    <w:rsid w:val="00A6063D"/>
    <w:rsid w:val="00A65BEE"/>
    <w:rsid w:val="00A6693F"/>
    <w:rsid w:val="00A7105B"/>
    <w:rsid w:val="00A7167F"/>
    <w:rsid w:val="00A86487"/>
    <w:rsid w:val="00A91326"/>
    <w:rsid w:val="00A95FAE"/>
    <w:rsid w:val="00AA0108"/>
    <w:rsid w:val="00AA30D8"/>
    <w:rsid w:val="00AA4B74"/>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03D78"/>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215FF"/>
    <w:rsid w:val="00C236E7"/>
    <w:rsid w:val="00C24FF8"/>
    <w:rsid w:val="00C26E4E"/>
    <w:rsid w:val="00C2708F"/>
    <w:rsid w:val="00C32C78"/>
    <w:rsid w:val="00C33BF6"/>
    <w:rsid w:val="00C341DC"/>
    <w:rsid w:val="00C36C5B"/>
    <w:rsid w:val="00C37919"/>
    <w:rsid w:val="00C419ED"/>
    <w:rsid w:val="00C424AC"/>
    <w:rsid w:val="00C42809"/>
    <w:rsid w:val="00C4296E"/>
    <w:rsid w:val="00C4563E"/>
    <w:rsid w:val="00C5210C"/>
    <w:rsid w:val="00C5376C"/>
    <w:rsid w:val="00C605E4"/>
    <w:rsid w:val="00C657E7"/>
    <w:rsid w:val="00C71701"/>
    <w:rsid w:val="00C73330"/>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E6920"/>
    <w:rsid w:val="00CF4366"/>
    <w:rsid w:val="00CF45E7"/>
    <w:rsid w:val="00CF5B23"/>
    <w:rsid w:val="00D038A3"/>
    <w:rsid w:val="00D079BA"/>
    <w:rsid w:val="00D10D99"/>
    <w:rsid w:val="00D11867"/>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80AAE"/>
    <w:rsid w:val="00D8138D"/>
    <w:rsid w:val="00D8470A"/>
    <w:rsid w:val="00D85BEE"/>
    <w:rsid w:val="00D86152"/>
    <w:rsid w:val="00D862D3"/>
    <w:rsid w:val="00D87419"/>
    <w:rsid w:val="00D87F04"/>
    <w:rsid w:val="00D92496"/>
    <w:rsid w:val="00D92DB8"/>
    <w:rsid w:val="00D96AB1"/>
    <w:rsid w:val="00DB1228"/>
    <w:rsid w:val="00DB1D7C"/>
    <w:rsid w:val="00DC0937"/>
    <w:rsid w:val="00DC2EA3"/>
    <w:rsid w:val="00DC4258"/>
    <w:rsid w:val="00DC7241"/>
    <w:rsid w:val="00DD1903"/>
    <w:rsid w:val="00DD2B72"/>
    <w:rsid w:val="00DD33DD"/>
    <w:rsid w:val="00DD60E7"/>
    <w:rsid w:val="00DE0EAC"/>
    <w:rsid w:val="00DE32FA"/>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781"/>
    <w:rsid w:val="00E60CF4"/>
    <w:rsid w:val="00E67571"/>
    <w:rsid w:val="00E71D4F"/>
    <w:rsid w:val="00E729EF"/>
    <w:rsid w:val="00E72F73"/>
    <w:rsid w:val="00E7653D"/>
    <w:rsid w:val="00E81EB4"/>
    <w:rsid w:val="00E8294B"/>
    <w:rsid w:val="00E87537"/>
    <w:rsid w:val="00E9123E"/>
    <w:rsid w:val="00E914C0"/>
    <w:rsid w:val="00E91672"/>
    <w:rsid w:val="00E916E5"/>
    <w:rsid w:val="00E92ABD"/>
    <w:rsid w:val="00E9354F"/>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2125"/>
    <w:rsid w:val="00F65987"/>
    <w:rsid w:val="00F66A78"/>
    <w:rsid w:val="00F66F02"/>
    <w:rsid w:val="00F677F1"/>
    <w:rsid w:val="00F67D8C"/>
    <w:rsid w:val="00F701A8"/>
    <w:rsid w:val="00F72B55"/>
    <w:rsid w:val="00F75A47"/>
    <w:rsid w:val="00F8265E"/>
    <w:rsid w:val="00F8741A"/>
    <w:rsid w:val="00F926DC"/>
    <w:rsid w:val="00FA022F"/>
    <w:rsid w:val="00FA090E"/>
    <w:rsid w:val="00FA09F4"/>
    <w:rsid w:val="00FA58B2"/>
    <w:rsid w:val="00FB0114"/>
    <w:rsid w:val="00FB0EC8"/>
    <w:rsid w:val="00FB13CB"/>
    <w:rsid w:val="00FB56B5"/>
    <w:rsid w:val="00FB791F"/>
    <w:rsid w:val="00FC08F3"/>
    <w:rsid w:val="00FC157D"/>
    <w:rsid w:val="00FC4929"/>
    <w:rsid w:val="00FD0007"/>
    <w:rsid w:val="00FD030F"/>
    <w:rsid w:val="00FD0C01"/>
    <w:rsid w:val="00FD16AE"/>
    <w:rsid w:val="00FD1872"/>
    <w:rsid w:val="00FD6088"/>
    <w:rsid w:val="00FE0797"/>
    <w:rsid w:val="00FE2E0C"/>
    <w:rsid w:val="00FE5243"/>
    <w:rsid w:val="00FE73DE"/>
    <w:rsid w:val="00FE7C59"/>
    <w:rsid w:val="00FF259E"/>
    <w:rsid w:val="00FF69F9"/>
    <w:rsid w:val="012A20A3"/>
    <w:rsid w:val="01A3686E"/>
    <w:rsid w:val="02182FBF"/>
    <w:rsid w:val="023A62B4"/>
    <w:rsid w:val="0282368E"/>
    <w:rsid w:val="02A15EBD"/>
    <w:rsid w:val="02DC0AC3"/>
    <w:rsid w:val="03147093"/>
    <w:rsid w:val="03A61756"/>
    <w:rsid w:val="03EB0E72"/>
    <w:rsid w:val="049A7677"/>
    <w:rsid w:val="04BE7A8D"/>
    <w:rsid w:val="04DC2D2F"/>
    <w:rsid w:val="05156194"/>
    <w:rsid w:val="052D2BB0"/>
    <w:rsid w:val="05302F19"/>
    <w:rsid w:val="05B177D8"/>
    <w:rsid w:val="05DE36C4"/>
    <w:rsid w:val="06AF1539"/>
    <w:rsid w:val="07511415"/>
    <w:rsid w:val="07F65BC4"/>
    <w:rsid w:val="08211ABF"/>
    <w:rsid w:val="088A705F"/>
    <w:rsid w:val="08A619A1"/>
    <w:rsid w:val="09A443F9"/>
    <w:rsid w:val="09D539DE"/>
    <w:rsid w:val="0A4E4EA3"/>
    <w:rsid w:val="0A551B1D"/>
    <w:rsid w:val="0A816458"/>
    <w:rsid w:val="0AA0335C"/>
    <w:rsid w:val="0AEC3F84"/>
    <w:rsid w:val="0B3E0857"/>
    <w:rsid w:val="0C2A1310"/>
    <w:rsid w:val="0CB6683B"/>
    <w:rsid w:val="0D8779B7"/>
    <w:rsid w:val="0D891750"/>
    <w:rsid w:val="0E030E3A"/>
    <w:rsid w:val="0E034629"/>
    <w:rsid w:val="0E102C07"/>
    <w:rsid w:val="0E390A4F"/>
    <w:rsid w:val="0E6975B2"/>
    <w:rsid w:val="0E6D6A83"/>
    <w:rsid w:val="0F087817"/>
    <w:rsid w:val="0F370D90"/>
    <w:rsid w:val="0F655F90"/>
    <w:rsid w:val="0FAC1AF6"/>
    <w:rsid w:val="105825D6"/>
    <w:rsid w:val="107D1A27"/>
    <w:rsid w:val="10910C89"/>
    <w:rsid w:val="11782C61"/>
    <w:rsid w:val="117E448C"/>
    <w:rsid w:val="128B755C"/>
    <w:rsid w:val="12A51CDB"/>
    <w:rsid w:val="142D7B9B"/>
    <w:rsid w:val="14C80020"/>
    <w:rsid w:val="14D976F6"/>
    <w:rsid w:val="15E51C78"/>
    <w:rsid w:val="16010097"/>
    <w:rsid w:val="164532D5"/>
    <w:rsid w:val="16C16A12"/>
    <w:rsid w:val="174D79F2"/>
    <w:rsid w:val="175637CB"/>
    <w:rsid w:val="17813B77"/>
    <w:rsid w:val="17906474"/>
    <w:rsid w:val="17BC4D00"/>
    <w:rsid w:val="17D146E3"/>
    <w:rsid w:val="17D16E63"/>
    <w:rsid w:val="18EF7630"/>
    <w:rsid w:val="18F8229F"/>
    <w:rsid w:val="190242E0"/>
    <w:rsid w:val="1947334B"/>
    <w:rsid w:val="19AF174C"/>
    <w:rsid w:val="1AFA235C"/>
    <w:rsid w:val="1B0D1EC1"/>
    <w:rsid w:val="1B156E07"/>
    <w:rsid w:val="1B186FCA"/>
    <w:rsid w:val="1B8F7A37"/>
    <w:rsid w:val="1C4F2645"/>
    <w:rsid w:val="1C8E2DB5"/>
    <w:rsid w:val="1D5C70A8"/>
    <w:rsid w:val="1D8D24C7"/>
    <w:rsid w:val="1DA15BED"/>
    <w:rsid w:val="1DF009B0"/>
    <w:rsid w:val="1E631235"/>
    <w:rsid w:val="1EB32593"/>
    <w:rsid w:val="1F2866FA"/>
    <w:rsid w:val="1F684056"/>
    <w:rsid w:val="1FA910C6"/>
    <w:rsid w:val="1FB74610"/>
    <w:rsid w:val="207937AA"/>
    <w:rsid w:val="224C0835"/>
    <w:rsid w:val="22541660"/>
    <w:rsid w:val="229A4E9F"/>
    <w:rsid w:val="23146AE7"/>
    <w:rsid w:val="235B152C"/>
    <w:rsid w:val="23A30C4A"/>
    <w:rsid w:val="23A5165A"/>
    <w:rsid w:val="23CE104D"/>
    <w:rsid w:val="23DC1C2E"/>
    <w:rsid w:val="23F21365"/>
    <w:rsid w:val="24165FAE"/>
    <w:rsid w:val="2420120C"/>
    <w:rsid w:val="24980806"/>
    <w:rsid w:val="24B83D5F"/>
    <w:rsid w:val="25AB4220"/>
    <w:rsid w:val="25EC72FF"/>
    <w:rsid w:val="26861AAC"/>
    <w:rsid w:val="26923C07"/>
    <w:rsid w:val="26AC5D6F"/>
    <w:rsid w:val="26F36EC0"/>
    <w:rsid w:val="281D4CEA"/>
    <w:rsid w:val="28C37025"/>
    <w:rsid w:val="28DE6DE5"/>
    <w:rsid w:val="296450A1"/>
    <w:rsid w:val="297164A5"/>
    <w:rsid w:val="29F25094"/>
    <w:rsid w:val="2A246069"/>
    <w:rsid w:val="2A336CB7"/>
    <w:rsid w:val="2AE70B65"/>
    <w:rsid w:val="2B1752E8"/>
    <w:rsid w:val="2B8620EA"/>
    <w:rsid w:val="2B912F60"/>
    <w:rsid w:val="2BEF5A83"/>
    <w:rsid w:val="2BF93BAF"/>
    <w:rsid w:val="2C391857"/>
    <w:rsid w:val="2C4F6B2C"/>
    <w:rsid w:val="2C5F31BB"/>
    <w:rsid w:val="2D9C30AC"/>
    <w:rsid w:val="2DB4059F"/>
    <w:rsid w:val="2E07296B"/>
    <w:rsid w:val="2E6D6BEE"/>
    <w:rsid w:val="303769D5"/>
    <w:rsid w:val="30874CF8"/>
    <w:rsid w:val="315F50EA"/>
    <w:rsid w:val="316C504A"/>
    <w:rsid w:val="31875E19"/>
    <w:rsid w:val="33132DB2"/>
    <w:rsid w:val="33151470"/>
    <w:rsid w:val="334C0637"/>
    <w:rsid w:val="335369CF"/>
    <w:rsid w:val="338412FB"/>
    <w:rsid w:val="33BF42E5"/>
    <w:rsid w:val="341E1FF2"/>
    <w:rsid w:val="341E7348"/>
    <w:rsid w:val="344F7CE3"/>
    <w:rsid w:val="34E91151"/>
    <w:rsid w:val="34F54852"/>
    <w:rsid w:val="361D4209"/>
    <w:rsid w:val="36D7405E"/>
    <w:rsid w:val="3711086D"/>
    <w:rsid w:val="37237973"/>
    <w:rsid w:val="37432886"/>
    <w:rsid w:val="37E62D7A"/>
    <w:rsid w:val="37E83CDB"/>
    <w:rsid w:val="382F34D7"/>
    <w:rsid w:val="38C257A3"/>
    <w:rsid w:val="3A026885"/>
    <w:rsid w:val="3AE53E5F"/>
    <w:rsid w:val="3B2F2607"/>
    <w:rsid w:val="3B6D3226"/>
    <w:rsid w:val="3BD029E6"/>
    <w:rsid w:val="3C0F225C"/>
    <w:rsid w:val="3C4361DD"/>
    <w:rsid w:val="3C7E4C5B"/>
    <w:rsid w:val="3CD56A72"/>
    <w:rsid w:val="3CE7406B"/>
    <w:rsid w:val="3D070DFD"/>
    <w:rsid w:val="3D2A0F79"/>
    <w:rsid w:val="3D5954D5"/>
    <w:rsid w:val="3D8319FB"/>
    <w:rsid w:val="3E446D75"/>
    <w:rsid w:val="3E600A75"/>
    <w:rsid w:val="3EC70AEE"/>
    <w:rsid w:val="3ED362A5"/>
    <w:rsid w:val="3F127A80"/>
    <w:rsid w:val="3F323893"/>
    <w:rsid w:val="3FCA6E7A"/>
    <w:rsid w:val="4022602E"/>
    <w:rsid w:val="40C43F1E"/>
    <w:rsid w:val="40D66427"/>
    <w:rsid w:val="40F011E3"/>
    <w:rsid w:val="40F679E6"/>
    <w:rsid w:val="40FF4A42"/>
    <w:rsid w:val="41067E53"/>
    <w:rsid w:val="41533637"/>
    <w:rsid w:val="429B6344"/>
    <w:rsid w:val="42CF6CE8"/>
    <w:rsid w:val="42D11308"/>
    <w:rsid w:val="42E91A30"/>
    <w:rsid w:val="43C96DB1"/>
    <w:rsid w:val="440268D7"/>
    <w:rsid w:val="44755BA3"/>
    <w:rsid w:val="44BE3AB8"/>
    <w:rsid w:val="44F57981"/>
    <w:rsid w:val="45307B25"/>
    <w:rsid w:val="45910E85"/>
    <w:rsid w:val="45920A76"/>
    <w:rsid w:val="45F05C46"/>
    <w:rsid w:val="46301010"/>
    <w:rsid w:val="46D715C7"/>
    <w:rsid w:val="47122A86"/>
    <w:rsid w:val="473C2CD3"/>
    <w:rsid w:val="489576EC"/>
    <w:rsid w:val="49043300"/>
    <w:rsid w:val="490A3F3B"/>
    <w:rsid w:val="492D7112"/>
    <w:rsid w:val="493C67D5"/>
    <w:rsid w:val="49A6395B"/>
    <w:rsid w:val="4A0C0351"/>
    <w:rsid w:val="4A406897"/>
    <w:rsid w:val="4AA75F9E"/>
    <w:rsid w:val="4AEA49A9"/>
    <w:rsid w:val="4AFC5164"/>
    <w:rsid w:val="4B386786"/>
    <w:rsid w:val="4B9A34A4"/>
    <w:rsid w:val="4BC9471F"/>
    <w:rsid w:val="4BE34358"/>
    <w:rsid w:val="4C000C40"/>
    <w:rsid w:val="4C362159"/>
    <w:rsid w:val="4C4F1A72"/>
    <w:rsid w:val="4C5A646D"/>
    <w:rsid w:val="4C8171AB"/>
    <w:rsid w:val="4CC9211A"/>
    <w:rsid w:val="4D023943"/>
    <w:rsid w:val="4DC51C96"/>
    <w:rsid w:val="4EBB24D7"/>
    <w:rsid w:val="4F2D7831"/>
    <w:rsid w:val="4FBF0B2F"/>
    <w:rsid w:val="4FD77FF2"/>
    <w:rsid w:val="503D4954"/>
    <w:rsid w:val="506851C3"/>
    <w:rsid w:val="50EE7484"/>
    <w:rsid w:val="51D60B18"/>
    <w:rsid w:val="51F86486"/>
    <w:rsid w:val="5239100C"/>
    <w:rsid w:val="52980E55"/>
    <w:rsid w:val="52AA7205"/>
    <w:rsid w:val="53BA2A79"/>
    <w:rsid w:val="53E84293"/>
    <w:rsid w:val="53E91BAF"/>
    <w:rsid w:val="548436D7"/>
    <w:rsid w:val="551F161A"/>
    <w:rsid w:val="55DB3A5A"/>
    <w:rsid w:val="55EC40C2"/>
    <w:rsid w:val="5711030C"/>
    <w:rsid w:val="57596F3A"/>
    <w:rsid w:val="575C7293"/>
    <w:rsid w:val="57807F22"/>
    <w:rsid w:val="57A22B13"/>
    <w:rsid w:val="582A49CB"/>
    <w:rsid w:val="58583499"/>
    <w:rsid w:val="594C422D"/>
    <w:rsid w:val="598506AB"/>
    <w:rsid w:val="59AB1A46"/>
    <w:rsid w:val="59F21456"/>
    <w:rsid w:val="5A604CA8"/>
    <w:rsid w:val="5B7E2CAE"/>
    <w:rsid w:val="5C0660DF"/>
    <w:rsid w:val="5C322080"/>
    <w:rsid w:val="5E4856DC"/>
    <w:rsid w:val="5E8E78CC"/>
    <w:rsid w:val="5EAA5B3C"/>
    <w:rsid w:val="5F393E0E"/>
    <w:rsid w:val="5FFC5772"/>
    <w:rsid w:val="6003533C"/>
    <w:rsid w:val="61320AE1"/>
    <w:rsid w:val="626F4BF1"/>
    <w:rsid w:val="62B6131F"/>
    <w:rsid w:val="62C43512"/>
    <w:rsid w:val="631D678D"/>
    <w:rsid w:val="63341A54"/>
    <w:rsid w:val="63860ACA"/>
    <w:rsid w:val="63BA459E"/>
    <w:rsid w:val="63CF46C8"/>
    <w:rsid w:val="64264B08"/>
    <w:rsid w:val="654C2C1A"/>
    <w:rsid w:val="66320401"/>
    <w:rsid w:val="66B76634"/>
    <w:rsid w:val="6733112C"/>
    <w:rsid w:val="677002C3"/>
    <w:rsid w:val="67CC3DDC"/>
    <w:rsid w:val="68114CA9"/>
    <w:rsid w:val="684B1F29"/>
    <w:rsid w:val="68544561"/>
    <w:rsid w:val="6858603F"/>
    <w:rsid w:val="68CC0937"/>
    <w:rsid w:val="6996654D"/>
    <w:rsid w:val="69C47FCD"/>
    <w:rsid w:val="69E97175"/>
    <w:rsid w:val="6A0E72E3"/>
    <w:rsid w:val="6A1259C9"/>
    <w:rsid w:val="6A913A2B"/>
    <w:rsid w:val="6AD833B5"/>
    <w:rsid w:val="6ADC43A6"/>
    <w:rsid w:val="6B2A2230"/>
    <w:rsid w:val="6B572F6D"/>
    <w:rsid w:val="6BFB5029"/>
    <w:rsid w:val="6C1B02A3"/>
    <w:rsid w:val="6C577B70"/>
    <w:rsid w:val="6C6F16DC"/>
    <w:rsid w:val="6C716212"/>
    <w:rsid w:val="6C7331F0"/>
    <w:rsid w:val="6C9C747F"/>
    <w:rsid w:val="6CD32982"/>
    <w:rsid w:val="6D105241"/>
    <w:rsid w:val="6DE07C5D"/>
    <w:rsid w:val="6E276E1A"/>
    <w:rsid w:val="6F296E8D"/>
    <w:rsid w:val="6F5643FC"/>
    <w:rsid w:val="701E32CB"/>
    <w:rsid w:val="7146613C"/>
    <w:rsid w:val="71EA451F"/>
    <w:rsid w:val="72374E14"/>
    <w:rsid w:val="727201BC"/>
    <w:rsid w:val="73321FD8"/>
    <w:rsid w:val="738A75AC"/>
    <w:rsid w:val="740B0878"/>
    <w:rsid w:val="74AE014E"/>
    <w:rsid w:val="74B43357"/>
    <w:rsid w:val="74BD771D"/>
    <w:rsid w:val="754966CB"/>
    <w:rsid w:val="755E6610"/>
    <w:rsid w:val="756D7D3F"/>
    <w:rsid w:val="75993ED6"/>
    <w:rsid w:val="75B14B57"/>
    <w:rsid w:val="76921BF3"/>
    <w:rsid w:val="76933B2B"/>
    <w:rsid w:val="77BF500B"/>
    <w:rsid w:val="77C77D87"/>
    <w:rsid w:val="780946CD"/>
    <w:rsid w:val="780D384C"/>
    <w:rsid w:val="784B1FFF"/>
    <w:rsid w:val="78646305"/>
    <w:rsid w:val="786C62ED"/>
    <w:rsid w:val="78CE62CC"/>
    <w:rsid w:val="798E2393"/>
    <w:rsid w:val="799C69A9"/>
    <w:rsid w:val="7A2B6AB5"/>
    <w:rsid w:val="7A4511EB"/>
    <w:rsid w:val="7B5751DA"/>
    <w:rsid w:val="7BB847B6"/>
    <w:rsid w:val="7BDD38DE"/>
    <w:rsid w:val="7CDB5581"/>
    <w:rsid w:val="7CF54261"/>
    <w:rsid w:val="7D1A377A"/>
    <w:rsid w:val="7D491A3D"/>
    <w:rsid w:val="7D6B7193"/>
    <w:rsid w:val="7D9E0E78"/>
    <w:rsid w:val="7E196905"/>
    <w:rsid w:val="7E257617"/>
    <w:rsid w:val="7E282ADF"/>
    <w:rsid w:val="7E51177C"/>
    <w:rsid w:val="7E895440"/>
    <w:rsid w:val="7F0622A4"/>
    <w:rsid w:val="7F4F7FFA"/>
    <w:rsid w:val="7FBC044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qFormat="1"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964" w:firstLineChars="200"/>
      <w:jc w:val="both"/>
    </w:pPr>
    <w:rPr>
      <w:rFonts w:ascii="Times New Roman" w:hAnsi="Times New Roman" w:eastAsia="仿宋_GB2312" w:cs="Times New Roman"/>
      <w:kern w:val="2"/>
      <w:sz w:val="28"/>
      <w:szCs w:val="24"/>
      <w:lang w:val="en-US" w:eastAsia="zh-CN" w:bidi="ar-SA"/>
    </w:rPr>
  </w:style>
  <w:style w:type="paragraph" w:styleId="3">
    <w:name w:val="heading 1"/>
    <w:basedOn w:val="1"/>
    <w:next w:val="1"/>
    <w:link w:val="36"/>
    <w:qFormat/>
    <w:locked/>
    <w:uiPriority w:val="0"/>
    <w:pPr>
      <w:keepNext/>
      <w:keepLines/>
      <w:spacing w:line="360" w:lineRule="auto"/>
      <w:ind w:firstLine="0" w:firstLineChars="0"/>
      <w:outlineLvl w:val="0"/>
    </w:pPr>
    <w:rPr>
      <w:rFonts w:ascii="Times New Roman" w:hAnsi="Times New Roman"/>
      <w:b/>
      <w:bCs/>
      <w:kern w:val="44"/>
      <w:szCs w:val="44"/>
    </w:rPr>
  </w:style>
  <w:style w:type="paragraph" w:styleId="4">
    <w:name w:val="heading 2"/>
    <w:basedOn w:val="1"/>
    <w:next w:val="1"/>
    <w:unhideWhenUsed/>
    <w:qFormat/>
    <w:locked/>
    <w:uiPriority w:val="0"/>
    <w:pPr>
      <w:keepNext/>
      <w:keepLines/>
      <w:spacing w:beforeLines="0" w:beforeAutospacing="0" w:afterLines="0" w:afterAutospacing="0" w:line="360" w:lineRule="auto"/>
      <w:outlineLvl w:val="1"/>
    </w:pPr>
    <w:rPr>
      <w:rFonts w:ascii="Times New Roman" w:hAnsi="Times New Roman"/>
      <w:b/>
    </w:rPr>
  </w:style>
  <w:style w:type="paragraph" w:styleId="5">
    <w:name w:val="heading 3"/>
    <w:basedOn w:val="1"/>
    <w:next w:val="1"/>
    <w:link w:val="35"/>
    <w:qFormat/>
    <w:locked/>
    <w:uiPriority w:val="0"/>
    <w:pPr>
      <w:keepNext/>
      <w:keepLines/>
      <w:spacing w:line="360" w:lineRule="auto"/>
      <w:outlineLvl w:val="2"/>
    </w:pPr>
    <w:rPr>
      <w:rFonts w:ascii="Times New Roman" w:hAnsi="Times New Roman"/>
      <w:b/>
      <w:bCs/>
      <w:szCs w:val="32"/>
    </w:rPr>
  </w:style>
  <w:style w:type="paragraph" w:styleId="6">
    <w:name w:val="heading 4"/>
    <w:basedOn w:val="1"/>
    <w:next w:val="1"/>
    <w:unhideWhenUsed/>
    <w:qFormat/>
    <w:locked/>
    <w:uiPriority w:val="0"/>
    <w:pPr>
      <w:keepNext/>
      <w:keepLines/>
      <w:spacing w:beforeLines="0" w:beforeAutospacing="0" w:afterLines="0" w:afterAutospacing="0" w:line="360" w:lineRule="auto"/>
      <w:ind w:firstLine="560" w:firstLineChars="200"/>
      <w:outlineLvl w:val="3"/>
    </w:pPr>
    <w:rPr>
      <w:b/>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4"/>
    <w:qFormat/>
    <w:uiPriority w:val="99"/>
    <w:pPr>
      <w:adjustRightInd w:val="0"/>
      <w:spacing w:line="540" w:lineRule="exact"/>
      <w:ind w:firstLine="560" w:firstLineChars="200"/>
      <w:jc w:val="left"/>
    </w:pPr>
    <w:rPr>
      <w:rFonts w:ascii="宋体"/>
      <w:kern w:val="0"/>
      <w:sz w:val="28"/>
    </w:rPr>
  </w:style>
  <w:style w:type="paragraph" w:styleId="7">
    <w:name w:val="Normal Indent"/>
    <w:basedOn w:val="1"/>
    <w:qFormat/>
    <w:uiPriority w:val="0"/>
    <w:pPr>
      <w:ind w:firstLine="420"/>
    </w:pPr>
    <w:rPr>
      <w:rFonts w:ascii="仿宋_GB2312" w:eastAsia="仿宋_GB2312"/>
      <w:sz w:val="30"/>
      <w:szCs w:val="30"/>
    </w:rPr>
  </w:style>
  <w:style w:type="paragraph" w:styleId="8">
    <w:name w:val="Document Map"/>
    <w:basedOn w:val="1"/>
    <w:link w:val="37"/>
    <w:semiHidden/>
    <w:unhideWhenUsed/>
    <w:qFormat/>
    <w:uiPriority w:val="99"/>
    <w:rPr>
      <w:rFonts w:ascii="宋体"/>
      <w:sz w:val="18"/>
      <w:szCs w:val="18"/>
    </w:rPr>
  </w:style>
  <w:style w:type="paragraph" w:styleId="9">
    <w:name w:val="Body Text"/>
    <w:basedOn w:val="1"/>
    <w:link w:val="33"/>
    <w:semiHidden/>
    <w:unhideWhenUsed/>
    <w:qFormat/>
    <w:uiPriority w:val="99"/>
    <w:pPr>
      <w:spacing w:after="120"/>
    </w:pPr>
  </w:style>
  <w:style w:type="paragraph" w:styleId="10">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1">
    <w:name w:val="toc 3"/>
    <w:basedOn w:val="1"/>
    <w:next w:val="1"/>
    <w:qFormat/>
    <w:locked/>
    <w:uiPriority w:val="0"/>
    <w:pPr>
      <w:ind w:left="840" w:leftChars="400"/>
    </w:pPr>
  </w:style>
  <w:style w:type="paragraph" w:styleId="12">
    <w:name w:val="Plain Text"/>
    <w:basedOn w:val="1"/>
    <w:link w:val="25"/>
    <w:qFormat/>
    <w:uiPriority w:val="0"/>
    <w:rPr>
      <w:rFonts w:ascii="宋体" w:hAnsi="Courier New" w:cs="Courier New"/>
      <w:szCs w:val="21"/>
    </w:rPr>
  </w:style>
  <w:style w:type="paragraph" w:styleId="13">
    <w:name w:val="Date"/>
    <w:basedOn w:val="1"/>
    <w:next w:val="1"/>
    <w:link w:val="34"/>
    <w:qFormat/>
    <w:uiPriority w:val="0"/>
    <w:pPr>
      <w:ind w:left="100" w:leftChars="2500"/>
    </w:pPr>
  </w:style>
  <w:style w:type="paragraph" w:styleId="14">
    <w:name w:val="Body Text Indent 2"/>
    <w:basedOn w:val="1"/>
    <w:qFormat/>
    <w:uiPriority w:val="0"/>
    <w:pPr>
      <w:ind w:firstLine="570"/>
    </w:pPr>
    <w:rPr>
      <w:rFonts w:ascii="仿宋_GB2312" w:eastAsia="仿宋_GB2312"/>
      <w:sz w:val="28"/>
      <w:szCs w:val="28"/>
    </w:rPr>
  </w:style>
  <w:style w:type="paragraph" w:styleId="15">
    <w:name w:val="Balloon Text"/>
    <w:basedOn w:val="1"/>
    <w:link w:val="26"/>
    <w:qFormat/>
    <w:uiPriority w:val="99"/>
    <w:rPr>
      <w:sz w:val="18"/>
      <w:szCs w:val="18"/>
    </w:rPr>
  </w:style>
  <w:style w:type="paragraph" w:styleId="16">
    <w:name w:val="footer"/>
    <w:basedOn w:val="1"/>
    <w:link w:val="27"/>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7">
    <w:name w:val="header"/>
    <w:basedOn w:val="1"/>
    <w:link w:val="28"/>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locked/>
    <w:uiPriority w:val="0"/>
  </w:style>
  <w:style w:type="paragraph" w:styleId="19">
    <w:name w:val="Body Text Indent 3"/>
    <w:basedOn w:val="1"/>
    <w:qFormat/>
    <w:uiPriority w:val="0"/>
    <w:pPr>
      <w:spacing w:after="120"/>
      <w:ind w:left="420" w:leftChars="200"/>
    </w:pPr>
    <w:rPr>
      <w:sz w:val="16"/>
      <w:szCs w:val="16"/>
    </w:rPr>
  </w:style>
  <w:style w:type="paragraph" w:styleId="20">
    <w:name w:val="toc 2"/>
    <w:basedOn w:val="1"/>
    <w:next w:val="1"/>
    <w:qFormat/>
    <w:locked/>
    <w:uiPriority w:val="0"/>
    <w:pPr>
      <w:ind w:left="420" w:leftChars="200"/>
    </w:pPr>
  </w:style>
  <w:style w:type="table" w:styleId="22">
    <w:name w:val="Table Grid"/>
    <w:basedOn w:val="21"/>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
    <w:name w:val="正文文本缩进 Char"/>
    <w:basedOn w:val="23"/>
    <w:link w:val="2"/>
    <w:qFormat/>
    <w:locked/>
    <w:uiPriority w:val="99"/>
    <w:rPr>
      <w:rFonts w:ascii="宋体" w:hAnsi="Times New Roman" w:eastAsia="宋体" w:cs="Times New Roman"/>
      <w:kern w:val="0"/>
      <w:sz w:val="24"/>
      <w:szCs w:val="24"/>
    </w:rPr>
  </w:style>
  <w:style w:type="character" w:customStyle="1" w:styleId="25">
    <w:name w:val="纯文本 Char"/>
    <w:basedOn w:val="23"/>
    <w:link w:val="12"/>
    <w:semiHidden/>
    <w:qFormat/>
    <w:locked/>
    <w:uiPriority w:val="99"/>
    <w:rPr>
      <w:rFonts w:ascii="宋体" w:hAnsi="Courier New" w:eastAsia="宋体" w:cs="Courier New"/>
      <w:sz w:val="21"/>
      <w:szCs w:val="21"/>
    </w:rPr>
  </w:style>
  <w:style w:type="character" w:customStyle="1" w:styleId="26">
    <w:name w:val="批注框文本 Char"/>
    <w:basedOn w:val="23"/>
    <w:link w:val="15"/>
    <w:semiHidden/>
    <w:qFormat/>
    <w:locked/>
    <w:uiPriority w:val="99"/>
    <w:rPr>
      <w:rFonts w:ascii="Times New Roman" w:hAnsi="Times New Roman" w:eastAsia="宋体" w:cs="Times New Roman"/>
      <w:sz w:val="18"/>
      <w:szCs w:val="18"/>
    </w:rPr>
  </w:style>
  <w:style w:type="character" w:customStyle="1" w:styleId="27">
    <w:name w:val="页脚 Char"/>
    <w:basedOn w:val="23"/>
    <w:link w:val="16"/>
    <w:semiHidden/>
    <w:qFormat/>
    <w:locked/>
    <w:uiPriority w:val="99"/>
    <w:rPr>
      <w:rFonts w:eastAsia="宋体" w:cs="Times New Roman"/>
      <w:sz w:val="18"/>
      <w:szCs w:val="18"/>
    </w:rPr>
  </w:style>
  <w:style w:type="character" w:customStyle="1" w:styleId="28">
    <w:name w:val="页眉 Char"/>
    <w:basedOn w:val="23"/>
    <w:link w:val="17"/>
    <w:semiHidden/>
    <w:qFormat/>
    <w:locked/>
    <w:uiPriority w:val="99"/>
    <w:rPr>
      <w:rFonts w:cs="Times New Roman"/>
      <w:sz w:val="18"/>
      <w:szCs w:val="18"/>
    </w:rPr>
  </w:style>
  <w:style w:type="paragraph" w:customStyle="1" w:styleId="29">
    <w:name w:val="Char"/>
    <w:basedOn w:val="1"/>
    <w:qFormat/>
    <w:uiPriority w:val="0"/>
    <w:pPr>
      <w:ind w:left="-48"/>
    </w:pPr>
  </w:style>
  <w:style w:type="paragraph" w:customStyle="1" w:styleId="30">
    <w:name w:val="Char1"/>
    <w:basedOn w:val="1"/>
    <w:qFormat/>
    <w:uiPriority w:val="0"/>
    <w:pPr>
      <w:ind w:left="-48"/>
    </w:pPr>
  </w:style>
  <w:style w:type="paragraph" w:customStyle="1" w:styleId="31">
    <w:name w:val="Char Char Char"/>
    <w:basedOn w:val="1"/>
    <w:qFormat/>
    <w:uiPriority w:val="0"/>
    <w:rPr>
      <w:rFonts w:ascii="Tahoma" w:hAnsi="Tahoma"/>
      <w:sz w:val="24"/>
      <w:szCs w:val="20"/>
    </w:rPr>
  </w:style>
  <w:style w:type="paragraph" w:styleId="32">
    <w:name w:val="List Paragraph"/>
    <w:basedOn w:val="1"/>
    <w:unhideWhenUsed/>
    <w:qFormat/>
    <w:uiPriority w:val="99"/>
    <w:pPr>
      <w:ind w:firstLine="420" w:firstLineChars="200"/>
    </w:pPr>
  </w:style>
  <w:style w:type="character" w:customStyle="1" w:styleId="33">
    <w:name w:val="正文文本 Char"/>
    <w:basedOn w:val="23"/>
    <w:link w:val="9"/>
    <w:semiHidden/>
    <w:qFormat/>
    <w:uiPriority w:val="99"/>
    <w:rPr>
      <w:kern w:val="2"/>
      <w:sz w:val="21"/>
      <w:szCs w:val="24"/>
    </w:rPr>
  </w:style>
  <w:style w:type="character" w:customStyle="1" w:styleId="34">
    <w:name w:val="日期 Char"/>
    <w:basedOn w:val="23"/>
    <w:link w:val="13"/>
    <w:qFormat/>
    <w:uiPriority w:val="0"/>
    <w:rPr>
      <w:kern w:val="2"/>
      <w:sz w:val="21"/>
      <w:szCs w:val="24"/>
    </w:rPr>
  </w:style>
  <w:style w:type="character" w:customStyle="1" w:styleId="35">
    <w:name w:val="标题 3 Char"/>
    <w:basedOn w:val="23"/>
    <w:link w:val="5"/>
    <w:qFormat/>
    <w:uiPriority w:val="0"/>
    <w:rPr>
      <w:rFonts w:ascii="Times New Roman" w:hAnsi="Times New Roman" w:eastAsia="仿宋_GB2312"/>
      <w:b/>
      <w:bCs/>
      <w:kern w:val="2"/>
      <w:sz w:val="28"/>
      <w:szCs w:val="32"/>
    </w:rPr>
  </w:style>
  <w:style w:type="character" w:customStyle="1" w:styleId="36">
    <w:name w:val="标题 1 Char"/>
    <w:basedOn w:val="23"/>
    <w:link w:val="3"/>
    <w:qFormat/>
    <w:uiPriority w:val="0"/>
    <w:rPr>
      <w:rFonts w:ascii="Times New Roman" w:hAnsi="Times New Roman" w:eastAsia="仿宋_GB2312"/>
      <w:b/>
      <w:bCs/>
      <w:kern w:val="44"/>
      <w:sz w:val="28"/>
      <w:szCs w:val="44"/>
    </w:rPr>
  </w:style>
  <w:style w:type="character" w:customStyle="1" w:styleId="37">
    <w:name w:val="文档结构图 Char"/>
    <w:basedOn w:val="23"/>
    <w:link w:val="8"/>
    <w:semiHidden/>
    <w:qFormat/>
    <w:uiPriority w:val="99"/>
    <w:rPr>
      <w:rFonts w:ascii="宋体"/>
      <w:kern w:val="2"/>
      <w:sz w:val="18"/>
      <w:szCs w:val="18"/>
    </w:rPr>
  </w:style>
  <w:style w:type="character" w:styleId="38">
    <w:name w:val="Placeholder Text"/>
    <w:basedOn w:val="23"/>
    <w:unhideWhenUsed/>
    <w:qFormat/>
    <w:uiPriority w:val="99"/>
    <w:rPr>
      <w:color w:val="808080"/>
    </w:rPr>
  </w:style>
  <w:style w:type="paragraph" w:customStyle="1" w:styleId="39">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40">
    <w:name w:val="font21"/>
    <w:basedOn w:val="23"/>
    <w:qFormat/>
    <w:uiPriority w:val="0"/>
    <w:rPr>
      <w:rFonts w:hint="eastAsia" w:ascii="宋体" w:hAnsi="宋体" w:eastAsia="宋体" w:cs="宋体"/>
      <w:color w:val="000000"/>
      <w:sz w:val="20"/>
      <w:szCs w:val="20"/>
      <w:u w:val="none"/>
    </w:rPr>
  </w:style>
  <w:style w:type="character" w:customStyle="1" w:styleId="41">
    <w:name w:val="font31"/>
    <w:basedOn w:val="23"/>
    <w:qFormat/>
    <w:uiPriority w:val="0"/>
    <w:rPr>
      <w:rFonts w:hint="default" w:ascii="Arial Narrow" w:hAnsi="Arial Narrow" w:eastAsia="Arial Narrow" w:cs="Arial Narrow"/>
      <w:color w:val="000000"/>
      <w:sz w:val="20"/>
      <w:szCs w:val="20"/>
      <w:u w:val="none"/>
    </w:rPr>
  </w:style>
  <w:style w:type="character" w:customStyle="1" w:styleId="42">
    <w:name w:val="font01"/>
    <w:basedOn w:val="23"/>
    <w:qFormat/>
    <w:uiPriority w:val="0"/>
    <w:rPr>
      <w:rFonts w:hint="default" w:ascii="Arial Narrow" w:hAnsi="Arial Narrow" w:eastAsia="Arial Narrow" w:cs="Arial Narrow"/>
      <w:color w:val="000000"/>
      <w:sz w:val="20"/>
      <w:szCs w:val="20"/>
      <w:u w:val="none"/>
    </w:rPr>
  </w:style>
  <w:style w:type="character" w:customStyle="1" w:styleId="43">
    <w:name w:val="标题 1 Char1"/>
    <w:qFormat/>
    <w:uiPriority w:val="99"/>
    <w:rPr>
      <w:b/>
      <w:kern w:val="44"/>
      <w:sz w:val="44"/>
      <w:szCs w:val="24"/>
    </w:rPr>
  </w:style>
  <w:style w:type="character" w:customStyle="1" w:styleId="44">
    <w:name w:val="font41"/>
    <w:qFormat/>
    <w:uiPriority w:val="0"/>
    <w:rPr>
      <w:rFonts w:hint="eastAsia" w:ascii="宋体" w:hAnsi="宋体" w:eastAsia="宋体" w:cs="宋体"/>
      <w:color w:val="000000"/>
      <w:sz w:val="18"/>
      <w:szCs w:val="18"/>
      <w:u w:val="none"/>
    </w:rPr>
  </w:style>
  <w:style w:type="paragraph" w:customStyle="1" w:styleId="45">
    <w:name w:val="CM40"/>
    <w:basedOn w:val="39"/>
    <w:next w:val="39"/>
    <w:unhideWhenUsed/>
    <w:qFormat/>
    <w:uiPriority w:val="99"/>
    <w:pPr>
      <w:spacing w:after="123"/>
    </w:pPr>
  </w:style>
  <w:style w:type="paragraph" w:customStyle="1" w:styleId="46">
    <w:name w:val="CM6"/>
    <w:basedOn w:val="39"/>
    <w:next w:val="39"/>
    <w:unhideWhenUsed/>
    <w:qFormat/>
    <w:uiPriority w:val="99"/>
    <w:pPr>
      <w:spacing w:line="440" w:lineRule="atLeast"/>
    </w:pPr>
  </w:style>
  <w:style w:type="paragraph" w:customStyle="1" w:styleId="47">
    <w:name w:val="WPSOffice手动目录 1"/>
    <w:qFormat/>
    <w:uiPriority w:val="0"/>
    <w:pPr>
      <w:ind w:leftChars="0"/>
    </w:pPr>
    <w:rPr>
      <w:rFonts w:ascii="Times New Roman" w:hAnsi="Times New Roman" w:eastAsia="宋体" w:cs="Times New Roman"/>
      <w:sz w:val="20"/>
      <w:szCs w:val="20"/>
    </w:rPr>
  </w:style>
  <w:style w:type="paragraph" w:customStyle="1" w:styleId="48">
    <w:name w:val="WPSOffice手动目录 2"/>
    <w:qFormat/>
    <w:uiPriority w:val="0"/>
    <w:pPr>
      <w:ind w:leftChars="200"/>
    </w:pPr>
    <w:rPr>
      <w:rFonts w:ascii="Times New Roman" w:hAnsi="Times New Roman" w:eastAsia="宋体" w:cs="Times New Roman"/>
      <w:sz w:val="20"/>
      <w:szCs w:val="20"/>
    </w:rPr>
  </w:style>
  <w:style w:type="paragraph" w:customStyle="1" w:styleId="4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0FC2AF-4B1D-4E8D-A884-58D800421FE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1658</Words>
  <Characters>9455</Characters>
  <Lines>78</Lines>
  <Paragraphs>22</Paragraphs>
  <TotalTime>6</TotalTime>
  <ScaleCrop>false</ScaleCrop>
  <LinksUpToDate>false</LinksUpToDate>
  <CharactersWithSpaces>11091</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坚正</cp:lastModifiedBy>
  <cp:lastPrinted>2020-11-13T02:11:00Z</cp:lastPrinted>
  <dcterms:modified xsi:type="dcterms:W3CDTF">2021-08-09T07:18:38Z</dcterms:modified>
  <cp:revision>440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ADDB26439BD94F67BAECF2AD6AE02933</vt:lpwstr>
  </property>
</Properties>
</file>