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spacing w:line="500" w:lineRule="exact"/>
        <w:jc w:val="center"/>
        <w:rPr>
          <w:rFonts w:ascii="黑体" w:hAnsi="黑体" w:eastAsia="黑体" w:cs="黑体"/>
          <w:b/>
          <w:bCs/>
          <w:color w:val="auto"/>
          <w:kern w:val="0"/>
          <w:sz w:val="32"/>
          <w:szCs w:val="32"/>
          <w:highlight w:val="none"/>
        </w:rPr>
      </w:pPr>
      <w:bookmarkStart w:id="0" w:name="_Hlk79580567"/>
      <w:r>
        <w:rPr>
          <w:rFonts w:hint="eastAsia" w:ascii="黑体" w:hAnsi="黑体" w:eastAsia="黑体" w:cs="黑体"/>
          <w:b/>
          <w:bCs/>
          <w:color w:val="auto"/>
          <w:sz w:val="32"/>
          <w:szCs w:val="32"/>
          <w:highlight w:val="none"/>
        </w:rPr>
        <w:t>义乌八都房地产开发有限公司100%股权及2.96亿元债权</w:t>
      </w:r>
    </w:p>
    <w:p>
      <w:pPr>
        <w:widowControl/>
        <w:shd w:val="clear" w:color="auto" w:fill="FFFFFF"/>
        <w:spacing w:line="500" w:lineRule="exact"/>
        <w:jc w:val="center"/>
        <w:rPr>
          <w:rFonts w:ascii="黑体" w:hAnsi="黑体" w:eastAsia="黑体" w:cs="宋体"/>
          <w:bCs/>
          <w:color w:val="auto"/>
          <w:kern w:val="0"/>
          <w:sz w:val="32"/>
          <w:szCs w:val="32"/>
          <w:highlight w:val="none"/>
        </w:rPr>
      </w:pPr>
      <w:r>
        <w:rPr>
          <w:rFonts w:hint="eastAsia" w:ascii="黑体" w:hAnsi="黑体" w:eastAsia="黑体" w:cs="宋体"/>
          <w:b/>
          <w:bCs/>
          <w:color w:val="auto"/>
          <w:kern w:val="0"/>
          <w:sz w:val="32"/>
          <w:szCs w:val="32"/>
          <w:highlight w:val="none"/>
        </w:rPr>
        <w:t>公开挂牌转让细则</w:t>
      </w:r>
    </w:p>
    <w:bookmarkEnd w:id="0"/>
    <w:p>
      <w:pPr>
        <w:widowControl/>
        <w:shd w:val="clear" w:color="auto" w:fill="FFFFFF"/>
        <w:spacing w:beforeLines="30" w:afterLines="30" w:line="500" w:lineRule="exact"/>
        <w:ind w:firstLine="560" w:firstLineChars="200"/>
        <w:jc w:val="left"/>
        <w:rPr>
          <w:rFonts w:ascii="宋体" w:hAnsi="宋体" w:cs="宋体"/>
          <w:color w:val="auto"/>
          <w:sz w:val="28"/>
          <w:szCs w:val="28"/>
          <w:highlight w:val="none"/>
        </w:rPr>
      </w:pPr>
      <w:r>
        <w:rPr>
          <w:rFonts w:hint="eastAsia" w:ascii="宋体" w:hAnsi="宋体" w:cs="宋体"/>
          <w:color w:val="auto"/>
          <w:sz w:val="28"/>
          <w:szCs w:val="28"/>
          <w:highlight w:val="none"/>
        </w:rPr>
        <w:t>为规范浙江义乌高新区开发建设有限公司所持有的义乌八都房地产开发有限公司100%股权及2.96亿元债权公开挂牌转让行为，根据《企业国有资产交易监督管理办法》（国务院国资委、财政部令第</w:t>
      </w:r>
      <w:r>
        <w:rPr>
          <w:rFonts w:ascii="宋体" w:hAnsi="宋体" w:cs="宋体"/>
          <w:color w:val="auto"/>
          <w:sz w:val="28"/>
          <w:szCs w:val="28"/>
          <w:highlight w:val="none"/>
        </w:rPr>
        <w:t>32号）</w:t>
      </w:r>
      <w:r>
        <w:rPr>
          <w:rFonts w:hint="eastAsia" w:ascii="宋体" w:hAnsi="宋体" w:cs="宋体"/>
          <w:color w:val="auto"/>
          <w:sz w:val="28"/>
          <w:szCs w:val="28"/>
          <w:highlight w:val="none"/>
        </w:rPr>
        <w:t>和《义乌市国有产权交易监督管理办法》等法律法规，特制定本细则。</w:t>
      </w:r>
    </w:p>
    <w:p>
      <w:pPr>
        <w:keepNext w:val="0"/>
        <w:keepLines w:val="0"/>
        <w:pageBreakBefore w:val="0"/>
        <w:widowControl/>
        <w:shd w:val="clear" w:color="auto" w:fill="FFFFFF"/>
        <w:kinsoku/>
        <w:wordWrap/>
        <w:overflowPunct/>
        <w:topLinePunct w:val="0"/>
        <w:autoSpaceDE/>
        <w:autoSpaceDN/>
        <w:bidi w:val="0"/>
        <w:adjustRightInd/>
        <w:snapToGrid/>
        <w:spacing w:before="63" w:beforeLines="20" w:after="63" w:afterLines="20" w:line="500" w:lineRule="exact"/>
        <w:ind w:firstLine="562" w:firstLineChars="200"/>
        <w:jc w:val="left"/>
        <w:textAlignment w:val="auto"/>
        <w:rPr>
          <w:rFonts w:ascii="宋体" w:hAnsi="宋体" w:cs="宋体"/>
          <w:b/>
          <w:bCs/>
          <w:color w:val="auto"/>
          <w:sz w:val="28"/>
          <w:szCs w:val="28"/>
          <w:highlight w:val="none"/>
        </w:rPr>
      </w:pPr>
      <w:r>
        <w:rPr>
          <w:rFonts w:hint="eastAsia" w:ascii="宋体" w:hAnsi="宋体" w:cs="宋体"/>
          <w:b/>
          <w:bCs/>
          <w:color w:val="auto"/>
          <w:sz w:val="28"/>
          <w:szCs w:val="28"/>
          <w:highlight w:val="none"/>
        </w:rPr>
        <w:t>一、转让原则</w:t>
      </w:r>
    </w:p>
    <w:p>
      <w:pPr>
        <w:keepNext w:val="0"/>
        <w:keepLines w:val="0"/>
        <w:pageBreakBefore w:val="0"/>
        <w:widowControl w:val="0"/>
        <w:kinsoku/>
        <w:wordWrap/>
        <w:overflowPunct/>
        <w:topLinePunct w:val="0"/>
        <w:autoSpaceDE/>
        <w:autoSpaceDN/>
        <w:bidi w:val="0"/>
        <w:adjustRightInd/>
        <w:snapToGrid/>
        <w:spacing w:before="63" w:beforeLines="20" w:after="63" w:afterLines="20" w:line="500" w:lineRule="exact"/>
        <w:ind w:left="559" w:leftChars="266"/>
        <w:jc w:val="left"/>
        <w:textAlignment w:val="auto"/>
        <w:rPr>
          <w:rFonts w:ascii="宋体" w:hAnsi="宋体" w:cs="宋体"/>
          <w:b/>
          <w:bCs/>
          <w:color w:val="auto"/>
          <w:sz w:val="28"/>
          <w:szCs w:val="28"/>
          <w:highlight w:val="none"/>
        </w:rPr>
      </w:pPr>
      <w:r>
        <w:rPr>
          <w:rFonts w:hint="eastAsia" w:ascii="宋体" w:hAnsi="宋体" w:cs="宋体"/>
          <w:color w:val="auto"/>
          <w:sz w:val="28"/>
          <w:szCs w:val="28"/>
          <w:highlight w:val="none"/>
        </w:rPr>
        <w:t>本次公开挂牌转让活动遵循公开、公平、公正和诚实信用的原则。</w:t>
      </w:r>
      <w:r>
        <w:rPr>
          <w:rFonts w:ascii="宋体" w:hAnsi="宋体" w:cs="宋体"/>
          <w:color w:val="auto"/>
          <w:sz w:val="28"/>
          <w:szCs w:val="28"/>
          <w:highlight w:val="none"/>
        </w:rPr>
        <w:br w:type="textWrapping"/>
      </w:r>
      <w:r>
        <w:rPr>
          <w:rFonts w:ascii="宋体" w:hAnsi="宋体" w:cs="宋体"/>
          <w:b/>
          <w:bCs/>
          <w:color w:val="auto"/>
          <w:sz w:val="28"/>
          <w:szCs w:val="28"/>
          <w:highlight w:val="none"/>
        </w:rPr>
        <w:t>二、</w:t>
      </w:r>
      <w:r>
        <w:rPr>
          <w:rFonts w:hint="eastAsia" w:ascii="宋体" w:hAnsi="宋体" w:cs="宋体"/>
          <w:b/>
          <w:bCs/>
          <w:color w:val="auto"/>
          <w:sz w:val="28"/>
          <w:szCs w:val="28"/>
          <w:highlight w:val="none"/>
        </w:rPr>
        <w:t>转让方</w:t>
      </w:r>
    </w:p>
    <w:p>
      <w:pPr>
        <w:spacing w:line="500" w:lineRule="exact"/>
        <w:ind w:firstLine="560" w:firstLineChars="200"/>
        <w:rPr>
          <w:rFonts w:ascii="宋体" w:hAnsi="宋体"/>
          <w:color w:val="auto"/>
          <w:sz w:val="28"/>
          <w:szCs w:val="28"/>
          <w:highlight w:val="none"/>
        </w:rPr>
      </w:pPr>
      <w:r>
        <w:rPr>
          <w:rFonts w:hint="eastAsia" w:ascii="宋体" w:hAnsi="宋体"/>
          <w:color w:val="auto"/>
          <w:sz w:val="28"/>
          <w:szCs w:val="28"/>
          <w:highlight w:val="none"/>
        </w:rPr>
        <w:t>浙江义乌高新区开发建设有限公司</w:t>
      </w:r>
      <w:r>
        <w:rPr>
          <w:rFonts w:hint="eastAsia" w:ascii="宋体" w:hAnsi="宋体" w:cs="宋体"/>
          <w:color w:val="auto"/>
          <w:sz w:val="28"/>
          <w:szCs w:val="28"/>
          <w:highlight w:val="none"/>
        </w:rPr>
        <w:t>（以下简称“转让方”）</w:t>
      </w:r>
      <w:r>
        <w:rPr>
          <w:rFonts w:hint="eastAsia" w:ascii="宋体" w:hAnsi="宋体"/>
          <w:color w:val="auto"/>
          <w:sz w:val="28"/>
          <w:szCs w:val="28"/>
          <w:highlight w:val="none"/>
        </w:rPr>
        <w:t>系义乌市产业投资发展集团有限公司全资子公司，成立于2013</w:t>
      </w:r>
      <w:r>
        <w:rPr>
          <w:rFonts w:ascii="宋体" w:hAnsi="宋体"/>
          <w:color w:val="auto"/>
          <w:sz w:val="28"/>
          <w:szCs w:val="28"/>
          <w:highlight w:val="none"/>
        </w:rPr>
        <w:t>年</w:t>
      </w:r>
      <w:r>
        <w:rPr>
          <w:rFonts w:hint="eastAsia" w:ascii="宋体" w:hAnsi="宋体"/>
          <w:color w:val="auto"/>
          <w:sz w:val="28"/>
          <w:szCs w:val="28"/>
          <w:highlight w:val="none"/>
        </w:rPr>
        <w:t>7</w:t>
      </w:r>
      <w:r>
        <w:rPr>
          <w:rFonts w:ascii="宋体" w:hAnsi="宋体"/>
          <w:color w:val="auto"/>
          <w:sz w:val="28"/>
          <w:szCs w:val="28"/>
          <w:highlight w:val="none"/>
        </w:rPr>
        <w:t>月，注册资</w:t>
      </w:r>
      <w:r>
        <w:rPr>
          <w:rFonts w:hint="eastAsia" w:ascii="宋体" w:hAnsi="宋体"/>
          <w:color w:val="auto"/>
          <w:sz w:val="28"/>
          <w:szCs w:val="28"/>
          <w:highlight w:val="none"/>
        </w:rPr>
        <w:t>本5</w:t>
      </w:r>
      <w:r>
        <w:rPr>
          <w:rFonts w:ascii="宋体" w:hAnsi="宋体"/>
          <w:color w:val="auto"/>
          <w:sz w:val="28"/>
          <w:szCs w:val="28"/>
          <w:highlight w:val="none"/>
        </w:rPr>
        <w:t>亿元人民币。</w:t>
      </w:r>
      <w:r>
        <w:rPr>
          <w:rFonts w:hint="eastAsia" w:ascii="宋体" w:hAnsi="宋体"/>
          <w:color w:val="auto"/>
          <w:sz w:val="28"/>
          <w:szCs w:val="28"/>
          <w:highlight w:val="none"/>
        </w:rPr>
        <w:t>主要经营范围</w:t>
      </w:r>
      <w:r>
        <w:rPr>
          <w:rFonts w:hint="eastAsia" w:ascii="宋体" w:hAnsi="宋体" w:cs="宋体"/>
          <w:color w:val="auto"/>
          <w:sz w:val="28"/>
          <w:szCs w:val="28"/>
          <w:highlight w:val="none"/>
        </w:rPr>
        <w:t>：</w:t>
      </w:r>
      <w:r>
        <w:rPr>
          <w:rFonts w:hint="eastAsia" w:ascii="宋体" w:hAnsi="宋体" w:cs="宋体"/>
          <w:color w:val="auto"/>
          <w:kern w:val="0"/>
          <w:sz w:val="28"/>
          <w:szCs w:val="28"/>
          <w:highlight w:val="none"/>
        </w:rPr>
        <w:t>城市基础设施投资、建设与管理；城市绿化、园林项目建设；各类政府（社会）性投资项目代建（管理）；房地产开发与销售；国有资产经营管理、物业服务与咨询；浙江义乌工业园区范围的土地一级开发；以投资、控股、参股、转让等形式从事资本经营业务。</w:t>
      </w:r>
    </w:p>
    <w:p>
      <w:pPr>
        <w:keepNext w:val="0"/>
        <w:keepLines w:val="0"/>
        <w:pageBreakBefore w:val="0"/>
        <w:widowControl w:val="0"/>
        <w:kinsoku/>
        <w:wordWrap/>
        <w:overflowPunct/>
        <w:topLinePunct w:val="0"/>
        <w:autoSpaceDE/>
        <w:autoSpaceDN/>
        <w:bidi w:val="0"/>
        <w:adjustRightInd/>
        <w:snapToGrid/>
        <w:spacing w:before="63" w:beforeLines="20" w:after="63" w:afterLines="20" w:line="500" w:lineRule="exact"/>
        <w:ind w:firstLine="562" w:firstLineChars="200"/>
        <w:textAlignment w:val="auto"/>
        <w:rPr>
          <w:rFonts w:ascii="宋体" w:hAnsi="宋体" w:cs="宋体"/>
          <w:b/>
          <w:bCs/>
          <w:color w:val="auto"/>
          <w:sz w:val="28"/>
          <w:szCs w:val="28"/>
          <w:highlight w:val="none"/>
        </w:rPr>
      </w:pPr>
      <w:r>
        <w:rPr>
          <w:rFonts w:hint="eastAsia" w:ascii="宋体" w:hAnsi="宋体" w:cs="宋体"/>
          <w:b/>
          <w:bCs/>
          <w:color w:val="auto"/>
          <w:sz w:val="28"/>
          <w:szCs w:val="28"/>
          <w:highlight w:val="none"/>
        </w:rPr>
        <w:t>三、转让标的</w:t>
      </w:r>
    </w:p>
    <w:p>
      <w:pPr>
        <w:autoSpaceDE w:val="0"/>
        <w:autoSpaceDN w:val="0"/>
        <w:adjustRightInd w:val="0"/>
        <w:spacing w:line="500" w:lineRule="exact"/>
        <w:ind w:firstLine="560" w:firstLineChars="200"/>
        <w:jc w:val="left"/>
        <w:rPr>
          <w:rFonts w:ascii="宋体" w:hAnsi="宋体" w:cs="宋体"/>
          <w:b/>
          <w:bCs/>
          <w:color w:val="auto"/>
          <w:sz w:val="28"/>
          <w:szCs w:val="28"/>
          <w:highlight w:val="none"/>
        </w:rPr>
      </w:pPr>
      <w:r>
        <w:rPr>
          <w:rFonts w:hint="eastAsia" w:ascii="宋体" w:hAnsi="宋体" w:cs="宋体"/>
          <w:color w:val="auto"/>
          <w:sz w:val="28"/>
          <w:szCs w:val="28"/>
          <w:highlight w:val="none"/>
        </w:rPr>
        <w:t>本次公开挂牌转让标的为：转让方持有的义乌八都房地产开发有限公司100%股权、转让方对标的公司的2.96亿元债权。</w:t>
      </w:r>
    </w:p>
    <w:p>
      <w:pPr>
        <w:keepNext w:val="0"/>
        <w:keepLines w:val="0"/>
        <w:pageBreakBefore w:val="0"/>
        <w:widowControl/>
        <w:shd w:val="clear" w:color="auto" w:fill="FFFFFF"/>
        <w:kinsoku/>
        <w:wordWrap/>
        <w:overflowPunct/>
        <w:topLinePunct w:val="0"/>
        <w:autoSpaceDE/>
        <w:autoSpaceDN/>
        <w:bidi w:val="0"/>
        <w:adjustRightInd/>
        <w:snapToGrid/>
        <w:spacing w:before="63" w:beforeLines="20" w:after="63" w:afterLines="20" w:line="500" w:lineRule="exact"/>
        <w:ind w:firstLine="562" w:firstLineChars="200"/>
        <w:jc w:val="left"/>
        <w:textAlignment w:val="auto"/>
        <w:rPr>
          <w:rFonts w:ascii="宋体" w:hAnsi="宋体" w:cs="宋体"/>
          <w:b/>
          <w:bCs/>
          <w:color w:val="auto"/>
          <w:sz w:val="28"/>
          <w:szCs w:val="28"/>
          <w:highlight w:val="none"/>
        </w:rPr>
      </w:pPr>
      <w:r>
        <w:rPr>
          <w:rFonts w:hint="eastAsia" w:ascii="宋体" w:hAnsi="宋体" w:cs="宋体"/>
          <w:b/>
          <w:bCs/>
          <w:color w:val="auto"/>
          <w:sz w:val="28"/>
          <w:szCs w:val="28"/>
          <w:highlight w:val="none"/>
        </w:rPr>
        <w:t>四</w:t>
      </w:r>
      <w:r>
        <w:rPr>
          <w:rFonts w:ascii="宋体" w:hAnsi="宋体" w:cs="宋体"/>
          <w:b/>
          <w:bCs/>
          <w:color w:val="auto"/>
          <w:sz w:val="28"/>
          <w:szCs w:val="28"/>
          <w:highlight w:val="none"/>
        </w:rPr>
        <w:t>、</w:t>
      </w:r>
      <w:r>
        <w:rPr>
          <w:rFonts w:hint="eastAsia" w:ascii="宋体" w:hAnsi="宋体" w:cs="宋体"/>
          <w:b/>
          <w:bCs/>
          <w:color w:val="auto"/>
          <w:sz w:val="28"/>
          <w:szCs w:val="28"/>
          <w:highlight w:val="none"/>
        </w:rPr>
        <w:t>标的基本情况</w:t>
      </w:r>
    </w:p>
    <w:p>
      <w:pPr>
        <w:autoSpaceDE w:val="0"/>
        <w:autoSpaceDN w:val="0"/>
        <w:adjustRightInd w:val="0"/>
        <w:spacing w:line="500" w:lineRule="exact"/>
        <w:ind w:firstLine="562" w:firstLineChars="200"/>
        <w:jc w:val="left"/>
        <w:rPr>
          <w:rFonts w:ascii="宋体" w:hAnsi="宋体"/>
          <w:b/>
          <w:bCs/>
          <w:color w:val="auto"/>
          <w:kern w:val="0"/>
          <w:sz w:val="28"/>
          <w:szCs w:val="28"/>
          <w:highlight w:val="none"/>
        </w:rPr>
      </w:pPr>
      <w:r>
        <w:rPr>
          <w:rFonts w:hint="eastAsia" w:ascii="宋体" w:hAnsi="宋体"/>
          <w:b/>
          <w:bCs/>
          <w:color w:val="auto"/>
          <w:kern w:val="0"/>
          <w:sz w:val="28"/>
          <w:szCs w:val="28"/>
          <w:highlight w:val="none"/>
        </w:rPr>
        <w:t>（一）</w:t>
      </w:r>
      <w:r>
        <w:rPr>
          <w:rFonts w:hint="eastAsia" w:ascii="宋体" w:hAnsi="宋体" w:cs="宋体"/>
          <w:b/>
          <w:bCs/>
          <w:color w:val="auto"/>
          <w:sz w:val="28"/>
          <w:szCs w:val="28"/>
          <w:highlight w:val="none"/>
        </w:rPr>
        <w:t>标的公司基本情况</w:t>
      </w:r>
    </w:p>
    <w:p>
      <w:pPr>
        <w:autoSpaceDE w:val="0"/>
        <w:autoSpaceDN w:val="0"/>
        <w:adjustRightInd w:val="0"/>
        <w:spacing w:line="500" w:lineRule="exact"/>
        <w:ind w:firstLine="560" w:firstLineChars="200"/>
        <w:jc w:val="left"/>
        <w:rPr>
          <w:rFonts w:ascii="宋体" w:hAnsi="宋体"/>
          <w:color w:val="auto"/>
          <w:kern w:val="0"/>
          <w:sz w:val="28"/>
          <w:szCs w:val="28"/>
          <w:highlight w:val="none"/>
        </w:rPr>
      </w:pPr>
      <w:r>
        <w:rPr>
          <w:rFonts w:ascii="宋体" w:hAnsi="宋体"/>
          <w:color w:val="auto"/>
          <w:kern w:val="0"/>
          <w:sz w:val="28"/>
          <w:szCs w:val="28"/>
          <w:highlight w:val="none"/>
        </w:rPr>
        <w:t>1</w:t>
      </w:r>
      <w:r>
        <w:rPr>
          <w:rFonts w:hint="eastAsia" w:ascii="宋体" w:hAnsi="宋体"/>
          <w:color w:val="auto"/>
          <w:kern w:val="0"/>
          <w:sz w:val="28"/>
          <w:szCs w:val="28"/>
          <w:highlight w:val="none"/>
        </w:rPr>
        <w:t>.</w:t>
      </w:r>
      <w:r>
        <w:rPr>
          <w:rFonts w:ascii="宋体" w:hAnsi="宋体"/>
          <w:color w:val="auto"/>
          <w:kern w:val="0"/>
          <w:sz w:val="28"/>
          <w:szCs w:val="28"/>
          <w:highlight w:val="none"/>
        </w:rPr>
        <w:t>公司概况：</w:t>
      </w:r>
    </w:p>
    <w:p>
      <w:pPr>
        <w:autoSpaceDE w:val="0"/>
        <w:autoSpaceDN w:val="0"/>
        <w:adjustRightInd w:val="0"/>
        <w:spacing w:line="500" w:lineRule="exact"/>
        <w:ind w:firstLine="560" w:firstLineChars="200"/>
        <w:jc w:val="left"/>
        <w:rPr>
          <w:rFonts w:ascii="宋体" w:hAnsi="宋体" w:cs="宋体"/>
          <w:color w:val="auto"/>
          <w:sz w:val="28"/>
          <w:szCs w:val="28"/>
          <w:highlight w:val="none"/>
        </w:rPr>
      </w:pPr>
      <w:r>
        <w:rPr>
          <w:rFonts w:hint="eastAsia" w:ascii="宋体" w:hAnsi="宋体"/>
          <w:color w:val="auto"/>
          <w:kern w:val="0"/>
          <w:sz w:val="28"/>
          <w:szCs w:val="28"/>
          <w:highlight w:val="none"/>
        </w:rPr>
        <w:t>公司名称：</w:t>
      </w:r>
      <w:r>
        <w:rPr>
          <w:rFonts w:hint="eastAsia" w:ascii="宋体" w:hAnsi="宋体" w:cs="宋体"/>
          <w:color w:val="auto"/>
          <w:sz w:val="28"/>
          <w:szCs w:val="28"/>
          <w:highlight w:val="none"/>
        </w:rPr>
        <w:t>义乌八都房地产开发有限公司</w:t>
      </w:r>
    </w:p>
    <w:p>
      <w:pPr>
        <w:autoSpaceDE w:val="0"/>
        <w:autoSpaceDN w:val="0"/>
        <w:adjustRightInd w:val="0"/>
        <w:spacing w:line="500" w:lineRule="exact"/>
        <w:ind w:firstLine="560" w:firstLineChars="200"/>
        <w:jc w:val="left"/>
        <w:rPr>
          <w:rFonts w:ascii="宋体" w:hAnsi="宋体"/>
          <w:color w:val="auto"/>
          <w:kern w:val="0"/>
          <w:sz w:val="28"/>
          <w:szCs w:val="28"/>
          <w:highlight w:val="none"/>
        </w:rPr>
      </w:pPr>
      <w:r>
        <w:rPr>
          <w:rFonts w:hint="eastAsia" w:ascii="宋体" w:hAnsi="宋体"/>
          <w:color w:val="auto"/>
          <w:kern w:val="0"/>
          <w:sz w:val="28"/>
          <w:szCs w:val="28"/>
          <w:highlight w:val="none"/>
        </w:rPr>
        <w:t>统一社会信用代码：</w:t>
      </w:r>
      <w:r>
        <w:rPr>
          <w:rFonts w:hint="eastAsia" w:ascii="宋体" w:hAnsi="宋体"/>
          <w:color w:val="auto"/>
          <w:sz w:val="28"/>
          <w:szCs w:val="28"/>
          <w:highlight w:val="none"/>
        </w:rPr>
        <w:t>91330782MA28D56M0M</w:t>
      </w:r>
    </w:p>
    <w:p>
      <w:pPr>
        <w:spacing w:line="500" w:lineRule="exact"/>
        <w:ind w:firstLine="560" w:firstLineChars="200"/>
        <w:rPr>
          <w:rFonts w:ascii="宋体" w:hAnsi="宋体"/>
          <w:color w:val="auto"/>
          <w:kern w:val="0"/>
          <w:sz w:val="28"/>
          <w:szCs w:val="28"/>
          <w:highlight w:val="none"/>
        </w:rPr>
      </w:pPr>
      <w:r>
        <w:rPr>
          <w:rFonts w:hint="eastAsia" w:ascii="宋体" w:hAnsi="宋体"/>
          <w:color w:val="auto"/>
          <w:kern w:val="0"/>
          <w:sz w:val="28"/>
          <w:szCs w:val="28"/>
          <w:highlight w:val="none"/>
        </w:rPr>
        <w:t>公司类型：有限责任公司（非自然人投资或控股的法人独资）</w:t>
      </w:r>
    </w:p>
    <w:p>
      <w:pPr>
        <w:spacing w:line="500" w:lineRule="exact"/>
        <w:ind w:firstLine="560" w:firstLineChars="200"/>
        <w:rPr>
          <w:rFonts w:ascii="宋体" w:hAnsi="宋体"/>
          <w:color w:val="auto"/>
          <w:kern w:val="0"/>
          <w:sz w:val="28"/>
          <w:szCs w:val="28"/>
          <w:highlight w:val="none"/>
        </w:rPr>
      </w:pPr>
      <w:r>
        <w:rPr>
          <w:rFonts w:hint="eastAsia" w:ascii="宋体" w:hAnsi="宋体"/>
          <w:color w:val="auto"/>
          <w:kern w:val="0"/>
          <w:sz w:val="28"/>
          <w:szCs w:val="28"/>
          <w:highlight w:val="none"/>
        </w:rPr>
        <w:t>经济类型：国有独资企业</w:t>
      </w:r>
    </w:p>
    <w:p>
      <w:pPr>
        <w:autoSpaceDE w:val="0"/>
        <w:autoSpaceDN w:val="0"/>
        <w:adjustRightInd w:val="0"/>
        <w:spacing w:line="500" w:lineRule="exact"/>
        <w:ind w:firstLine="560" w:firstLineChars="200"/>
        <w:jc w:val="left"/>
        <w:rPr>
          <w:rFonts w:ascii="宋体" w:hAnsi="宋体"/>
          <w:color w:val="auto"/>
          <w:kern w:val="0"/>
          <w:sz w:val="28"/>
          <w:szCs w:val="28"/>
          <w:highlight w:val="none"/>
        </w:rPr>
      </w:pPr>
      <w:r>
        <w:rPr>
          <w:rFonts w:hint="eastAsia" w:ascii="宋体" w:hAnsi="宋体"/>
          <w:color w:val="auto"/>
          <w:kern w:val="0"/>
          <w:sz w:val="28"/>
          <w:szCs w:val="28"/>
          <w:highlight w:val="none"/>
        </w:rPr>
        <w:t>注册地：</w:t>
      </w:r>
      <w:r>
        <w:rPr>
          <w:rFonts w:hint="eastAsia" w:ascii="宋体" w:hAnsi="宋体"/>
          <w:color w:val="auto"/>
          <w:sz w:val="28"/>
          <w:szCs w:val="28"/>
          <w:highlight w:val="none"/>
        </w:rPr>
        <w:t>浙江省义乌市苏溪镇苏福路126号</w:t>
      </w:r>
    </w:p>
    <w:p>
      <w:pPr>
        <w:autoSpaceDE w:val="0"/>
        <w:autoSpaceDN w:val="0"/>
        <w:adjustRightInd w:val="0"/>
        <w:spacing w:line="500" w:lineRule="exact"/>
        <w:ind w:firstLine="560" w:firstLineChars="200"/>
        <w:jc w:val="left"/>
        <w:rPr>
          <w:rFonts w:ascii="宋体" w:hAnsi="宋体"/>
          <w:color w:val="auto"/>
          <w:kern w:val="0"/>
          <w:sz w:val="28"/>
          <w:szCs w:val="28"/>
          <w:highlight w:val="none"/>
        </w:rPr>
      </w:pPr>
      <w:r>
        <w:rPr>
          <w:rFonts w:hint="eastAsia" w:ascii="宋体" w:hAnsi="宋体"/>
          <w:color w:val="auto"/>
          <w:kern w:val="0"/>
          <w:sz w:val="28"/>
          <w:szCs w:val="28"/>
          <w:highlight w:val="none"/>
        </w:rPr>
        <w:t>法定代表人：</w:t>
      </w:r>
      <w:r>
        <w:rPr>
          <w:rFonts w:hint="eastAsia" w:ascii="宋体" w:hAnsi="宋体"/>
          <w:color w:val="auto"/>
          <w:sz w:val="28"/>
          <w:szCs w:val="28"/>
          <w:highlight w:val="none"/>
        </w:rPr>
        <w:t>傅强</w:t>
      </w:r>
    </w:p>
    <w:p>
      <w:pPr>
        <w:autoSpaceDE w:val="0"/>
        <w:autoSpaceDN w:val="0"/>
        <w:adjustRightInd w:val="0"/>
        <w:spacing w:line="500" w:lineRule="exact"/>
        <w:ind w:firstLine="560" w:firstLineChars="200"/>
        <w:jc w:val="left"/>
        <w:rPr>
          <w:rFonts w:ascii="宋体" w:hAnsi="宋体"/>
          <w:color w:val="auto"/>
          <w:kern w:val="0"/>
          <w:sz w:val="28"/>
          <w:szCs w:val="28"/>
          <w:highlight w:val="none"/>
        </w:rPr>
      </w:pPr>
      <w:r>
        <w:rPr>
          <w:rFonts w:hint="eastAsia" w:ascii="宋体" w:hAnsi="宋体"/>
          <w:color w:val="auto"/>
          <w:kern w:val="0"/>
          <w:sz w:val="28"/>
          <w:szCs w:val="28"/>
          <w:highlight w:val="none"/>
        </w:rPr>
        <w:t>注册资本：人民币500万元</w:t>
      </w:r>
    </w:p>
    <w:p>
      <w:pPr>
        <w:autoSpaceDE w:val="0"/>
        <w:autoSpaceDN w:val="0"/>
        <w:adjustRightInd w:val="0"/>
        <w:spacing w:line="500" w:lineRule="exact"/>
        <w:ind w:firstLine="560" w:firstLineChars="200"/>
        <w:jc w:val="left"/>
        <w:rPr>
          <w:rFonts w:ascii="宋体" w:hAnsi="宋体"/>
          <w:color w:val="auto"/>
          <w:kern w:val="0"/>
          <w:sz w:val="28"/>
          <w:szCs w:val="28"/>
          <w:highlight w:val="none"/>
        </w:rPr>
      </w:pPr>
      <w:r>
        <w:rPr>
          <w:rFonts w:hint="eastAsia" w:ascii="宋体" w:hAnsi="宋体"/>
          <w:color w:val="auto"/>
          <w:kern w:val="0"/>
          <w:sz w:val="28"/>
          <w:szCs w:val="28"/>
          <w:highlight w:val="none"/>
        </w:rPr>
        <w:t>成立日期：2015年11月27日</w:t>
      </w:r>
    </w:p>
    <w:p>
      <w:pPr>
        <w:autoSpaceDE w:val="0"/>
        <w:autoSpaceDN w:val="0"/>
        <w:adjustRightInd w:val="0"/>
        <w:spacing w:line="500" w:lineRule="exact"/>
        <w:ind w:firstLine="560" w:firstLineChars="200"/>
        <w:jc w:val="left"/>
        <w:rPr>
          <w:rFonts w:ascii="宋体" w:hAnsi="宋体"/>
          <w:color w:val="auto"/>
          <w:kern w:val="0"/>
          <w:sz w:val="28"/>
          <w:szCs w:val="28"/>
          <w:highlight w:val="none"/>
        </w:rPr>
      </w:pPr>
      <w:r>
        <w:rPr>
          <w:rFonts w:hint="eastAsia" w:ascii="宋体" w:hAnsi="宋体"/>
          <w:color w:val="auto"/>
          <w:kern w:val="0"/>
          <w:sz w:val="28"/>
          <w:szCs w:val="28"/>
          <w:highlight w:val="none"/>
        </w:rPr>
        <w:t>经营范围：</w:t>
      </w:r>
      <w:r>
        <w:rPr>
          <w:rFonts w:hint="eastAsia" w:ascii="宋体" w:hAnsi="宋体"/>
          <w:color w:val="auto"/>
          <w:sz w:val="28"/>
          <w:szCs w:val="28"/>
          <w:highlight w:val="none"/>
        </w:rPr>
        <w:t>城市基础设施投资、建设与管理；城市绿化、园林项目建设；各类政府(社会)性投资项目代建(管理)；房地产开发与销售；国有资产经营管理、物业服务与咨询。(上述经营范围须审批资质证书的与有效资质证书同时使用)(依法须经批准的项目，经相关部门批准后方可开展经营活动)</w:t>
      </w:r>
    </w:p>
    <w:p>
      <w:pPr>
        <w:widowControl/>
        <w:shd w:val="clear" w:color="auto" w:fill="FFFFFF"/>
        <w:spacing w:line="500" w:lineRule="exact"/>
        <w:ind w:firstLine="560" w:firstLineChars="200"/>
        <w:jc w:val="left"/>
        <w:rPr>
          <w:rFonts w:ascii="宋体" w:hAnsi="宋体"/>
          <w:color w:val="auto"/>
          <w:kern w:val="0"/>
          <w:sz w:val="28"/>
          <w:szCs w:val="28"/>
          <w:highlight w:val="none"/>
        </w:rPr>
      </w:pPr>
      <w:r>
        <w:rPr>
          <w:rFonts w:hint="eastAsia" w:ascii="宋体" w:hAnsi="宋体" w:cs="宋体"/>
          <w:color w:val="auto"/>
          <w:sz w:val="28"/>
          <w:szCs w:val="28"/>
          <w:highlight w:val="none"/>
        </w:rPr>
        <w:t>资质情况：房地产开发肆级，证书编号：浙房义综字162号，有效期至2022年09月02日。</w:t>
      </w:r>
    </w:p>
    <w:p>
      <w:pPr>
        <w:autoSpaceDE w:val="0"/>
        <w:autoSpaceDN w:val="0"/>
        <w:adjustRightInd w:val="0"/>
        <w:spacing w:line="500" w:lineRule="exact"/>
        <w:ind w:firstLine="560" w:firstLineChars="200"/>
        <w:jc w:val="left"/>
        <w:rPr>
          <w:rFonts w:ascii="宋体" w:hAnsi="宋体"/>
          <w:color w:val="auto"/>
          <w:kern w:val="0"/>
          <w:sz w:val="28"/>
          <w:szCs w:val="28"/>
          <w:highlight w:val="none"/>
        </w:rPr>
      </w:pPr>
      <w:r>
        <w:rPr>
          <w:rFonts w:hint="eastAsia" w:ascii="宋体" w:hAnsi="宋体"/>
          <w:color w:val="auto"/>
          <w:kern w:val="0"/>
          <w:sz w:val="28"/>
          <w:szCs w:val="28"/>
          <w:highlight w:val="none"/>
        </w:rPr>
        <w:t>职工人数：1</w:t>
      </w:r>
      <w:r>
        <w:rPr>
          <w:rFonts w:ascii="宋体" w:hAnsi="宋体"/>
          <w:color w:val="auto"/>
          <w:kern w:val="0"/>
          <w:sz w:val="28"/>
          <w:szCs w:val="28"/>
          <w:highlight w:val="none"/>
        </w:rPr>
        <w:t>人</w:t>
      </w:r>
      <w:r>
        <w:rPr>
          <w:rFonts w:hint="eastAsia" w:ascii="宋体" w:hAnsi="宋体"/>
          <w:color w:val="auto"/>
          <w:kern w:val="0"/>
          <w:sz w:val="28"/>
          <w:szCs w:val="28"/>
          <w:highlight w:val="none"/>
        </w:rPr>
        <w:t>（兼职）</w:t>
      </w:r>
    </w:p>
    <w:p>
      <w:pPr>
        <w:autoSpaceDE w:val="0"/>
        <w:autoSpaceDN w:val="0"/>
        <w:adjustRightInd w:val="0"/>
        <w:spacing w:line="500" w:lineRule="exact"/>
        <w:ind w:firstLine="560" w:firstLineChars="200"/>
        <w:jc w:val="left"/>
        <w:rPr>
          <w:rFonts w:ascii="宋体" w:hAnsi="宋体"/>
          <w:color w:val="auto"/>
          <w:kern w:val="0"/>
          <w:sz w:val="28"/>
          <w:szCs w:val="28"/>
          <w:highlight w:val="none"/>
        </w:rPr>
      </w:pPr>
      <w:r>
        <w:rPr>
          <w:rFonts w:hint="eastAsia" w:ascii="宋体" w:hAnsi="宋体"/>
          <w:color w:val="auto"/>
          <w:kern w:val="0"/>
          <w:sz w:val="28"/>
          <w:szCs w:val="28"/>
          <w:highlight w:val="none"/>
        </w:rPr>
        <w:t>2.</w:t>
      </w:r>
      <w:r>
        <w:rPr>
          <w:rFonts w:ascii="宋体" w:hAnsi="宋体"/>
          <w:color w:val="auto"/>
          <w:kern w:val="0"/>
          <w:sz w:val="28"/>
          <w:szCs w:val="28"/>
          <w:highlight w:val="none"/>
        </w:rPr>
        <w:t>股东结构：</w:t>
      </w:r>
    </w:p>
    <w:tbl>
      <w:tblPr>
        <w:tblStyle w:val="5"/>
        <w:tblW w:w="0" w:type="auto"/>
        <w:tblInd w:w="67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555"/>
        <w:gridCol w:w="5253"/>
        <w:gridCol w:w="203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3" w:hRule="atLeast"/>
        </w:trPr>
        <w:tc>
          <w:tcPr>
            <w:tcW w:w="555" w:type="dxa"/>
          </w:tcPr>
          <w:p>
            <w:pPr>
              <w:autoSpaceDE w:val="0"/>
              <w:autoSpaceDN w:val="0"/>
              <w:adjustRightInd w:val="0"/>
              <w:spacing w:line="360" w:lineRule="exact"/>
              <w:jc w:val="center"/>
              <w:rPr>
                <w:rFonts w:ascii="宋体" w:hAnsi="宋体"/>
                <w:color w:val="auto"/>
                <w:kern w:val="0"/>
                <w:sz w:val="28"/>
                <w:szCs w:val="28"/>
                <w:highlight w:val="none"/>
              </w:rPr>
            </w:pPr>
          </w:p>
        </w:tc>
        <w:tc>
          <w:tcPr>
            <w:tcW w:w="5253" w:type="dxa"/>
          </w:tcPr>
          <w:p>
            <w:pPr>
              <w:autoSpaceDE w:val="0"/>
              <w:autoSpaceDN w:val="0"/>
              <w:adjustRightInd w:val="0"/>
              <w:spacing w:line="360" w:lineRule="exact"/>
              <w:jc w:val="center"/>
              <w:rPr>
                <w:rFonts w:ascii="宋体" w:hAnsi="宋体"/>
                <w:color w:val="auto"/>
                <w:kern w:val="0"/>
                <w:sz w:val="28"/>
                <w:szCs w:val="28"/>
                <w:highlight w:val="none"/>
              </w:rPr>
            </w:pPr>
            <w:r>
              <w:rPr>
                <w:rFonts w:hint="eastAsia" w:ascii="宋体" w:hAnsi="宋体"/>
                <w:color w:val="auto"/>
                <w:kern w:val="0"/>
                <w:sz w:val="28"/>
                <w:szCs w:val="28"/>
                <w:highlight w:val="none"/>
              </w:rPr>
              <w:t>股东</w:t>
            </w:r>
          </w:p>
        </w:tc>
        <w:tc>
          <w:tcPr>
            <w:tcW w:w="2039" w:type="dxa"/>
          </w:tcPr>
          <w:p>
            <w:pPr>
              <w:autoSpaceDE w:val="0"/>
              <w:autoSpaceDN w:val="0"/>
              <w:adjustRightInd w:val="0"/>
              <w:spacing w:line="360" w:lineRule="exact"/>
              <w:jc w:val="center"/>
              <w:rPr>
                <w:rFonts w:ascii="宋体" w:hAnsi="宋体"/>
                <w:color w:val="auto"/>
                <w:kern w:val="0"/>
                <w:sz w:val="28"/>
                <w:szCs w:val="28"/>
                <w:highlight w:val="none"/>
              </w:rPr>
            </w:pPr>
            <w:r>
              <w:rPr>
                <w:rFonts w:hint="eastAsia" w:ascii="宋体" w:hAnsi="宋体"/>
                <w:color w:val="auto"/>
                <w:kern w:val="0"/>
                <w:sz w:val="28"/>
                <w:szCs w:val="28"/>
                <w:highlight w:val="none"/>
              </w:rPr>
              <w:t>占比</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1" w:hRule="atLeast"/>
        </w:trPr>
        <w:tc>
          <w:tcPr>
            <w:tcW w:w="555" w:type="dxa"/>
          </w:tcPr>
          <w:p>
            <w:pPr>
              <w:autoSpaceDE w:val="0"/>
              <w:autoSpaceDN w:val="0"/>
              <w:adjustRightInd w:val="0"/>
              <w:spacing w:line="360" w:lineRule="exact"/>
              <w:jc w:val="center"/>
              <w:rPr>
                <w:rFonts w:ascii="宋体" w:hAnsi="宋体"/>
                <w:color w:val="auto"/>
                <w:kern w:val="0"/>
                <w:sz w:val="28"/>
                <w:szCs w:val="28"/>
                <w:highlight w:val="none"/>
              </w:rPr>
            </w:pPr>
            <w:r>
              <w:rPr>
                <w:rFonts w:ascii="宋体" w:hAnsi="宋体"/>
                <w:color w:val="auto"/>
                <w:kern w:val="0"/>
                <w:sz w:val="28"/>
                <w:szCs w:val="28"/>
                <w:highlight w:val="none"/>
              </w:rPr>
              <w:t>1</w:t>
            </w:r>
          </w:p>
        </w:tc>
        <w:tc>
          <w:tcPr>
            <w:tcW w:w="5253" w:type="dxa"/>
          </w:tcPr>
          <w:p>
            <w:pPr>
              <w:autoSpaceDE w:val="0"/>
              <w:autoSpaceDN w:val="0"/>
              <w:adjustRightInd w:val="0"/>
              <w:spacing w:line="360" w:lineRule="exact"/>
              <w:jc w:val="center"/>
              <w:rPr>
                <w:rFonts w:ascii="宋体" w:hAnsi="宋体"/>
                <w:color w:val="auto"/>
                <w:kern w:val="0"/>
                <w:sz w:val="28"/>
                <w:szCs w:val="28"/>
                <w:highlight w:val="none"/>
              </w:rPr>
            </w:pPr>
            <w:r>
              <w:rPr>
                <w:rFonts w:hint="eastAsia" w:ascii="宋体" w:hAnsi="宋体"/>
                <w:color w:val="auto"/>
                <w:sz w:val="28"/>
                <w:szCs w:val="28"/>
                <w:highlight w:val="none"/>
              </w:rPr>
              <w:t>浙江义乌高新区开发建设有限公司</w:t>
            </w:r>
          </w:p>
        </w:tc>
        <w:tc>
          <w:tcPr>
            <w:tcW w:w="2039" w:type="dxa"/>
          </w:tcPr>
          <w:p>
            <w:pPr>
              <w:autoSpaceDE w:val="0"/>
              <w:autoSpaceDN w:val="0"/>
              <w:adjustRightInd w:val="0"/>
              <w:spacing w:line="360" w:lineRule="exact"/>
              <w:jc w:val="center"/>
              <w:rPr>
                <w:rFonts w:ascii="宋体" w:hAnsi="宋体"/>
                <w:color w:val="auto"/>
                <w:kern w:val="0"/>
                <w:sz w:val="28"/>
                <w:szCs w:val="28"/>
                <w:highlight w:val="none"/>
              </w:rPr>
            </w:pPr>
            <w:r>
              <w:rPr>
                <w:rFonts w:hint="eastAsia" w:ascii="宋体" w:hAnsi="宋体"/>
                <w:color w:val="auto"/>
                <w:kern w:val="0"/>
                <w:sz w:val="28"/>
                <w:szCs w:val="28"/>
                <w:highlight w:val="none"/>
              </w:rPr>
              <w:t>100</w:t>
            </w:r>
            <w:r>
              <w:rPr>
                <w:rFonts w:ascii="宋体" w:hAnsi="宋体"/>
                <w:color w:val="auto"/>
                <w:kern w:val="0"/>
                <w:sz w:val="28"/>
                <w:szCs w:val="28"/>
                <w:highlight w:val="none"/>
              </w:rPr>
              <w:t>%</w:t>
            </w:r>
          </w:p>
        </w:tc>
      </w:tr>
    </w:tbl>
    <w:p>
      <w:pPr>
        <w:spacing w:line="500" w:lineRule="exact"/>
        <w:ind w:firstLine="560" w:firstLineChars="200"/>
        <w:rPr>
          <w:rFonts w:ascii="宋体" w:hAnsi="宋体"/>
          <w:color w:val="auto"/>
          <w:kern w:val="0"/>
          <w:sz w:val="28"/>
          <w:szCs w:val="28"/>
          <w:highlight w:val="none"/>
        </w:rPr>
      </w:pPr>
      <w:r>
        <w:rPr>
          <w:rFonts w:hint="eastAsia" w:ascii="宋体" w:hAnsi="宋体"/>
          <w:color w:val="auto"/>
          <w:kern w:val="0"/>
          <w:sz w:val="28"/>
          <w:szCs w:val="28"/>
          <w:highlight w:val="none"/>
        </w:rPr>
        <w:t>3.</w:t>
      </w:r>
      <w:r>
        <w:rPr>
          <w:rFonts w:ascii="宋体" w:hAnsi="宋体"/>
          <w:color w:val="auto"/>
          <w:kern w:val="0"/>
          <w:sz w:val="28"/>
          <w:szCs w:val="28"/>
          <w:highlight w:val="none"/>
        </w:rPr>
        <w:t>主要财务指标：（单位：万元）</w:t>
      </w:r>
    </w:p>
    <w:tbl>
      <w:tblPr>
        <w:tblStyle w:val="6"/>
        <w:tblW w:w="0" w:type="auto"/>
        <w:tblInd w:w="67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07"/>
        <w:gridCol w:w="1336"/>
        <w:gridCol w:w="1773"/>
        <w:gridCol w:w="1991"/>
        <w:gridCol w:w="183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07" w:type="dxa"/>
            <w:vAlign w:val="center"/>
          </w:tcPr>
          <w:p>
            <w:pPr>
              <w:autoSpaceDE w:val="0"/>
              <w:autoSpaceDN w:val="0"/>
              <w:adjustRightInd w:val="0"/>
              <w:spacing w:line="360" w:lineRule="exact"/>
              <w:jc w:val="center"/>
              <w:rPr>
                <w:rFonts w:ascii="宋体" w:hAnsi="宋体"/>
                <w:color w:val="auto"/>
                <w:kern w:val="0"/>
                <w:sz w:val="28"/>
                <w:szCs w:val="28"/>
                <w:highlight w:val="none"/>
              </w:rPr>
            </w:pPr>
            <w:r>
              <w:rPr>
                <w:rFonts w:hint="eastAsia" w:ascii="宋体" w:hAnsi="宋体"/>
                <w:color w:val="auto"/>
                <w:kern w:val="0"/>
                <w:sz w:val="28"/>
                <w:szCs w:val="28"/>
                <w:highlight w:val="none"/>
              </w:rPr>
              <w:t>科目</w:t>
            </w:r>
          </w:p>
        </w:tc>
        <w:tc>
          <w:tcPr>
            <w:tcW w:w="1336" w:type="dxa"/>
            <w:vAlign w:val="center"/>
          </w:tcPr>
          <w:p>
            <w:pPr>
              <w:autoSpaceDE w:val="0"/>
              <w:autoSpaceDN w:val="0"/>
              <w:adjustRightInd w:val="0"/>
              <w:spacing w:line="360" w:lineRule="exact"/>
              <w:jc w:val="center"/>
              <w:rPr>
                <w:rFonts w:ascii="宋体" w:hAnsi="宋体"/>
                <w:color w:val="auto"/>
                <w:kern w:val="0"/>
                <w:sz w:val="28"/>
                <w:szCs w:val="28"/>
                <w:highlight w:val="none"/>
              </w:rPr>
            </w:pPr>
            <w:r>
              <w:rPr>
                <w:rFonts w:hint="eastAsia" w:ascii="宋体" w:hAnsi="宋体"/>
                <w:color w:val="auto"/>
                <w:kern w:val="0"/>
                <w:sz w:val="28"/>
                <w:szCs w:val="28"/>
                <w:highlight w:val="none"/>
              </w:rPr>
              <w:t>2020年</w:t>
            </w:r>
            <w:r>
              <w:rPr>
                <w:rFonts w:ascii="宋体" w:hAnsi="宋体"/>
                <w:color w:val="auto"/>
                <w:kern w:val="0"/>
                <w:sz w:val="28"/>
                <w:szCs w:val="28"/>
                <w:highlight w:val="none"/>
              </w:rPr>
              <w:t>12</w:t>
            </w:r>
            <w:r>
              <w:rPr>
                <w:rFonts w:hint="eastAsia" w:ascii="宋体" w:hAnsi="宋体"/>
                <w:color w:val="auto"/>
                <w:kern w:val="0"/>
                <w:sz w:val="28"/>
                <w:szCs w:val="28"/>
                <w:highlight w:val="none"/>
              </w:rPr>
              <w:t>月</w:t>
            </w:r>
            <w:r>
              <w:rPr>
                <w:rFonts w:ascii="宋体" w:hAnsi="宋体"/>
                <w:color w:val="auto"/>
                <w:kern w:val="0"/>
                <w:sz w:val="28"/>
                <w:szCs w:val="28"/>
                <w:highlight w:val="none"/>
              </w:rPr>
              <w:t>31</w:t>
            </w:r>
            <w:r>
              <w:rPr>
                <w:rFonts w:hint="eastAsia" w:ascii="宋体" w:hAnsi="宋体"/>
                <w:color w:val="auto"/>
                <w:kern w:val="0"/>
                <w:sz w:val="28"/>
                <w:szCs w:val="28"/>
                <w:highlight w:val="none"/>
              </w:rPr>
              <w:t>日</w:t>
            </w:r>
          </w:p>
        </w:tc>
        <w:tc>
          <w:tcPr>
            <w:tcW w:w="1773" w:type="dxa"/>
            <w:vAlign w:val="center"/>
          </w:tcPr>
          <w:p>
            <w:pPr>
              <w:autoSpaceDE w:val="0"/>
              <w:autoSpaceDN w:val="0"/>
              <w:adjustRightInd w:val="0"/>
              <w:spacing w:line="360" w:lineRule="exact"/>
              <w:jc w:val="center"/>
              <w:rPr>
                <w:rFonts w:ascii="宋体" w:hAnsi="宋体"/>
                <w:color w:val="auto"/>
                <w:kern w:val="0"/>
                <w:sz w:val="28"/>
                <w:szCs w:val="28"/>
                <w:highlight w:val="none"/>
              </w:rPr>
            </w:pPr>
            <w:r>
              <w:rPr>
                <w:rFonts w:hint="eastAsia" w:ascii="宋体" w:hAnsi="宋体"/>
                <w:color w:val="auto"/>
                <w:kern w:val="0"/>
                <w:sz w:val="28"/>
                <w:szCs w:val="28"/>
                <w:highlight w:val="none"/>
              </w:rPr>
              <w:t>2021年5月31日</w:t>
            </w:r>
            <w:r>
              <w:rPr>
                <w:rFonts w:hint="eastAsia" w:ascii="宋体" w:hAnsi="宋体"/>
                <w:color w:val="auto"/>
                <w:kern w:val="0"/>
                <w:szCs w:val="21"/>
                <w:highlight w:val="none"/>
              </w:rPr>
              <w:t>（预公告时公布数据）</w:t>
            </w:r>
          </w:p>
        </w:tc>
        <w:tc>
          <w:tcPr>
            <w:tcW w:w="1991" w:type="dxa"/>
            <w:vAlign w:val="center"/>
          </w:tcPr>
          <w:p>
            <w:pPr>
              <w:autoSpaceDE w:val="0"/>
              <w:autoSpaceDN w:val="0"/>
              <w:adjustRightInd w:val="0"/>
              <w:spacing w:line="360" w:lineRule="exact"/>
              <w:jc w:val="center"/>
              <w:rPr>
                <w:rFonts w:ascii="宋体" w:hAnsi="宋体"/>
                <w:color w:val="auto"/>
                <w:kern w:val="0"/>
                <w:sz w:val="28"/>
                <w:szCs w:val="28"/>
                <w:highlight w:val="none"/>
              </w:rPr>
            </w:pPr>
            <w:r>
              <w:rPr>
                <w:rFonts w:hint="eastAsia" w:ascii="宋体" w:hAnsi="宋体"/>
                <w:color w:val="auto"/>
                <w:kern w:val="0"/>
                <w:sz w:val="28"/>
                <w:szCs w:val="28"/>
                <w:highlight w:val="none"/>
              </w:rPr>
              <w:t>2021年5月31日</w:t>
            </w:r>
            <w:r>
              <w:rPr>
                <w:rFonts w:hint="eastAsia" w:ascii="宋体" w:hAnsi="宋体"/>
                <w:color w:val="auto"/>
                <w:kern w:val="0"/>
                <w:szCs w:val="21"/>
                <w:highlight w:val="none"/>
              </w:rPr>
              <w:t>（调整后数据）</w:t>
            </w:r>
          </w:p>
        </w:tc>
        <w:tc>
          <w:tcPr>
            <w:tcW w:w="1839" w:type="dxa"/>
            <w:vAlign w:val="center"/>
          </w:tcPr>
          <w:p>
            <w:pPr>
              <w:autoSpaceDE w:val="0"/>
              <w:autoSpaceDN w:val="0"/>
              <w:adjustRightInd w:val="0"/>
              <w:spacing w:line="360" w:lineRule="exact"/>
              <w:jc w:val="center"/>
              <w:rPr>
                <w:rFonts w:hint="default" w:ascii="宋体" w:hAnsi="宋体" w:eastAsia="宋体"/>
                <w:color w:val="auto"/>
                <w:kern w:val="0"/>
                <w:sz w:val="28"/>
                <w:szCs w:val="28"/>
                <w:highlight w:val="none"/>
                <w:lang w:val="en-US" w:eastAsia="zh-CN"/>
              </w:rPr>
            </w:pPr>
            <w:r>
              <w:rPr>
                <w:rFonts w:hint="eastAsia" w:ascii="宋体" w:hAnsi="宋体"/>
                <w:color w:val="auto"/>
                <w:kern w:val="0"/>
                <w:sz w:val="28"/>
                <w:szCs w:val="28"/>
                <w:highlight w:val="none"/>
                <w:lang w:val="en-US" w:eastAsia="zh-CN"/>
              </w:rPr>
              <w:t>2021年7月31日</w:t>
            </w:r>
            <w:r>
              <w:rPr>
                <w:rFonts w:hint="eastAsia" w:ascii="宋体" w:hAnsi="宋体"/>
                <w:color w:val="auto"/>
                <w:kern w:val="0"/>
                <w:sz w:val="21"/>
                <w:szCs w:val="21"/>
                <w:highlight w:val="none"/>
                <w:lang w:val="en-US" w:eastAsia="zh-CN"/>
              </w:rPr>
              <w:t>（未经审计）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07" w:type="dxa"/>
            <w:vAlign w:val="center"/>
          </w:tcPr>
          <w:p>
            <w:pPr>
              <w:autoSpaceDE w:val="0"/>
              <w:autoSpaceDN w:val="0"/>
              <w:adjustRightInd w:val="0"/>
              <w:spacing w:line="360" w:lineRule="exact"/>
              <w:jc w:val="center"/>
              <w:rPr>
                <w:rFonts w:ascii="宋体" w:hAnsi="宋体"/>
                <w:color w:val="auto"/>
                <w:kern w:val="0"/>
                <w:sz w:val="28"/>
                <w:szCs w:val="28"/>
                <w:highlight w:val="none"/>
              </w:rPr>
            </w:pPr>
            <w:r>
              <w:rPr>
                <w:rFonts w:hint="eastAsia" w:ascii="宋体" w:hAnsi="宋体"/>
                <w:color w:val="auto"/>
                <w:kern w:val="0"/>
                <w:sz w:val="28"/>
                <w:szCs w:val="28"/>
                <w:highlight w:val="none"/>
              </w:rPr>
              <w:t>资产总额</w:t>
            </w:r>
          </w:p>
        </w:tc>
        <w:tc>
          <w:tcPr>
            <w:tcW w:w="1336" w:type="dxa"/>
            <w:vAlign w:val="center"/>
          </w:tcPr>
          <w:p>
            <w:pPr>
              <w:autoSpaceDE w:val="0"/>
              <w:autoSpaceDN w:val="0"/>
              <w:adjustRightInd w:val="0"/>
              <w:spacing w:line="360" w:lineRule="exact"/>
              <w:jc w:val="center"/>
              <w:rPr>
                <w:rFonts w:ascii="宋体" w:hAnsi="宋体"/>
                <w:color w:val="auto"/>
                <w:kern w:val="0"/>
                <w:sz w:val="28"/>
                <w:szCs w:val="28"/>
                <w:highlight w:val="none"/>
              </w:rPr>
            </w:pPr>
            <w:r>
              <w:rPr>
                <w:rFonts w:hint="eastAsia" w:ascii="宋体" w:hAnsi="宋体"/>
                <w:color w:val="auto"/>
                <w:kern w:val="0"/>
                <w:sz w:val="28"/>
                <w:szCs w:val="28"/>
                <w:highlight w:val="none"/>
              </w:rPr>
              <w:t>54668</w:t>
            </w:r>
          </w:p>
        </w:tc>
        <w:tc>
          <w:tcPr>
            <w:tcW w:w="1773" w:type="dxa"/>
            <w:vAlign w:val="center"/>
          </w:tcPr>
          <w:p>
            <w:pPr>
              <w:autoSpaceDE w:val="0"/>
              <w:autoSpaceDN w:val="0"/>
              <w:adjustRightInd w:val="0"/>
              <w:spacing w:line="360" w:lineRule="exact"/>
              <w:jc w:val="center"/>
              <w:rPr>
                <w:rFonts w:ascii="宋体" w:hAnsi="宋体"/>
                <w:color w:val="auto"/>
                <w:kern w:val="0"/>
                <w:sz w:val="28"/>
                <w:szCs w:val="28"/>
                <w:highlight w:val="none"/>
              </w:rPr>
            </w:pPr>
            <w:r>
              <w:rPr>
                <w:rFonts w:hint="eastAsia" w:ascii="宋体" w:hAnsi="宋体"/>
                <w:color w:val="auto"/>
                <w:kern w:val="0"/>
                <w:sz w:val="28"/>
                <w:szCs w:val="28"/>
                <w:highlight w:val="none"/>
              </w:rPr>
              <w:t>49100</w:t>
            </w:r>
          </w:p>
        </w:tc>
        <w:tc>
          <w:tcPr>
            <w:tcW w:w="1991" w:type="dxa"/>
            <w:vAlign w:val="center"/>
          </w:tcPr>
          <w:p>
            <w:pPr>
              <w:autoSpaceDE w:val="0"/>
              <w:autoSpaceDN w:val="0"/>
              <w:adjustRightInd w:val="0"/>
              <w:spacing w:line="360" w:lineRule="exact"/>
              <w:jc w:val="center"/>
              <w:rPr>
                <w:rFonts w:ascii="宋体" w:hAnsi="宋体"/>
                <w:color w:val="auto"/>
                <w:kern w:val="0"/>
                <w:sz w:val="28"/>
                <w:szCs w:val="28"/>
                <w:highlight w:val="none"/>
              </w:rPr>
            </w:pPr>
            <w:r>
              <w:rPr>
                <w:rFonts w:hint="eastAsia" w:ascii="宋体" w:hAnsi="宋体"/>
                <w:color w:val="auto"/>
                <w:kern w:val="0"/>
                <w:sz w:val="28"/>
                <w:szCs w:val="28"/>
                <w:highlight w:val="none"/>
                <w:lang w:val="en-US" w:eastAsia="zh-CN"/>
              </w:rPr>
              <w:t>47790</w:t>
            </w:r>
          </w:p>
        </w:tc>
        <w:tc>
          <w:tcPr>
            <w:tcW w:w="1839" w:type="dxa"/>
            <w:vAlign w:val="center"/>
          </w:tcPr>
          <w:p>
            <w:pPr>
              <w:autoSpaceDE w:val="0"/>
              <w:autoSpaceDN w:val="0"/>
              <w:adjustRightInd w:val="0"/>
              <w:spacing w:line="360" w:lineRule="exact"/>
              <w:jc w:val="center"/>
              <w:rPr>
                <w:rFonts w:hint="default" w:ascii="宋体" w:hAnsi="宋体"/>
                <w:color w:val="auto"/>
                <w:kern w:val="0"/>
                <w:sz w:val="28"/>
                <w:szCs w:val="28"/>
                <w:highlight w:val="none"/>
                <w:lang w:val="en-US" w:eastAsia="zh-CN"/>
              </w:rPr>
            </w:pPr>
            <w:r>
              <w:rPr>
                <w:rFonts w:hint="eastAsia" w:ascii="宋体" w:hAnsi="宋体"/>
                <w:color w:val="auto"/>
                <w:kern w:val="0"/>
                <w:sz w:val="28"/>
                <w:szCs w:val="28"/>
                <w:highlight w:val="none"/>
                <w:lang w:val="en-US" w:eastAsia="zh-CN"/>
              </w:rPr>
              <w:t>47950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07" w:type="dxa"/>
            <w:vAlign w:val="center"/>
          </w:tcPr>
          <w:p>
            <w:pPr>
              <w:autoSpaceDE w:val="0"/>
              <w:autoSpaceDN w:val="0"/>
              <w:adjustRightInd w:val="0"/>
              <w:spacing w:line="360" w:lineRule="exact"/>
              <w:jc w:val="center"/>
              <w:rPr>
                <w:rFonts w:ascii="宋体" w:hAnsi="宋体"/>
                <w:color w:val="auto"/>
                <w:kern w:val="0"/>
                <w:sz w:val="28"/>
                <w:szCs w:val="28"/>
                <w:highlight w:val="none"/>
              </w:rPr>
            </w:pPr>
            <w:r>
              <w:rPr>
                <w:rFonts w:hint="eastAsia" w:ascii="宋体" w:hAnsi="宋体"/>
                <w:color w:val="auto"/>
                <w:kern w:val="0"/>
                <w:sz w:val="28"/>
                <w:szCs w:val="28"/>
                <w:highlight w:val="none"/>
              </w:rPr>
              <w:t>负债总额</w:t>
            </w:r>
          </w:p>
        </w:tc>
        <w:tc>
          <w:tcPr>
            <w:tcW w:w="1336" w:type="dxa"/>
            <w:vAlign w:val="center"/>
          </w:tcPr>
          <w:p>
            <w:pPr>
              <w:autoSpaceDE w:val="0"/>
              <w:autoSpaceDN w:val="0"/>
              <w:adjustRightInd w:val="0"/>
              <w:spacing w:line="360" w:lineRule="exact"/>
              <w:jc w:val="center"/>
              <w:rPr>
                <w:rFonts w:ascii="宋体" w:hAnsi="宋体"/>
                <w:color w:val="auto"/>
                <w:kern w:val="0"/>
                <w:sz w:val="28"/>
                <w:szCs w:val="28"/>
                <w:highlight w:val="none"/>
              </w:rPr>
            </w:pPr>
            <w:r>
              <w:rPr>
                <w:rFonts w:hint="eastAsia" w:ascii="宋体" w:hAnsi="宋体"/>
                <w:color w:val="auto"/>
                <w:kern w:val="0"/>
                <w:sz w:val="28"/>
                <w:szCs w:val="28"/>
                <w:highlight w:val="none"/>
              </w:rPr>
              <w:t>43723</w:t>
            </w:r>
          </w:p>
        </w:tc>
        <w:tc>
          <w:tcPr>
            <w:tcW w:w="1773" w:type="dxa"/>
            <w:vAlign w:val="center"/>
          </w:tcPr>
          <w:p>
            <w:pPr>
              <w:autoSpaceDE w:val="0"/>
              <w:autoSpaceDN w:val="0"/>
              <w:adjustRightInd w:val="0"/>
              <w:spacing w:line="360" w:lineRule="exact"/>
              <w:jc w:val="center"/>
              <w:rPr>
                <w:rFonts w:ascii="宋体" w:hAnsi="宋体"/>
                <w:color w:val="auto"/>
                <w:kern w:val="0"/>
                <w:sz w:val="28"/>
                <w:szCs w:val="28"/>
                <w:highlight w:val="none"/>
              </w:rPr>
            </w:pPr>
            <w:r>
              <w:rPr>
                <w:rFonts w:hint="eastAsia" w:ascii="宋体" w:hAnsi="宋体"/>
                <w:color w:val="auto"/>
                <w:kern w:val="0"/>
                <w:sz w:val="28"/>
                <w:szCs w:val="28"/>
                <w:highlight w:val="none"/>
              </w:rPr>
              <w:t>37109</w:t>
            </w:r>
          </w:p>
        </w:tc>
        <w:tc>
          <w:tcPr>
            <w:tcW w:w="1991" w:type="dxa"/>
            <w:vAlign w:val="center"/>
          </w:tcPr>
          <w:p>
            <w:pPr>
              <w:autoSpaceDE w:val="0"/>
              <w:autoSpaceDN w:val="0"/>
              <w:adjustRightInd w:val="0"/>
              <w:spacing w:line="360" w:lineRule="exact"/>
              <w:jc w:val="center"/>
              <w:rPr>
                <w:rFonts w:ascii="宋体" w:hAnsi="宋体"/>
                <w:color w:val="auto"/>
                <w:kern w:val="0"/>
                <w:sz w:val="28"/>
                <w:szCs w:val="28"/>
                <w:highlight w:val="none"/>
              </w:rPr>
            </w:pPr>
            <w:r>
              <w:rPr>
                <w:rFonts w:hint="eastAsia" w:ascii="宋体" w:hAnsi="宋体"/>
                <w:color w:val="auto"/>
                <w:kern w:val="0"/>
                <w:sz w:val="28"/>
                <w:szCs w:val="28"/>
                <w:highlight w:val="none"/>
                <w:lang w:val="en-US" w:eastAsia="zh-CN"/>
              </w:rPr>
              <w:t>36829</w:t>
            </w:r>
          </w:p>
        </w:tc>
        <w:tc>
          <w:tcPr>
            <w:tcW w:w="1839" w:type="dxa"/>
            <w:vAlign w:val="center"/>
          </w:tcPr>
          <w:p>
            <w:pPr>
              <w:autoSpaceDE w:val="0"/>
              <w:autoSpaceDN w:val="0"/>
              <w:adjustRightInd w:val="0"/>
              <w:spacing w:line="360" w:lineRule="exact"/>
              <w:jc w:val="center"/>
              <w:rPr>
                <w:rFonts w:hint="default" w:ascii="宋体" w:hAnsi="宋体"/>
                <w:color w:val="auto"/>
                <w:kern w:val="0"/>
                <w:sz w:val="28"/>
                <w:szCs w:val="28"/>
                <w:highlight w:val="none"/>
                <w:lang w:val="en-US" w:eastAsia="zh-CN"/>
              </w:rPr>
            </w:pPr>
            <w:r>
              <w:rPr>
                <w:rFonts w:hint="eastAsia" w:ascii="宋体" w:hAnsi="宋体"/>
                <w:color w:val="auto"/>
                <w:kern w:val="0"/>
                <w:sz w:val="28"/>
                <w:szCs w:val="28"/>
                <w:highlight w:val="none"/>
                <w:lang w:val="en-US" w:eastAsia="zh-CN"/>
              </w:rPr>
              <w:t>36303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07" w:type="dxa"/>
            <w:tcBorders>
              <w:bottom w:val="single" w:color="000000" w:sz="4" w:space="0"/>
            </w:tcBorders>
            <w:vAlign w:val="center"/>
          </w:tcPr>
          <w:p>
            <w:pPr>
              <w:autoSpaceDE w:val="0"/>
              <w:autoSpaceDN w:val="0"/>
              <w:adjustRightInd w:val="0"/>
              <w:spacing w:line="360" w:lineRule="exact"/>
              <w:jc w:val="center"/>
              <w:rPr>
                <w:rFonts w:ascii="宋体" w:hAnsi="宋体"/>
                <w:color w:val="auto"/>
                <w:kern w:val="0"/>
                <w:sz w:val="28"/>
                <w:szCs w:val="28"/>
                <w:highlight w:val="none"/>
              </w:rPr>
            </w:pPr>
            <w:r>
              <w:rPr>
                <w:rFonts w:hint="eastAsia" w:ascii="宋体" w:hAnsi="宋体"/>
                <w:color w:val="auto"/>
                <w:kern w:val="0"/>
                <w:sz w:val="28"/>
                <w:szCs w:val="28"/>
                <w:highlight w:val="none"/>
              </w:rPr>
              <w:t>净资产</w:t>
            </w:r>
          </w:p>
        </w:tc>
        <w:tc>
          <w:tcPr>
            <w:tcW w:w="1336" w:type="dxa"/>
            <w:tcBorders>
              <w:bottom w:val="single" w:color="000000" w:sz="4" w:space="0"/>
            </w:tcBorders>
            <w:vAlign w:val="center"/>
          </w:tcPr>
          <w:p>
            <w:pPr>
              <w:autoSpaceDE w:val="0"/>
              <w:autoSpaceDN w:val="0"/>
              <w:adjustRightInd w:val="0"/>
              <w:spacing w:line="360" w:lineRule="exact"/>
              <w:jc w:val="center"/>
              <w:rPr>
                <w:rFonts w:ascii="宋体" w:hAnsi="宋体"/>
                <w:color w:val="auto"/>
                <w:kern w:val="0"/>
                <w:sz w:val="28"/>
                <w:szCs w:val="28"/>
                <w:highlight w:val="none"/>
              </w:rPr>
            </w:pPr>
            <w:r>
              <w:rPr>
                <w:rFonts w:hint="eastAsia" w:ascii="宋体" w:hAnsi="宋体"/>
                <w:color w:val="auto"/>
                <w:kern w:val="0"/>
                <w:sz w:val="28"/>
                <w:szCs w:val="28"/>
                <w:highlight w:val="none"/>
              </w:rPr>
              <w:t>10945</w:t>
            </w:r>
          </w:p>
        </w:tc>
        <w:tc>
          <w:tcPr>
            <w:tcW w:w="1773" w:type="dxa"/>
            <w:tcBorders>
              <w:bottom w:val="single" w:color="000000" w:sz="4" w:space="0"/>
            </w:tcBorders>
            <w:vAlign w:val="center"/>
          </w:tcPr>
          <w:p>
            <w:pPr>
              <w:autoSpaceDE w:val="0"/>
              <w:autoSpaceDN w:val="0"/>
              <w:adjustRightInd w:val="0"/>
              <w:spacing w:line="360" w:lineRule="exact"/>
              <w:jc w:val="center"/>
              <w:rPr>
                <w:rFonts w:ascii="宋体" w:hAnsi="宋体"/>
                <w:color w:val="auto"/>
                <w:kern w:val="0"/>
                <w:sz w:val="28"/>
                <w:szCs w:val="28"/>
                <w:highlight w:val="none"/>
              </w:rPr>
            </w:pPr>
            <w:r>
              <w:rPr>
                <w:rFonts w:hint="eastAsia" w:ascii="宋体" w:hAnsi="宋体"/>
                <w:color w:val="auto"/>
                <w:kern w:val="0"/>
                <w:sz w:val="28"/>
                <w:szCs w:val="28"/>
                <w:highlight w:val="none"/>
              </w:rPr>
              <w:t>11991</w:t>
            </w:r>
          </w:p>
        </w:tc>
        <w:tc>
          <w:tcPr>
            <w:tcW w:w="1991" w:type="dxa"/>
            <w:tcBorders>
              <w:bottom w:val="single" w:color="000000" w:sz="4" w:space="0"/>
            </w:tcBorders>
            <w:vAlign w:val="center"/>
          </w:tcPr>
          <w:p>
            <w:pPr>
              <w:autoSpaceDE w:val="0"/>
              <w:autoSpaceDN w:val="0"/>
              <w:adjustRightInd w:val="0"/>
              <w:spacing w:line="360" w:lineRule="exact"/>
              <w:jc w:val="center"/>
              <w:rPr>
                <w:rFonts w:ascii="宋体" w:hAnsi="宋体"/>
                <w:color w:val="auto"/>
                <w:kern w:val="0"/>
                <w:sz w:val="28"/>
                <w:szCs w:val="28"/>
                <w:highlight w:val="none"/>
              </w:rPr>
            </w:pPr>
            <w:r>
              <w:rPr>
                <w:rFonts w:hint="eastAsia" w:ascii="宋体" w:hAnsi="宋体"/>
                <w:color w:val="auto"/>
                <w:kern w:val="0"/>
                <w:sz w:val="28"/>
                <w:szCs w:val="28"/>
                <w:highlight w:val="none"/>
                <w:lang w:val="en-US" w:eastAsia="zh-CN"/>
              </w:rPr>
              <w:t>10961</w:t>
            </w:r>
          </w:p>
        </w:tc>
        <w:tc>
          <w:tcPr>
            <w:tcW w:w="1839" w:type="dxa"/>
            <w:tcBorders>
              <w:bottom w:val="single" w:color="000000" w:sz="4" w:space="0"/>
            </w:tcBorders>
            <w:vAlign w:val="center"/>
          </w:tcPr>
          <w:p>
            <w:pPr>
              <w:autoSpaceDE w:val="0"/>
              <w:autoSpaceDN w:val="0"/>
              <w:adjustRightInd w:val="0"/>
              <w:spacing w:line="360" w:lineRule="exact"/>
              <w:jc w:val="center"/>
              <w:rPr>
                <w:rFonts w:hint="default" w:ascii="宋体" w:hAnsi="宋体"/>
                <w:color w:val="auto"/>
                <w:kern w:val="0"/>
                <w:sz w:val="28"/>
                <w:szCs w:val="28"/>
                <w:highlight w:val="none"/>
                <w:lang w:val="en-US" w:eastAsia="zh-CN"/>
              </w:rPr>
            </w:pPr>
            <w:r>
              <w:rPr>
                <w:rFonts w:hint="eastAsia" w:ascii="宋体" w:hAnsi="宋体"/>
                <w:color w:val="auto"/>
                <w:kern w:val="0"/>
                <w:sz w:val="28"/>
                <w:szCs w:val="28"/>
                <w:highlight w:val="none"/>
                <w:lang w:val="en-US" w:eastAsia="zh-CN"/>
              </w:rPr>
              <w:t>11647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07" w:type="dxa"/>
            <w:vAlign w:val="center"/>
          </w:tcPr>
          <w:p>
            <w:pPr>
              <w:autoSpaceDE w:val="0"/>
              <w:autoSpaceDN w:val="0"/>
              <w:adjustRightInd w:val="0"/>
              <w:spacing w:line="360" w:lineRule="exact"/>
              <w:jc w:val="center"/>
              <w:rPr>
                <w:rFonts w:ascii="宋体" w:hAnsi="宋体"/>
                <w:color w:val="auto"/>
                <w:kern w:val="0"/>
                <w:sz w:val="28"/>
                <w:szCs w:val="28"/>
                <w:highlight w:val="none"/>
              </w:rPr>
            </w:pPr>
            <w:r>
              <w:rPr>
                <w:rFonts w:hint="eastAsia" w:ascii="宋体" w:hAnsi="宋体"/>
                <w:color w:val="auto"/>
                <w:kern w:val="0"/>
                <w:sz w:val="28"/>
                <w:szCs w:val="28"/>
                <w:highlight w:val="none"/>
              </w:rPr>
              <w:t>营业收入</w:t>
            </w:r>
          </w:p>
        </w:tc>
        <w:tc>
          <w:tcPr>
            <w:tcW w:w="1336" w:type="dxa"/>
            <w:vAlign w:val="center"/>
          </w:tcPr>
          <w:p>
            <w:pPr>
              <w:autoSpaceDE w:val="0"/>
              <w:autoSpaceDN w:val="0"/>
              <w:adjustRightInd w:val="0"/>
              <w:spacing w:line="360" w:lineRule="exact"/>
              <w:jc w:val="center"/>
              <w:rPr>
                <w:rFonts w:ascii="宋体" w:hAnsi="宋体"/>
                <w:color w:val="auto"/>
                <w:kern w:val="0"/>
                <w:sz w:val="28"/>
                <w:szCs w:val="28"/>
                <w:highlight w:val="none"/>
              </w:rPr>
            </w:pPr>
            <w:r>
              <w:rPr>
                <w:rFonts w:hint="eastAsia" w:ascii="宋体" w:hAnsi="宋体"/>
                <w:color w:val="auto"/>
                <w:kern w:val="0"/>
                <w:sz w:val="28"/>
                <w:szCs w:val="28"/>
                <w:highlight w:val="none"/>
              </w:rPr>
              <w:t>12338</w:t>
            </w:r>
          </w:p>
        </w:tc>
        <w:tc>
          <w:tcPr>
            <w:tcW w:w="1773" w:type="dxa"/>
            <w:vAlign w:val="center"/>
          </w:tcPr>
          <w:p>
            <w:pPr>
              <w:autoSpaceDE w:val="0"/>
              <w:autoSpaceDN w:val="0"/>
              <w:adjustRightInd w:val="0"/>
              <w:spacing w:line="360" w:lineRule="exact"/>
              <w:jc w:val="center"/>
              <w:rPr>
                <w:rFonts w:ascii="宋体" w:hAnsi="宋体"/>
                <w:color w:val="auto"/>
                <w:kern w:val="0"/>
                <w:sz w:val="28"/>
                <w:szCs w:val="28"/>
                <w:highlight w:val="none"/>
              </w:rPr>
            </w:pPr>
            <w:r>
              <w:rPr>
                <w:rFonts w:hint="eastAsia" w:ascii="宋体" w:hAnsi="宋体"/>
                <w:color w:val="auto"/>
                <w:kern w:val="0"/>
                <w:sz w:val="28"/>
                <w:szCs w:val="28"/>
                <w:highlight w:val="none"/>
              </w:rPr>
              <w:t>11022</w:t>
            </w:r>
          </w:p>
        </w:tc>
        <w:tc>
          <w:tcPr>
            <w:tcW w:w="1991" w:type="dxa"/>
            <w:vAlign w:val="center"/>
          </w:tcPr>
          <w:p>
            <w:pPr>
              <w:autoSpaceDE w:val="0"/>
              <w:autoSpaceDN w:val="0"/>
              <w:adjustRightInd w:val="0"/>
              <w:spacing w:line="360" w:lineRule="exact"/>
              <w:jc w:val="center"/>
              <w:rPr>
                <w:rFonts w:ascii="宋体" w:hAnsi="宋体"/>
                <w:color w:val="auto"/>
                <w:kern w:val="0"/>
                <w:sz w:val="28"/>
                <w:szCs w:val="28"/>
                <w:highlight w:val="none"/>
              </w:rPr>
            </w:pPr>
            <w:r>
              <w:rPr>
                <w:rFonts w:hint="eastAsia" w:ascii="宋体" w:hAnsi="宋体"/>
                <w:color w:val="auto"/>
                <w:kern w:val="0"/>
                <w:sz w:val="28"/>
                <w:szCs w:val="28"/>
                <w:highlight w:val="none"/>
                <w:lang w:val="en-US" w:eastAsia="zh-CN"/>
              </w:rPr>
              <w:t>11008</w:t>
            </w:r>
          </w:p>
        </w:tc>
        <w:tc>
          <w:tcPr>
            <w:tcW w:w="1839" w:type="dxa"/>
            <w:vAlign w:val="center"/>
          </w:tcPr>
          <w:p>
            <w:pPr>
              <w:autoSpaceDE w:val="0"/>
              <w:autoSpaceDN w:val="0"/>
              <w:adjustRightInd w:val="0"/>
              <w:spacing w:line="360" w:lineRule="exact"/>
              <w:jc w:val="center"/>
              <w:rPr>
                <w:rFonts w:hint="default" w:ascii="宋体" w:hAnsi="宋体"/>
                <w:color w:val="auto"/>
                <w:kern w:val="0"/>
                <w:sz w:val="28"/>
                <w:szCs w:val="28"/>
                <w:highlight w:val="none"/>
                <w:lang w:val="en-US" w:eastAsia="zh-CN"/>
              </w:rPr>
            </w:pPr>
            <w:r>
              <w:rPr>
                <w:rFonts w:hint="eastAsia" w:ascii="宋体" w:hAnsi="宋体"/>
                <w:color w:val="auto"/>
                <w:kern w:val="0"/>
                <w:sz w:val="28"/>
                <w:szCs w:val="28"/>
                <w:highlight w:val="none"/>
                <w:lang w:val="en-US" w:eastAsia="zh-CN"/>
              </w:rPr>
              <w:t>10499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07" w:type="dxa"/>
            <w:vAlign w:val="center"/>
          </w:tcPr>
          <w:p>
            <w:pPr>
              <w:autoSpaceDE w:val="0"/>
              <w:autoSpaceDN w:val="0"/>
              <w:adjustRightInd w:val="0"/>
              <w:spacing w:line="360" w:lineRule="exact"/>
              <w:jc w:val="center"/>
              <w:rPr>
                <w:rFonts w:ascii="宋体" w:hAnsi="宋体"/>
                <w:color w:val="auto"/>
                <w:kern w:val="0"/>
                <w:sz w:val="28"/>
                <w:szCs w:val="28"/>
                <w:highlight w:val="none"/>
              </w:rPr>
            </w:pPr>
            <w:r>
              <w:rPr>
                <w:rFonts w:hint="eastAsia" w:ascii="宋体" w:hAnsi="宋体"/>
                <w:color w:val="auto"/>
                <w:kern w:val="0"/>
                <w:sz w:val="28"/>
                <w:szCs w:val="28"/>
                <w:highlight w:val="none"/>
              </w:rPr>
              <w:t>营业利润</w:t>
            </w:r>
          </w:p>
        </w:tc>
        <w:tc>
          <w:tcPr>
            <w:tcW w:w="1336" w:type="dxa"/>
            <w:vAlign w:val="center"/>
          </w:tcPr>
          <w:p>
            <w:pPr>
              <w:autoSpaceDE w:val="0"/>
              <w:autoSpaceDN w:val="0"/>
              <w:adjustRightInd w:val="0"/>
              <w:spacing w:line="360" w:lineRule="exact"/>
              <w:jc w:val="center"/>
              <w:rPr>
                <w:rFonts w:ascii="宋体" w:hAnsi="宋体"/>
                <w:color w:val="auto"/>
                <w:kern w:val="0"/>
                <w:sz w:val="28"/>
                <w:szCs w:val="28"/>
                <w:highlight w:val="none"/>
              </w:rPr>
            </w:pPr>
            <w:r>
              <w:rPr>
                <w:rFonts w:hint="eastAsia" w:ascii="宋体" w:hAnsi="宋体"/>
                <w:color w:val="auto"/>
                <w:kern w:val="0"/>
                <w:sz w:val="28"/>
                <w:szCs w:val="28"/>
                <w:highlight w:val="none"/>
              </w:rPr>
              <w:t>2510</w:t>
            </w:r>
          </w:p>
        </w:tc>
        <w:tc>
          <w:tcPr>
            <w:tcW w:w="1773" w:type="dxa"/>
            <w:vAlign w:val="center"/>
          </w:tcPr>
          <w:p>
            <w:pPr>
              <w:autoSpaceDE w:val="0"/>
              <w:autoSpaceDN w:val="0"/>
              <w:adjustRightInd w:val="0"/>
              <w:spacing w:line="360" w:lineRule="exact"/>
              <w:jc w:val="center"/>
              <w:rPr>
                <w:rFonts w:ascii="宋体" w:hAnsi="宋体"/>
                <w:color w:val="auto"/>
                <w:kern w:val="0"/>
                <w:sz w:val="28"/>
                <w:szCs w:val="28"/>
                <w:highlight w:val="none"/>
              </w:rPr>
            </w:pPr>
            <w:r>
              <w:rPr>
                <w:rFonts w:hint="eastAsia" w:ascii="宋体" w:hAnsi="宋体"/>
                <w:color w:val="auto"/>
                <w:kern w:val="0"/>
                <w:sz w:val="28"/>
                <w:szCs w:val="28"/>
                <w:highlight w:val="none"/>
              </w:rPr>
              <w:t>1395</w:t>
            </w:r>
          </w:p>
        </w:tc>
        <w:tc>
          <w:tcPr>
            <w:tcW w:w="1991" w:type="dxa"/>
            <w:vAlign w:val="center"/>
          </w:tcPr>
          <w:p>
            <w:pPr>
              <w:autoSpaceDE w:val="0"/>
              <w:autoSpaceDN w:val="0"/>
              <w:adjustRightInd w:val="0"/>
              <w:spacing w:line="360" w:lineRule="exact"/>
              <w:jc w:val="center"/>
              <w:rPr>
                <w:rFonts w:ascii="宋体" w:hAnsi="宋体"/>
                <w:color w:val="auto"/>
                <w:kern w:val="0"/>
                <w:sz w:val="28"/>
                <w:szCs w:val="28"/>
                <w:highlight w:val="none"/>
              </w:rPr>
            </w:pPr>
            <w:r>
              <w:rPr>
                <w:rFonts w:hint="eastAsia" w:ascii="宋体" w:hAnsi="宋体"/>
                <w:color w:val="auto"/>
                <w:kern w:val="0"/>
                <w:sz w:val="28"/>
                <w:szCs w:val="28"/>
                <w:highlight w:val="none"/>
                <w:lang w:val="en-US" w:eastAsia="zh-CN"/>
              </w:rPr>
              <w:t>64</w:t>
            </w:r>
          </w:p>
        </w:tc>
        <w:tc>
          <w:tcPr>
            <w:tcW w:w="1839" w:type="dxa"/>
            <w:vAlign w:val="center"/>
          </w:tcPr>
          <w:p>
            <w:pPr>
              <w:autoSpaceDE w:val="0"/>
              <w:autoSpaceDN w:val="0"/>
              <w:adjustRightInd w:val="0"/>
              <w:spacing w:line="360" w:lineRule="exact"/>
              <w:jc w:val="center"/>
              <w:rPr>
                <w:rFonts w:hint="default" w:ascii="宋体" w:hAnsi="宋体"/>
                <w:color w:val="auto"/>
                <w:kern w:val="0"/>
                <w:sz w:val="28"/>
                <w:szCs w:val="28"/>
                <w:highlight w:val="none"/>
                <w:lang w:val="en-US" w:eastAsia="zh-CN"/>
              </w:rPr>
            </w:pPr>
            <w:r>
              <w:rPr>
                <w:rFonts w:hint="eastAsia" w:ascii="宋体" w:hAnsi="宋体"/>
                <w:color w:val="auto"/>
                <w:kern w:val="0"/>
                <w:sz w:val="28"/>
                <w:szCs w:val="28"/>
                <w:highlight w:val="none"/>
                <w:lang w:val="en-US" w:eastAsia="zh-CN"/>
              </w:rPr>
              <w:t>714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07" w:type="dxa"/>
            <w:vAlign w:val="center"/>
          </w:tcPr>
          <w:p>
            <w:pPr>
              <w:autoSpaceDE w:val="0"/>
              <w:autoSpaceDN w:val="0"/>
              <w:adjustRightInd w:val="0"/>
              <w:spacing w:line="360" w:lineRule="exact"/>
              <w:jc w:val="center"/>
              <w:rPr>
                <w:rFonts w:ascii="宋体" w:hAnsi="宋体"/>
                <w:color w:val="auto"/>
                <w:kern w:val="0"/>
                <w:sz w:val="28"/>
                <w:szCs w:val="28"/>
                <w:highlight w:val="none"/>
              </w:rPr>
            </w:pPr>
            <w:r>
              <w:rPr>
                <w:rFonts w:hint="eastAsia" w:ascii="宋体" w:hAnsi="宋体"/>
                <w:color w:val="auto"/>
                <w:kern w:val="0"/>
                <w:sz w:val="28"/>
                <w:szCs w:val="28"/>
                <w:highlight w:val="none"/>
              </w:rPr>
              <w:t>净利润</w:t>
            </w:r>
          </w:p>
        </w:tc>
        <w:tc>
          <w:tcPr>
            <w:tcW w:w="1336" w:type="dxa"/>
            <w:vAlign w:val="center"/>
          </w:tcPr>
          <w:p>
            <w:pPr>
              <w:autoSpaceDE w:val="0"/>
              <w:autoSpaceDN w:val="0"/>
              <w:adjustRightInd w:val="0"/>
              <w:spacing w:line="360" w:lineRule="exact"/>
              <w:jc w:val="center"/>
              <w:rPr>
                <w:rFonts w:ascii="宋体" w:hAnsi="宋体"/>
                <w:color w:val="auto"/>
                <w:kern w:val="0"/>
                <w:sz w:val="28"/>
                <w:szCs w:val="28"/>
                <w:highlight w:val="none"/>
              </w:rPr>
            </w:pPr>
            <w:r>
              <w:rPr>
                <w:rFonts w:hint="eastAsia" w:ascii="宋体" w:hAnsi="宋体"/>
                <w:color w:val="auto"/>
                <w:kern w:val="0"/>
                <w:sz w:val="28"/>
                <w:szCs w:val="28"/>
                <w:highlight w:val="none"/>
              </w:rPr>
              <w:t>1958</w:t>
            </w:r>
          </w:p>
        </w:tc>
        <w:tc>
          <w:tcPr>
            <w:tcW w:w="1773" w:type="dxa"/>
            <w:vAlign w:val="center"/>
          </w:tcPr>
          <w:p>
            <w:pPr>
              <w:autoSpaceDE w:val="0"/>
              <w:autoSpaceDN w:val="0"/>
              <w:adjustRightInd w:val="0"/>
              <w:spacing w:line="360" w:lineRule="exact"/>
              <w:jc w:val="center"/>
              <w:rPr>
                <w:rFonts w:ascii="宋体" w:hAnsi="宋体"/>
                <w:color w:val="auto"/>
                <w:kern w:val="0"/>
                <w:sz w:val="28"/>
                <w:szCs w:val="28"/>
                <w:highlight w:val="none"/>
              </w:rPr>
            </w:pPr>
            <w:r>
              <w:rPr>
                <w:rFonts w:hint="eastAsia" w:ascii="宋体" w:hAnsi="宋体"/>
                <w:color w:val="auto"/>
                <w:kern w:val="0"/>
                <w:sz w:val="28"/>
                <w:szCs w:val="28"/>
                <w:highlight w:val="none"/>
              </w:rPr>
              <w:t>1046</w:t>
            </w:r>
          </w:p>
        </w:tc>
        <w:tc>
          <w:tcPr>
            <w:tcW w:w="1991" w:type="dxa"/>
            <w:vAlign w:val="center"/>
          </w:tcPr>
          <w:p>
            <w:pPr>
              <w:autoSpaceDE w:val="0"/>
              <w:autoSpaceDN w:val="0"/>
              <w:adjustRightInd w:val="0"/>
              <w:spacing w:line="360" w:lineRule="exact"/>
              <w:jc w:val="center"/>
              <w:rPr>
                <w:rFonts w:ascii="宋体" w:hAnsi="宋体"/>
                <w:color w:val="auto"/>
                <w:kern w:val="0"/>
                <w:sz w:val="28"/>
                <w:szCs w:val="28"/>
                <w:highlight w:val="none"/>
              </w:rPr>
            </w:pPr>
            <w:r>
              <w:rPr>
                <w:rFonts w:hint="eastAsia" w:ascii="宋体" w:hAnsi="宋体"/>
                <w:color w:val="auto"/>
                <w:kern w:val="0"/>
                <w:sz w:val="28"/>
                <w:szCs w:val="28"/>
                <w:highlight w:val="none"/>
                <w:lang w:val="en-US" w:eastAsia="zh-CN"/>
              </w:rPr>
              <w:t>48</w:t>
            </w:r>
          </w:p>
        </w:tc>
        <w:tc>
          <w:tcPr>
            <w:tcW w:w="1839" w:type="dxa"/>
            <w:vAlign w:val="center"/>
          </w:tcPr>
          <w:p>
            <w:pPr>
              <w:autoSpaceDE w:val="0"/>
              <w:autoSpaceDN w:val="0"/>
              <w:adjustRightInd w:val="0"/>
              <w:spacing w:line="360" w:lineRule="exact"/>
              <w:jc w:val="center"/>
              <w:rPr>
                <w:rFonts w:hint="default" w:ascii="宋体" w:hAnsi="宋体"/>
                <w:color w:val="auto"/>
                <w:kern w:val="0"/>
                <w:sz w:val="28"/>
                <w:szCs w:val="28"/>
                <w:highlight w:val="none"/>
                <w:lang w:val="en-US" w:eastAsia="zh-CN"/>
              </w:rPr>
            </w:pPr>
            <w:r>
              <w:rPr>
                <w:rFonts w:hint="eastAsia" w:ascii="宋体" w:hAnsi="宋体"/>
                <w:color w:val="auto"/>
                <w:kern w:val="0"/>
                <w:sz w:val="28"/>
                <w:szCs w:val="28"/>
                <w:highlight w:val="none"/>
                <w:lang w:val="en-US" w:eastAsia="zh-CN"/>
              </w:rPr>
              <w:t>702</w:t>
            </w:r>
          </w:p>
        </w:tc>
      </w:tr>
    </w:tbl>
    <w:p>
      <w:pPr>
        <w:spacing w:line="500" w:lineRule="exact"/>
        <w:ind w:firstLine="560" w:firstLineChars="200"/>
        <w:rPr>
          <w:rFonts w:hint="default" w:ascii="宋体" w:hAnsi="宋体" w:eastAsia="宋体"/>
          <w:color w:val="auto"/>
          <w:sz w:val="28"/>
          <w:szCs w:val="28"/>
          <w:highlight w:val="none"/>
          <w:lang w:val="en-US" w:eastAsia="zh-CN"/>
        </w:rPr>
      </w:pPr>
      <w:r>
        <w:rPr>
          <w:rFonts w:hint="eastAsia" w:ascii="宋体" w:hAnsi="宋体"/>
          <w:color w:val="auto"/>
          <w:sz w:val="28"/>
          <w:szCs w:val="28"/>
          <w:highlight w:val="none"/>
        </w:rPr>
        <w:t>上述2020年度主要财务数据经</w:t>
      </w:r>
      <w:r>
        <w:rPr>
          <w:color w:val="auto"/>
          <w:sz w:val="28"/>
          <w:szCs w:val="28"/>
          <w:highlight w:val="none"/>
        </w:rPr>
        <w:t>浙江至诚会计师事务所</w:t>
      </w:r>
      <w:r>
        <w:rPr>
          <w:rFonts w:hint="eastAsia"/>
          <w:color w:val="auto"/>
          <w:sz w:val="28"/>
          <w:szCs w:val="28"/>
          <w:highlight w:val="none"/>
        </w:rPr>
        <w:t>（特殊普通合伙）义乌分所</w:t>
      </w:r>
      <w:r>
        <w:rPr>
          <w:rFonts w:hint="eastAsia" w:ascii="宋体" w:hAnsi="宋体"/>
          <w:color w:val="auto"/>
          <w:sz w:val="28"/>
          <w:szCs w:val="28"/>
          <w:highlight w:val="none"/>
        </w:rPr>
        <w:t>审计。</w:t>
      </w:r>
      <w:r>
        <w:rPr>
          <w:rFonts w:hint="eastAsia" w:ascii="宋体" w:hAnsi="宋体"/>
          <w:color w:val="auto"/>
          <w:sz w:val="28"/>
          <w:szCs w:val="28"/>
          <w:highlight w:val="none"/>
          <w:lang w:val="en-US" w:eastAsia="zh-CN"/>
        </w:rPr>
        <w:t>2021年7月31日主要财务数据出自标的公司未经审计的财务报表。</w:t>
      </w:r>
    </w:p>
    <w:p>
      <w:pPr>
        <w:spacing w:line="500" w:lineRule="exact"/>
        <w:ind w:firstLine="560" w:firstLineChars="200"/>
        <w:rPr>
          <w:rFonts w:ascii="宋体" w:hAnsi="宋体"/>
          <w:color w:val="auto"/>
          <w:sz w:val="28"/>
          <w:szCs w:val="28"/>
          <w:highlight w:val="none"/>
        </w:rPr>
      </w:pPr>
      <w:r>
        <w:rPr>
          <w:rFonts w:hint="eastAsia" w:ascii="宋体" w:hAnsi="宋体"/>
          <w:color w:val="auto"/>
          <w:sz w:val="28"/>
          <w:szCs w:val="28"/>
          <w:highlight w:val="none"/>
        </w:rPr>
        <w:t>2021年5月31日主要财务数据经浙江明达会计事务所有限公司审计。审计数据有所调整，具体</w:t>
      </w:r>
      <w:r>
        <w:rPr>
          <w:rFonts w:hint="eastAsia" w:asciiTheme="minorEastAsia" w:hAnsiTheme="minorEastAsia"/>
          <w:color w:val="auto"/>
          <w:sz w:val="28"/>
          <w:szCs w:val="28"/>
          <w:highlight w:val="none"/>
        </w:rPr>
        <w:t>调整原因如下：因“长期待摊费用”科目下工程项目产权不归属于标的公司。根据标的公司与转让方签订的协议，在标的公司租赁期间，无须向转让方支付租金，但租赁物应当进行的改造工程等由标的公司自行完成，所有工程相关费用由标的公司承担。在租赁期间届满后，租赁物因上述工程而形成的附属物权及现场办公用品等归转让方所有。另外因疫情，给予佳庭汇免租期延长三个月等原因。审计报告因此进行了一系列科目调整，文号未变。</w:t>
      </w:r>
    </w:p>
    <w:p>
      <w:pPr>
        <w:spacing w:line="500" w:lineRule="exact"/>
        <w:ind w:firstLine="560" w:firstLineChars="200"/>
        <w:rPr>
          <w:rFonts w:ascii="宋体" w:hAnsi="宋体"/>
          <w:color w:val="auto"/>
          <w:kern w:val="0"/>
          <w:sz w:val="28"/>
          <w:szCs w:val="28"/>
          <w:highlight w:val="none"/>
        </w:rPr>
      </w:pPr>
      <w:r>
        <w:rPr>
          <w:rFonts w:hint="eastAsia" w:ascii="宋体" w:hAnsi="宋体"/>
          <w:color w:val="auto"/>
          <w:sz w:val="28"/>
          <w:szCs w:val="28"/>
          <w:highlight w:val="none"/>
        </w:rPr>
        <w:t>4.</w:t>
      </w:r>
      <w:r>
        <w:rPr>
          <w:rFonts w:hint="eastAsia" w:ascii="宋体" w:hAnsi="宋体"/>
          <w:color w:val="auto"/>
          <w:kern w:val="0"/>
          <w:sz w:val="28"/>
          <w:szCs w:val="28"/>
          <w:highlight w:val="none"/>
        </w:rPr>
        <w:t>公司主要资产情况：</w:t>
      </w:r>
    </w:p>
    <w:p>
      <w:pPr>
        <w:autoSpaceDE w:val="0"/>
        <w:autoSpaceDN w:val="0"/>
        <w:adjustRightInd w:val="0"/>
        <w:spacing w:line="500" w:lineRule="exact"/>
        <w:ind w:firstLine="560" w:firstLineChars="200"/>
        <w:jc w:val="left"/>
        <w:rPr>
          <w:rFonts w:ascii="宋体" w:hAnsi="宋体"/>
          <w:color w:val="auto"/>
          <w:sz w:val="28"/>
          <w:szCs w:val="28"/>
          <w:highlight w:val="none"/>
        </w:rPr>
      </w:pPr>
      <w:r>
        <w:rPr>
          <w:rFonts w:hint="eastAsia" w:ascii="宋体" w:hAnsi="宋体"/>
          <w:color w:val="auto"/>
          <w:sz w:val="28"/>
          <w:szCs w:val="28"/>
          <w:highlight w:val="none"/>
        </w:rPr>
        <w:t>目前标的公司拥有两个已建房产以及五宗地块，其中已建房产分别为智汇大厦和苏华街2</w:t>
      </w:r>
      <w:r>
        <w:rPr>
          <w:rFonts w:hint="eastAsia" w:ascii="宋体" w:hAnsi="宋体"/>
          <w:color w:val="auto"/>
          <w:sz w:val="28"/>
          <w:szCs w:val="28"/>
          <w:highlight w:val="none"/>
          <w:vertAlign w:val="superscript"/>
        </w:rPr>
        <w:t>＃</w:t>
      </w:r>
      <w:r>
        <w:rPr>
          <w:rFonts w:hint="eastAsia" w:ascii="宋体" w:hAnsi="宋体"/>
          <w:color w:val="auto"/>
          <w:sz w:val="28"/>
          <w:szCs w:val="28"/>
          <w:highlight w:val="none"/>
        </w:rPr>
        <w:t>-4</w:t>
      </w:r>
      <w:r>
        <w:rPr>
          <w:rFonts w:hint="eastAsia" w:ascii="宋体" w:hAnsi="宋体"/>
          <w:color w:val="auto"/>
          <w:sz w:val="28"/>
          <w:szCs w:val="28"/>
          <w:highlight w:val="none"/>
          <w:vertAlign w:val="superscript"/>
        </w:rPr>
        <w:t>＃</w:t>
      </w:r>
      <w:r>
        <w:rPr>
          <w:rFonts w:hint="eastAsia" w:ascii="宋体" w:hAnsi="宋体"/>
          <w:color w:val="auto"/>
          <w:sz w:val="28"/>
          <w:szCs w:val="28"/>
          <w:highlight w:val="none"/>
        </w:rPr>
        <w:t>商住楼；五宗地块为高塘路两侧沿街商服2</w:t>
      </w:r>
      <w:r>
        <w:rPr>
          <w:rFonts w:hint="eastAsia" w:ascii="宋体" w:hAnsi="宋体"/>
          <w:color w:val="auto"/>
          <w:sz w:val="28"/>
          <w:szCs w:val="28"/>
          <w:highlight w:val="none"/>
          <w:vertAlign w:val="superscript"/>
        </w:rPr>
        <w:t>#</w:t>
      </w:r>
      <w:r>
        <w:rPr>
          <w:rFonts w:hint="eastAsia" w:ascii="宋体" w:hAnsi="宋体"/>
          <w:color w:val="auto"/>
          <w:sz w:val="28"/>
          <w:szCs w:val="28"/>
          <w:highlight w:val="none"/>
        </w:rPr>
        <w:t>地块、高塘路两侧沿街商服3</w:t>
      </w:r>
      <w:r>
        <w:rPr>
          <w:rFonts w:hint="eastAsia" w:ascii="宋体" w:hAnsi="宋体"/>
          <w:color w:val="auto"/>
          <w:sz w:val="28"/>
          <w:szCs w:val="28"/>
          <w:highlight w:val="none"/>
          <w:vertAlign w:val="superscript"/>
        </w:rPr>
        <w:t>#</w:t>
      </w:r>
      <w:r>
        <w:rPr>
          <w:rFonts w:hint="eastAsia" w:ascii="宋体" w:hAnsi="宋体"/>
          <w:color w:val="auto"/>
          <w:sz w:val="28"/>
          <w:szCs w:val="28"/>
          <w:highlight w:val="none"/>
        </w:rPr>
        <w:t>地块、高塘路两侧沿街商服4</w:t>
      </w:r>
      <w:r>
        <w:rPr>
          <w:rFonts w:hint="eastAsia" w:ascii="宋体" w:hAnsi="宋体"/>
          <w:color w:val="auto"/>
          <w:sz w:val="28"/>
          <w:szCs w:val="28"/>
          <w:highlight w:val="none"/>
          <w:vertAlign w:val="superscript"/>
        </w:rPr>
        <w:t>#</w:t>
      </w:r>
      <w:r>
        <w:rPr>
          <w:rFonts w:hint="eastAsia" w:ascii="宋体" w:hAnsi="宋体"/>
          <w:color w:val="auto"/>
          <w:sz w:val="28"/>
          <w:szCs w:val="28"/>
          <w:highlight w:val="none"/>
        </w:rPr>
        <w:t>地块、龙祈路北侧沿街商服A地块、龙祈路北侧沿街商服B地块。</w:t>
      </w:r>
    </w:p>
    <w:p>
      <w:pPr>
        <w:spacing w:line="500" w:lineRule="exact"/>
        <w:ind w:firstLine="420" w:firstLineChars="150"/>
        <w:rPr>
          <w:rFonts w:ascii="宋体" w:hAnsi="宋体" w:cs="宋体"/>
          <w:color w:val="auto"/>
          <w:sz w:val="28"/>
          <w:szCs w:val="28"/>
          <w:highlight w:val="none"/>
        </w:rPr>
      </w:pPr>
      <w:r>
        <w:rPr>
          <w:rFonts w:hint="eastAsia" w:ascii="宋体" w:hAnsi="宋体" w:cs="宋体"/>
          <w:color w:val="auto"/>
          <w:sz w:val="28"/>
          <w:szCs w:val="28"/>
          <w:highlight w:val="none"/>
        </w:rPr>
        <w:t>（1）已建房产基本情况</w:t>
      </w:r>
    </w:p>
    <w:tbl>
      <w:tblPr>
        <w:tblStyle w:val="6"/>
        <w:tblW w:w="88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67"/>
        <w:gridCol w:w="1438"/>
        <w:gridCol w:w="1200"/>
        <w:gridCol w:w="44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767" w:type="dxa"/>
            <w:vMerge w:val="restart"/>
            <w:vAlign w:val="center"/>
          </w:tcPr>
          <w:p>
            <w:pPr>
              <w:jc w:val="center"/>
              <w:rPr>
                <w:rFonts w:ascii="Calibri" w:hAnsi="Calibri"/>
                <w:color w:val="auto"/>
                <w:sz w:val="24"/>
                <w:highlight w:val="none"/>
              </w:rPr>
            </w:pPr>
            <w:r>
              <w:rPr>
                <w:rFonts w:hint="eastAsia" w:ascii="Calibri" w:hAnsi="Calibri"/>
                <w:color w:val="auto"/>
                <w:sz w:val="24"/>
                <w:highlight w:val="none"/>
              </w:rPr>
              <w:t>智汇大厦</w:t>
            </w:r>
          </w:p>
        </w:tc>
        <w:tc>
          <w:tcPr>
            <w:tcW w:w="1438" w:type="dxa"/>
            <w:vAlign w:val="center"/>
          </w:tcPr>
          <w:p>
            <w:pPr>
              <w:jc w:val="center"/>
              <w:rPr>
                <w:rFonts w:ascii="Calibri" w:hAnsi="Calibri"/>
                <w:color w:val="auto"/>
                <w:sz w:val="24"/>
                <w:highlight w:val="none"/>
              </w:rPr>
            </w:pPr>
            <w:r>
              <w:rPr>
                <w:rFonts w:hint="eastAsia" w:ascii="Calibri" w:hAnsi="Calibri"/>
                <w:color w:val="auto"/>
                <w:sz w:val="24"/>
                <w:highlight w:val="none"/>
              </w:rPr>
              <w:t>总层数</w:t>
            </w:r>
          </w:p>
        </w:tc>
        <w:tc>
          <w:tcPr>
            <w:tcW w:w="5692" w:type="dxa"/>
            <w:gridSpan w:val="2"/>
            <w:vAlign w:val="center"/>
          </w:tcPr>
          <w:p>
            <w:pPr>
              <w:jc w:val="center"/>
              <w:rPr>
                <w:rFonts w:ascii="宋体" w:hAnsi="宋体"/>
                <w:color w:val="auto"/>
                <w:sz w:val="24"/>
                <w:highlight w:val="none"/>
              </w:rPr>
            </w:pPr>
            <w:r>
              <w:rPr>
                <w:rFonts w:hint="eastAsia" w:ascii="宋体" w:hAnsi="宋体"/>
                <w:color w:val="auto"/>
                <w:sz w:val="24"/>
                <w:highlight w:val="none"/>
              </w:rPr>
              <w:t>17层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767" w:type="dxa"/>
            <w:vMerge w:val="continue"/>
            <w:vAlign w:val="center"/>
          </w:tcPr>
          <w:p>
            <w:pPr>
              <w:jc w:val="center"/>
              <w:rPr>
                <w:rFonts w:ascii="Calibri" w:hAnsi="Calibri"/>
                <w:color w:val="auto"/>
                <w:sz w:val="24"/>
                <w:highlight w:val="none"/>
              </w:rPr>
            </w:pPr>
          </w:p>
        </w:tc>
        <w:tc>
          <w:tcPr>
            <w:tcW w:w="1438" w:type="dxa"/>
            <w:vAlign w:val="center"/>
          </w:tcPr>
          <w:p>
            <w:pPr>
              <w:jc w:val="center"/>
              <w:rPr>
                <w:rFonts w:ascii="Calibri" w:hAnsi="Calibri"/>
                <w:color w:val="auto"/>
                <w:sz w:val="24"/>
                <w:highlight w:val="none"/>
              </w:rPr>
            </w:pPr>
            <w:r>
              <w:rPr>
                <w:rFonts w:hint="eastAsia" w:ascii="Calibri" w:hAnsi="Calibri"/>
                <w:color w:val="auto"/>
                <w:sz w:val="24"/>
                <w:highlight w:val="none"/>
              </w:rPr>
              <w:t>坐落</w:t>
            </w:r>
          </w:p>
        </w:tc>
        <w:tc>
          <w:tcPr>
            <w:tcW w:w="5692" w:type="dxa"/>
            <w:gridSpan w:val="2"/>
            <w:vAlign w:val="center"/>
          </w:tcPr>
          <w:p>
            <w:pPr>
              <w:jc w:val="center"/>
              <w:rPr>
                <w:rFonts w:ascii="Calibri" w:hAnsi="Calibri"/>
                <w:color w:val="auto"/>
                <w:sz w:val="24"/>
                <w:highlight w:val="none"/>
              </w:rPr>
            </w:pPr>
            <w:r>
              <w:rPr>
                <w:rFonts w:hint="eastAsia" w:ascii="宋体" w:hAnsi="宋体"/>
                <w:color w:val="auto"/>
                <w:sz w:val="24"/>
                <w:highlight w:val="none"/>
              </w:rPr>
              <w:t xml:space="preserve">义乌市苏溪镇智汇大厦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7" w:type="dxa"/>
            <w:vMerge w:val="continue"/>
            <w:vAlign w:val="center"/>
          </w:tcPr>
          <w:p>
            <w:pPr>
              <w:jc w:val="center"/>
              <w:rPr>
                <w:rFonts w:ascii="Calibri" w:hAnsi="Calibri"/>
                <w:color w:val="auto"/>
                <w:sz w:val="24"/>
                <w:highlight w:val="none"/>
              </w:rPr>
            </w:pPr>
          </w:p>
        </w:tc>
        <w:tc>
          <w:tcPr>
            <w:tcW w:w="1438" w:type="dxa"/>
            <w:vAlign w:val="center"/>
          </w:tcPr>
          <w:p>
            <w:pPr>
              <w:jc w:val="center"/>
              <w:rPr>
                <w:rFonts w:ascii="Calibri" w:hAnsi="Calibri"/>
                <w:color w:val="auto"/>
                <w:sz w:val="24"/>
                <w:highlight w:val="none"/>
              </w:rPr>
            </w:pPr>
            <w:r>
              <w:rPr>
                <w:rFonts w:hint="eastAsia" w:ascii="Calibri" w:hAnsi="Calibri"/>
                <w:color w:val="auto"/>
                <w:sz w:val="24"/>
                <w:highlight w:val="none"/>
              </w:rPr>
              <w:t>权利类型</w:t>
            </w:r>
          </w:p>
        </w:tc>
        <w:tc>
          <w:tcPr>
            <w:tcW w:w="5692" w:type="dxa"/>
            <w:gridSpan w:val="2"/>
            <w:vAlign w:val="center"/>
          </w:tcPr>
          <w:p>
            <w:pPr>
              <w:jc w:val="center"/>
              <w:rPr>
                <w:rFonts w:ascii="Calibri" w:hAnsi="Calibri"/>
                <w:color w:val="auto"/>
                <w:sz w:val="24"/>
                <w:highlight w:val="none"/>
              </w:rPr>
            </w:pPr>
            <w:r>
              <w:rPr>
                <w:rFonts w:hint="eastAsia" w:ascii="宋体" w:hAnsi="宋体"/>
                <w:color w:val="auto"/>
                <w:sz w:val="24"/>
                <w:highlight w:val="none"/>
              </w:rPr>
              <w:t>国有建设用地使用权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7" w:type="dxa"/>
            <w:vMerge w:val="continue"/>
            <w:vAlign w:val="center"/>
          </w:tcPr>
          <w:p>
            <w:pPr>
              <w:jc w:val="center"/>
              <w:rPr>
                <w:rFonts w:ascii="Calibri" w:hAnsi="Calibri"/>
                <w:color w:val="auto"/>
                <w:sz w:val="24"/>
                <w:highlight w:val="none"/>
              </w:rPr>
            </w:pPr>
          </w:p>
        </w:tc>
        <w:tc>
          <w:tcPr>
            <w:tcW w:w="1438" w:type="dxa"/>
            <w:vAlign w:val="center"/>
          </w:tcPr>
          <w:p>
            <w:pPr>
              <w:jc w:val="center"/>
              <w:rPr>
                <w:rFonts w:ascii="Calibri" w:hAnsi="Calibri"/>
                <w:color w:val="auto"/>
                <w:sz w:val="24"/>
                <w:highlight w:val="none"/>
              </w:rPr>
            </w:pPr>
            <w:r>
              <w:rPr>
                <w:rFonts w:hint="eastAsia" w:ascii="Calibri" w:hAnsi="Calibri"/>
                <w:color w:val="auto"/>
                <w:sz w:val="24"/>
                <w:highlight w:val="none"/>
              </w:rPr>
              <w:t>权利性质</w:t>
            </w:r>
          </w:p>
        </w:tc>
        <w:tc>
          <w:tcPr>
            <w:tcW w:w="5692" w:type="dxa"/>
            <w:gridSpan w:val="2"/>
            <w:vAlign w:val="center"/>
          </w:tcPr>
          <w:p>
            <w:pPr>
              <w:jc w:val="center"/>
              <w:rPr>
                <w:rFonts w:ascii="Calibri" w:hAnsi="Calibri"/>
                <w:color w:val="auto"/>
                <w:sz w:val="24"/>
                <w:highlight w:val="none"/>
              </w:rPr>
            </w:pPr>
            <w:r>
              <w:rPr>
                <w:rFonts w:hint="eastAsia" w:ascii="宋体" w:hAnsi="宋体"/>
                <w:color w:val="auto"/>
                <w:sz w:val="24"/>
                <w:highlight w:val="none"/>
              </w:rPr>
              <w:t>出让/商品房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7" w:type="dxa"/>
            <w:vMerge w:val="continue"/>
            <w:vAlign w:val="center"/>
          </w:tcPr>
          <w:p>
            <w:pPr>
              <w:jc w:val="center"/>
              <w:rPr>
                <w:rFonts w:ascii="Calibri" w:hAnsi="Calibri"/>
                <w:color w:val="auto"/>
                <w:sz w:val="24"/>
                <w:highlight w:val="none"/>
              </w:rPr>
            </w:pPr>
          </w:p>
        </w:tc>
        <w:tc>
          <w:tcPr>
            <w:tcW w:w="1438" w:type="dxa"/>
            <w:vAlign w:val="center"/>
          </w:tcPr>
          <w:p>
            <w:pPr>
              <w:jc w:val="center"/>
              <w:rPr>
                <w:rFonts w:ascii="Calibri" w:hAnsi="Calibri"/>
                <w:color w:val="auto"/>
                <w:sz w:val="24"/>
                <w:highlight w:val="none"/>
              </w:rPr>
            </w:pPr>
            <w:r>
              <w:rPr>
                <w:rFonts w:hint="eastAsia" w:ascii="Calibri" w:hAnsi="Calibri"/>
                <w:color w:val="auto"/>
                <w:sz w:val="24"/>
                <w:highlight w:val="none"/>
              </w:rPr>
              <w:t>用途</w:t>
            </w:r>
          </w:p>
        </w:tc>
        <w:tc>
          <w:tcPr>
            <w:tcW w:w="5692" w:type="dxa"/>
            <w:gridSpan w:val="2"/>
            <w:vAlign w:val="center"/>
          </w:tcPr>
          <w:p>
            <w:pPr>
              <w:jc w:val="center"/>
              <w:rPr>
                <w:rFonts w:ascii="Calibri" w:hAnsi="Calibri"/>
                <w:color w:val="auto"/>
                <w:sz w:val="24"/>
                <w:highlight w:val="none"/>
              </w:rPr>
            </w:pPr>
            <w:r>
              <w:rPr>
                <w:rFonts w:hint="eastAsia" w:ascii="宋体" w:hAnsi="宋体"/>
                <w:color w:val="auto"/>
                <w:sz w:val="24"/>
                <w:highlight w:val="none"/>
              </w:rPr>
              <w:t>商服、住宅用地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7" w:type="dxa"/>
            <w:vMerge w:val="continue"/>
            <w:vAlign w:val="center"/>
          </w:tcPr>
          <w:p>
            <w:pPr>
              <w:jc w:val="center"/>
              <w:rPr>
                <w:rFonts w:ascii="Calibri" w:hAnsi="Calibri"/>
                <w:color w:val="auto"/>
                <w:sz w:val="24"/>
                <w:highlight w:val="none"/>
              </w:rPr>
            </w:pPr>
          </w:p>
        </w:tc>
        <w:tc>
          <w:tcPr>
            <w:tcW w:w="1438" w:type="dxa"/>
            <w:vAlign w:val="center"/>
          </w:tcPr>
          <w:p>
            <w:pPr>
              <w:jc w:val="center"/>
              <w:rPr>
                <w:rFonts w:ascii="Calibri" w:hAnsi="Calibri"/>
                <w:color w:val="auto"/>
                <w:sz w:val="24"/>
                <w:highlight w:val="none"/>
              </w:rPr>
            </w:pPr>
            <w:r>
              <w:rPr>
                <w:rFonts w:hint="eastAsia" w:ascii="Calibri" w:hAnsi="Calibri"/>
                <w:color w:val="auto"/>
                <w:sz w:val="24"/>
                <w:highlight w:val="none"/>
              </w:rPr>
              <w:t>面积</w:t>
            </w:r>
          </w:p>
        </w:tc>
        <w:tc>
          <w:tcPr>
            <w:tcW w:w="5692" w:type="dxa"/>
            <w:gridSpan w:val="2"/>
            <w:vAlign w:val="center"/>
          </w:tcPr>
          <w:p>
            <w:pPr>
              <w:jc w:val="left"/>
              <w:rPr>
                <w:rFonts w:ascii="Calibri" w:hAnsi="Calibri"/>
                <w:color w:val="auto"/>
                <w:sz w:val="24"/>
                <w:highlight w:val="none"/>
              </w:rPr>
            </w:pPr>
            <w:r>
              <w:rPr>
                <w:rFonts w:hint="eastAsia" w:ascii="宋体" w:hAnsi="宋体"/>
                <w:color w:val="auto"/>
                <w:sz w:val="24"/>
                <w:highlight w:val="none"/>
              </w:rPr>
              <w:t>宗地面积15580.08m</w:t>
            </w:r>
            <w:r>
              <w:rPr>
                <w:rFonts w:hint="eastAsia" w:ascii="宋体" w:hAnsi="宋体"/>
                <w:color w:val="auto"/>
                <w:sz w:val="24"/>
                <w:highlight w:val="none"/>
                <w:vertAlign w:val="superscript"/>
              </w:rPr>
              <w:t>2</w:t>
            </w:r>
            <w:r>
              <w:rPr>
                <w:rFonts w:hint="eastAsia" w:ascii="宋体" w:hAnsi="宋体"/>
                <w:color w:val="auto"/>
                <w:sz w:val="24"/>
                <w:highlight w:val="none"/>
              </w:rPr>
              <w:t>/建筑占地总面积6337.99m</w:t>
            </w:r>
            <w:r>
              <w:rPr>
                <w:rFonts w:hint="eastAsia" w:ascii="宋体" w:hAnsi="宋体"/>
                <w:color w:val="auto"/>
                <w:sz w:val="24"/>
                <w:highlight w:val="none"/>
                <w:vertAlign w:val="superscript"/>
              </w:rPr>
              <w:t>2</w:t>
            </w:r>
            <w:r>
              <w:rPr>
                <w:rFonts w:hint="eastAsia" w:ascii="宋体" w:hAnsi="宋体"/>
                <w:color w:val="auto"/>
                <w:sz w:val="24"/>
                <w:highlight w:val="none"/>
              </w:rPr>
              <w:t>/地上建筑面积39906.94 m</w:t>
            </w:r>
            <w:r>
              <w:rPr>
                <w:rFonts w:hint="eastAsia" w:ascii="宋体" w:hAnsi="宋体"/>
                <w:color w:val="auto"/>
                <w:sz w:val="24"/>
                <w:highlight w:val="none"/>
                <w:vertAlign w:val="superscript"/>
              </w:rPr>
              <w:t>2</w:t>
            </w:r>
            <w:r>
              <w:rPr>
                <w:rFonts w:hint="eastAsia" w:ascii="宋体" w:hAnsi="宋体"/>
                <w:color w:val="auto"/>
                <w:sz w:val="24"/>
                <w:highlight w:val="none"/>
              </w:rPr>
              <w:t>/地下建筑面积11514.9 m</w:t>
            </w:r>
            <w:r>
              <w:rPr>
                <w:rFonts w:hint="eastAsia" w:ascii="宋体" w:hAnsi="宋体"/>
                <w:color w:val="auto"/>
                <w:sz w:val="24"/>
                <w:highlight w:val="none"/>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7" w:type="dxa"/>
            <w:vMerge w:val="continue"/>
            <w:vAlign w:val="center"/>
          </w:tcPr>
          <w:p>
            <w:pPr>
              <w:jc w:val="center"/>
              <w:rPr>
                <w:rFonts w:ascii="Calibri" w:hAnsi="Calibri"/>
                <w:color w:val="auto"/>
                <w:sz w:val="24"/>
                <w:highlight w:val="none"/>
              </w:rPr>
            </w:pPr>
          </w:p>
        </w:tc>
        <w:tc>
          <w:tcPr>
            <w:tcW w:w="1438" w:type="dxa"/>
            <w:vMerge w:val="restart"/>
            <w:vAlign w:val="center"/>
          </w:tcPr>
          <w:p>
            <w:pPr>
              <w:jc w:val="center"/>
              <w:rPr>
                <w:rFonts w:ascii="Calibri" w:hAnsi="Calibri"/>
                <w:color w:val="auto"/>
                <w:sz w:val="24"/>
                <w:highlight w:val="none"/>
              </w:rPr>
            </w:pPr>
            <w:r>
              <w:rPr>
                <w:rFonts w:hint="eastAsia" w:ascii="Calibri" w:hAnsi="Calibri"/>
                <w:color w:val="auto"/>
                <w:sz w:val="24"/>
                <w:highlight w:val="none"/>
              </w:rPr>
              <w:t>目前持有产权情况</w:t>
            </w:r>
          </w:p>
        </w:tc>
        <w:tc>
          <w:tcPr>
            <w:tcW w:w="1200" w:type="dxa"/>
            <w:vMerge w:val="restart"/>
            <w:vAlign w:val="center"/>
          </w:tcPr>
          <w:p>
            <w:pPr>
              <w:autoSpaceDE w:val="0"/>
              <w:autoSpaceDN w:val="0"/>
              <w:adjustRightInd w:val="0"/>
              <w:jc w:val="left"/>
              <w:rPr>
                <w:rFonts w:ascii="宋体" w:hAnsi="宋体"/>
                <w:color w:val="auto"/>
                <w:sz w:val="24"/>
                <w:highlight w:val="none"/>
              </w:rPr>
            </w:pPr>
            <w:r>
              <w:rPr>
                <w:rFonts w:hint="eastAsia" w:ascii="宋体" w:hAnsi="宋体"/>
                <w:color w:val="auto"/>
                <w:sz w:val="24"/>
                <w:highlight w:val="none"/>
              </w:rPr>
              <w:t>商业用房</w:t>
            </w:r>
          </w:p>
        </w:tc>
        <w:tc>
          <w:tcPr>
            <w:tcW w:w="4492" w:type="dxa"/>
            <w:vAlign w:val="center"/>
          </w:tcPr>
          <w:p>
            <w:pPr>
              <w:autoSpaceDE w:val="0"/>
              <w:autoSpaceDN w:val="0"/>
              <w:adjustRightInd w:val="0"/>
              <w:jc w:val="left"/>
              <w:rPr>
                <w:rFonts w:ascii="宋体" w:hAnsi="宋体"/>
                <w:color w:val="auto"/>
                <w:sz w:val="24"/>
                <w:highlight w:val="none"/>
                <w:vertAlign w:val="superscript"/>
              </w:rPr>
            </w:pPr>
            <w:r>
              <w:rPr>
                <w:rFonts w:hint="eastAsia" w:ascii="宋体" w:hAnsi="宋体"/>
                <w:color w:val="auto"/>
                <w:sz w:val="24"/>
                <w:highlight w:val="none"/>
              </w:rPr>
              <w:t>自持不可销售商业建筑面积17734.37m</w:t>
            </w:r>
            <w:r>
              <w:rPr>
                <w:rFonts w:hint="eastAsia" w:ascii="宋体" w:hAnsi="宋体"/>
                <w:color w:val="auto"/>
                <w:sz w:val="24"/>
                <w:highlight w:val="none"/>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1767" w:type="dxa"/>
            <w:vMerge w:val="continue"/>
            <w:vAlign w:val="center"/>
          </w:tcPr>
          <w:p>
            <w:pPr>
              <w:jc w:val="center"/>
              <w:rPr>
                <w:rFonts w:ascii="Calibri" w:hAnsi="Calibri"/>
                <w:color w:val="auto"/>
                <w:sz w:val="24"/>
                <w:highlight w:val="none"/>
              </w:rPr>
            </w:pPr>
          </w:p>
        </w:tc>
        <w:tc>
          <w:tcPr>
            <w:tcW w:w="1438" w:type="dxa"/>
            <w:vMerge w:val="continue"/>
            <w:vAlign w:val="center"/>
          </w:tcPr>
          <w:p>
            <w:pPr>
              <w:jc w:val="center"/>
              <w:rPr>
                <w:rFonts w:ascii="Calibri" w:hAnsi="Calibri"/>
                <w:color w:val="auto"/>
                <w:sz w:val="24"/>
                <w:highlight w:val="none"/>
              </w:rPr>
            </w:pPr>
          </w:p>
        </w:tc>
        <w:tc>
          <w:tcPr>
            <w:tcW w:w="1200" w:type="dxa"/>
            <w:vMerge w:val="continue"/>
            <w:vAlign w:val="center"/>
          </w:tcPr>
          <w:p>
            <w:pPr>
              <w:autoSpaceDE w:val="0"/>
              <w:autoSpaceDN w:val="0"/>
              <w:adjustRightInd w:val="0"/>
              <w:jc w:val="left"/>
              <w:rPr>
                <w:rFonts w:ascii="宋体" w:hAnsi="宋体"/>
                <w:color w:val="auto"/>
                <w:sz w:val="24"/>
                <w:highlight w:val="none"/>
              </w:rPr>
            </w:pPr>
          </w:p>
        </w:tc>
        <w:tc>
          <w:tcPr>
            <w:tcW w:w="4492" w:type="dxa"/>
            <w:vAlign w:val="center"/>
          </w:tcPr>
          <w:p>
            <w:pPr>
              <w:autoSpaceDE w:val="0"/>
              <w:autoSpaceDN w:val="0"/>
              <w:adjustRightInd w:val="0"/>
              <w:ind w:left="960" w:hanging="960" w:hangingChars="400"/>
              <w:jc w:val="left"/>
              <w:rPr>
                <w:rFonts w:ascii="宋体" w:hAnsi="宋体"/>
                <w:color w:val="auto"/>
                <w:sz w:val="24"/>
                <w:highlight w:val="none"/>
              </w:rPr>
            </w:pPr>
            <w:r>
              <w:rPr>
                <w:rFonts w:hint="eastAsia" w:ascii="宋体" w:hAnsi="宋体"/>
                <w:color w:val="auto"/>
                <w:sz w:val="24"/>
                <w:highlight w:val="none"/>
              </w:rPr>
              <w:t>可销售商业建筑面积3533.08m</w:t>
            </w:r>
            <w:r>
              <w:rPr>
                <w:rFonts w:hint="eastAsia" w:ascii="宋体" w:hAnsi="宋体"/>
                <w:color w:val="auto"/>
                <w:sz w:val="24"/>
                <w:highlight w:val="none"/>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1767" w:type="dxa"/>
            <w:vMerge w:val="continue"/>
            <w:vAlign w:val="center"/>
          </w:tcPr>
          <w:p>
            <w:pPr>
              <w:jc w:val="center"/>
              <w:rPr>
                <w:rFonts w:ascii="Calibri" w:hAnsi="Calibri"/>
                <w:color w:val="auto"/>
                <w:sz w:val="24"/>
                <w:highlight w:val="none"/>
              </w:rPr>
            </w:pPr>
          </w:p>
        </w:tc>
        <w:tc>
          <w:tcPr>
            <w:tcW w:w="1438" w:type="dxa"/>
            <w:vMerge w:val="continue"/>
            <w:vAlign w:val="center"/>
          </w:tcPr>
          <w:p>
            <w:pPr>
              <w:jc w:val="center"/>
              <w:rPr>
                <w:rFonts w:ascii="Calibri" w:hAnsi="Calibri"/>
                <w:color w:val="auto"/>
                <w:sz w:val="24"/>
                <w:highlight w:val="none"/>
              </w:rPr>
            </w:pPr>
          </w:p>
        </w:tc>
        <w:tc>
          <w:tcPr>
            <w:tcW w:w="1200" w:type="dxa"/>
            <w:vAlign w:val="center"/>
          </w:tcPr>
          <w:p>
            <w:pPr>
              <w:autoSpaceDE w:val="0"/>
              <w:autoSpaceDN w:val="0"/>
              <w:adjustRightInd w:val="0"/>
              <w:jc w:val="left"/>
              <w:rPr>
                <w:rFonts w:ascii="宋体" w:hAnsi="宋体"/>
                <w:color w:val="auto"/>
                <w:sz w:val="24"/>
                <w:highlight w:val="none"/>
              </w:rPr>
            </w:pPr>
            <w:r>
              <w:rPr>
                <w:rFonts w:hint="eastAsia" w:ascii="宋体" w:hAnsi="宋体"/>
                <w:color w:val="auto"/>
                <w:sz w:val="24"/>
                <w:highlight w:val="none"/>
              </w:rPr>
              <w:t>住宅</w:t>
            </w:r>
          </w:p>
        </w:tc>
        <w:tc>
          <w:tcPr>
            <w:tcW w:w="4492" w:type="dxa"/>
            <w:vAlign w:val="center"/>
          </w:tcPr>
          <w:p>
            <w:pPr>
              <w:autoSpaceDE w:val="0"/>
              <w:autoSpaceDN w:val="0"/>
              <w:adjustRightInd w:val="0"/>
              <w:jc w:val="left"/>
              <w:rPr>
                <w:rFonts w:ascii="宋体" w:hAnsi="宋体"/>
                <w:color w:val="auto"/>
                <w:sz w:val="24"/>
                <w:highlight w:val="none"/>
              </w:rPr>
            </w:pPr>
            <w:r>
              <w:rPr>
                <w:rFonts w:hint="eastAsia" w:ascii="宋体" w:hAnsi="宋体"/>
                <w:color w:val="auto"/>
                <w:sz w:val="24"/>
                <w:highlight w:val="none"/>
              </w:rPr>
              <w:t>目前尚余住宅共计18套、建筑面积1316.16m</w:t>
            </w:r>
            <w:r>
              <w:rPr>
                <w:rFonts w:hint="eastAsia" w:ascii="宋体" w:hAnsi="宋体"/>
                <w:color w:val="auto"/>
                <w:sz w:val="24"/>
                <w:highlight w:val="none"/>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7" w:type="dxa"/>
            <w:vMerge w:val="continue"/>
            <w:vAlign w:val="center"/>
          </w:tcPr>
          <w:p>
            <w:pPr>
              <w:jc w:val="center"/>
              <w:rPr>
                <w:rFonts w:ascii="Calibri" w:hAnsi="Calibri"/>
                <w:color w:val="auto"/>
                <w:sz w:val="24"/>
                <w:highlight w:val="none"/>
              </w:rPr>
            </w:pPr>
          </w:p>
        </w:tc>
        <w:tc>
          <w:tcPr>
            <w:tcW w:w="1438" w:type="dxa"/>
            <w:vMerge w:val="continue"/>
            <w:vAlign w:val="center"/>
          </w:tcPr>
          <w:p>
            <w:pPr>
              <w:jc w:val="center"/>
              <w:rPr>
                <w:rFonts w:ascii="Calibri" w:hAnsi="Calibri"/>
                <w:color w:val="auto"/>
                <w:sz w:val="24"/>
                <w:highlight w:val="none"/>
              </w:rPr>
            </w:pPr>
          </w:p>
        </w:tc>
        <w:tc>
          <w:tcPr>
            <w:tcW w:w="1200" w:type="dxa"/>
            <w:vAlign w:val="center"/>
          </w:tcPr>
          <w:p>
            <w:pPr>
              <w:autoSpaceDE w:val="0"/>
              <w:autoSpaceDN w:val="0"/>
              <w:adjustRightInd w:val="0"/>
              <w:jc w:val="left"/>
              <w:rPr>
                <w:rFonts w:ascii="宋体" w:hAnsi="宋体"/>
                <w:color w:val="auto"/>
                <w:sz w:val="24"/>
                <w:highlight w:val="none"/>
              </w:rPr>
            </w:pPr>
            <w:r>
              <w:rPr>
                <w:rFonts w:hint="eastAsia" w:ascii="宋体" w:hAnsi="宋体"/>
                <w:color w:val="auto"/>
                <w:sz w:val="24"/>
                <w:highlight w:val="none"/>
              </w:rPr>
              <w:t>车位</w:t>
            </w:r>
          </w:p>
        </w:tc>
        <w:tc>
          <w:tcPr>
            <w:tcW w:w="4492" w:type="dxa"/>
            <w:vAlign w:val="center"/>
          </w:tcPr>
          <w:p>
            <w:pPr>
              <w:autoSpaceDE w:val="0"/>
              <w:autoSpaceDN w:val="0"/>
              <w:adjustRightInd w:val="0"/>
              <w:jc w:val="left"/>
              <w:rPr>
                <w:rFonts w:ascii="宋体" w:hAnsi="宋体"/>
                <w:color w:val="auto"/>
                <w:sz w:val="24"/>
                <w:highlight w:val="none"/>
              </w:rPr>
            </w:pPr>
            <w:r>
              <w:rPr>
                <w:rFonts w:hint="eastAsia" w:ascii="宋体" w:hAnsi="宋体"/>
                <w:color w:val="auto"/>
                <w:sz w:val="24"/>
                <w:highlight w:val="none"/>
              </w:rPr>
              <w:t>智汇大厦共有地上车位133个，地下车位270个，合计403个车位。租赁期给佳庭汇配套使用210个车位（地上车位133个，地下车位77个），配套给已售住宅户170个地下车位，剩余地下车位23个。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7" w:type="dxa"/>
            <w:vMerge w:val="restart"/>
            <w:vAlign w:val="center"/>
          </w:tcPr>
          <w:p>
            <w:pPr>
              <w:jc w:val="center"/>
              <w:rPr>
                <w:rFonts w:ascii="Calibri" w:hAnsi="Calibri"/>
                <w:color w:val="auto"/>
                <w:sz w:val="24"/>
                <w:highlight w:val="none"/>
              </w:rPr>
            </w:pPr>
            <w:r>
              <w:rPr>
                <w:rFonts w:hint="eastAsia" w:ascii="宋体" w:hAnsi="宋体" w:cs="宋体"/>
                <w:color w:val="auto"/>
                <w:sz w:val="24"/>
                <w:highlight w:val="none"/>
              </w:rPr>
              <w:t>苏华街2#-4#商住楼</w:t>
            </w:r>
          </w:p>
        </w:tc>
        <w:tc>
          <w:tcPr>
            <w:tcW w:w="1438" w:type="dxa"/>
            <w:vAlign w:val="center"/>
          </w:tcPr>
          <w:p>
            <w:pPr>
              <w:jc w:val="center"/>
              <w:rPr>
                <w:rFonts w:ascii="Calibri" w:hAnsi="Calibri"/>
                <w:color w:val="auto"/>
                <w:sz w:val="24"/>
                <w:highlight w:val="none"/>
              </w:rPr>
            </w:pPr>
            <w:r>
              <w:rPr>
                <w:rFonts w:hint="eastAsia" w:ascii="Calibri" w:hAnsi="Calibri"/>
                <w:color w:val="auto"/>
                <w:sz w:val="24"/>
                <w:highlight w:val="none"/>
              </w:rPr>
              <w:t>总层数</w:t>
            </w:r>
          </w:p>
        </w:tc>
        <w:tc>
          <w:tcPr>
            <w:tcW w:w="5692" w:type="dxa"/>
            <w:gridSpan w:val="2"/>
            <w:vAlign w:val="center"/>
          </w:tcPr>
          <w:p>
            <w:pPr>
              <w:jc w:val="center"/>
              <w:rPr>
                <w:rFonts w:ascii="宋体" w:hAnsi="宋体"/>
                <w:color w:val="auto"/>
                <w:sz w:val="24"/>
                <w:highlight w:val="none"/>
              </w:rPr>
            </w:pPr>
            <w:r>
              <w:rPr>
                <w:rFonts w:hint="eastAsia" w:ascii="宋体" w:hAnsi="宋体"/>
                <w:color w:val="auto"/>
                <w:sz w:val="24"/>
                <w:highlight w:val="none"/>
              </w:rPr>
              <w:t>9层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7" w:type="dxa"/>
            <w:vMerge w:val="continue"/>
            <w:vAlign w:val="center"/>
          </w:tcPr>
          <w:p>
            <w:pPr>
              <w:jc w:val="center"/>
              <w:rPr>
                <w:rFonts w:ascii="Calibri" w:hAnsi="Calibri"/>
                <w:color w:val="auto"/>
                <w:sz w:val="24"/>
                <w:highlight w:val="none"/>
              </w:rPr>
            </w:pPr>
          </w:p>
        </w:tc>
        <w:tc>
          <w:tcPr>
            <w:tcW w:w="1438" w:type="dxa"/>
            <w:vAlign w:val="center"/>
          </w:tcPr>
          <w:p>
            <w:pPr>
              <w:jc w:val="center"/>
              <w:rPr>
                <w:rFonts w:ascii="Calibri" w:hAnsi="Calibri"/>
                <w:color w:val="auto"/>
                <w:sz w:val="24"/>
                <w:highlight w:val="none"/>
              </w:rPr>
            </w:pPr>
            <w:r>
              <w:rPr>
                <w:rFonts w:hint="eastAsia" w:ascii="Calibri" w:hAnsi="Calibri"/>
                <w:color w:val="auto"/>
                <w:sz w:val="24"/>
                <w:highlight w:val="none"/>
              </w:rPr>
              <w:t>坐落</w:t>
            </w:r>
          </w:p>
        </w:tc>
        <w:tc>
          <w:tcPr>
            <w:tcW w:w="5692" w:type="dxa"/>
            <w:gridSpan w:val="2"/>
            <w:vAlign w:val="center"/>
          </w:tcPr>
          <w:p>
            <w:pPr>
              <w:jc w:val="center"/>
              <w:rPr>
                <w:rFonts w:ascii="Calibri" w:hAnsi="Calibri"/>
                <w:color w:val="auto"/>
                <w:sz w:val="24"/>
                <w:highlight w:val="none"/>
              </w:rPr>
            </w:pPr>
            <w:r>
              <w:rPr>
                <w:rFonts w:hint="eastAsia" w:ascii="宋体" w:hAnsi="宋体"/>
                <w:color w:val="auto"/>
                <w:sz w:val="24"/>
                <w:highlight w:val="none"/>
              </w:rPr>
              <w:t>义乌市苏溪镇苏华街138-206号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7" w:type="dxa"/>
            <w:vMerge w:val="continue"/>
            <w:vAlign w:val="center"/>
          </w:tcPr>
          <w:p>
            <w:pPr>
              <w:jc w:val="center"/>
              <w:rPr>
                <w:rFonts w:ascii="Calibri" w:hAnsi="Calibri"/>
                <w:color w:val="auto"/>
                <w:sz w:val="24"/>
                <w:highlight w:val="none"/>
              </w:rPr>
            </w:pPr>
          </w:p>
        </w:tc>
        <w:tc>
          <w:tcPr>
            <w:tcW w:w="1438" w:type="dxa"/>
            <w:vAlign w:val="center"/>
          </w:tcPr>
          <w:p>
            <w:pPr>
              <w:jc w:val="center"/>
              <w:rPr>
                <w:rFonts w:ascii="Calibri" w:hAnsi="Calibri"/>
                <w:color w:val="auto"/>
                <w:sz w:val="24"/>
                <w:highlight w:val="none"/>
              </w:rPr>
            </w:pPr>
            <w:r>
              <w:rPr>
                <w:rFonts w:hint="eastAsia" w:ascii="Calibri" w:hAnsi="Calibri"/>
                <w:color w:val="auto"/>
                <w:sz w:val="24"/>
                <w:highlight w:val="none"/>
              </w:rPr>
              <w:t>权利类型</w:t>
            </w:r>
          </w:p>
        </w:tc>
        <w:tc>
          <w:tcPr>
            <w:tcW w:w="5692" w:type="dxa"/>
            <w:gridSpan w:val="2"/>
            <w:vAlign w:val="center"/>
          </w:tcPr>
          <w:p>
            <w:pPr>
              <w:jc w:val="center"/>
              <w:rPr>
                <w:rFonts w:ascii="Calibri" w:hAnsi="Calibri"/>
                <w:color w:val="auto"/>
                <w:sz w:val="24"/>
                <w:highlight w:val="none"/>
              </w:rPr>
            </w:pPr>
            <w:r>
              <w:rPr>
                <w:rFonts w:hint="eastAsia" w:ascii="宋体" w:hAnsi="宋体"/>
                <w:color w:val="auto"/>
                <w:sz w:val="24"/>
                <w:highlight w:val="none"/>
              </w:rPr>
              <w:t>国有建设用地使用权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7" w:type="dxa"/>
            <w:vMerge w:val="continue"/>
            <w:vAlign w:val="center"/>
          </w:tcPr>
          <w:p>
            <w:pPr>
              <w:jc w:val="center"/>
              <w:rPr>
                <w:rFonts w:ascii="Calibri" w:hAnsi="Calibri"/>
                <w:color w:val="auto"/>
                <w:sz w:val="24"/>
                <w:highlight w:val="none"/>
              </w:rPr>
            </w:pPr>
          </w:p>
        </w:tc>
        <w:tc>
          <w:tcPr>
            <w:tcW w:w="1438" w:type="dxa"/>
            <w:vAlign w:val="center"/>
          </w:tcPr>
          <w:p>
            <w:pPr>
              <w:jc w:val="center"/>
              <w:rPr>
                <w:rFonts w:ascii="Calibri" w:hAnsi="Calibri"/>
                <w:color w:val="auto"/>
                <w:sz w:val="24"/>
                <w:highlight w:val="none"/>
              </w:rPr>
            </w:pPr>
            <w:r>
              <w:rPr>
                <w:rFonts w:hint="eastAsia" w:ascii="Calibri" w:hAnsi="Calibri"/>
                <w:color w:val="auto"/>
                <w:sz w:val="24"/>
                <w:highlight w:val="none"/>
              </w:rPr>
              <w:t>权利性质</w:t>
            </w:r>
          </w:p>
        </w:tc>
        <w:tc>
          <w:tcPr>
            <w:tcW w:w="5692" w:type="dxa"/>
            <w:gridSpan w:val="2"/>
            <w:vAlign w:val="center"/>
          </w:tcPr>
          <w:p>
            <w:pPr>
              <w:jc w:val="center"/>
              <w:rPr>
                <w:rFonts w:ascii="Calibri" w:hAnsi="Calibri"/>
                <w:color w:val="auto"/>
                <w:sz w:val="24"/>
                <w:highlight w:val="none"/>
              </w:rPr>
            </w:pPr>
            <w:r>
              <w:rPr>
                <w:rFonts w:ascii="宋体" w:hAnsi="宋体"/>
                <w:color w:val="auto"/>
                <w:sz w:val="24"/>
                <w:highlight w:val="none"/>
              </w:rPr>
              <w:t>出让/商品房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7" w:type="dxa"/>
            <w:vMerge w:val="continue"/>
            <w:vAlign w:val="center"/>
          </w:tcPr>
          <w:p>
            <w:pPr>
              <w:jc w:val="center"/>
              <w:rPr>
                <w:rFonts w:ascii="Calibri" w:hAnsi="Calibri"/>
                <w:color w:val="auto"/>
                <w:sz w:val="24"/>
                <w:highlight w:val="none"/>
              </w:rPr>
            </w:pPr>
          </w:p>
        </w:tc>
        <w:tc>
          <w:tcPr>
            <w:tcW w:w="1438" w:type="dxa"/>
            <w:vAlign w:val="center"/>
          </w:tcPr>
          <w:p>
            <w:pPr>
              <w:jc w:val="center"/>
              <w:rPr>
                <w:rFonts w:ascii="Calibri" w:hAnsi="Calibri"/>
                <w:color w:val="auto"/>
                <w:sz w:val="24"/>
                <w:highlight w:val="none"/>
              </w:rPr>
            </w:pPr>
            <w:r>
              <w:rPr>
                <w:rFonts w:hint="eastAsia" w:ascii="Calibri" w:hAnsi="Calibri"/>
                <w:color w:val="auto"/>
                <w:sz w:val="24"/>
                <w:highlight w:val="none"/>
              </w:rPr>
              <w:t>用途</w:t>
            </w:r>
          </w:p>
        </w:tc>
        <w:tc>
          <w:tcPr>
            <w:tcW w:w="5692" w:type="dxa"/>
            <w:gridSpan w:val="2"/>
            <w:vAlign w:val="center"/>
          </w:tcPr>
          <w:p>
            <w:pPr>
              <w:jc w:val="center"/>
              <w:rPr>
                <w:rFonts w:ascii="Calibri" w:hAnsi="Calibri"/>
                <w:color w:val="auto"/>
                <w:sz w:val="24"/>
                <w:highlight w:val="none"/>
              </w:rPr>
            </w:pPr>
            <w:r>
              <w:rPr>
                <w:rFonts w:hint="eastAsia" w:ascii="宋体" w:hAnsi="宋体"/>
                <w:color w:val="auto"/>
                <w:sz w:val="24"/>
                <w:highlight w:val="none"/>
              </w:rPr>
              <w:t>商服、住宅用地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7" w:type="dxa"/>
            <w:vMerge w:val="continue"/>
            <w:vAlign w:val="center"/>
          </w:tcPr>
          <w:p>
            <w:pPr>
              <w:jc w:val="center"/>
              <w:rPr>
                <w:rFonts w:ascii="Calibri" w:hAnsi="Calibri"/>
                <w:color w:val="auto"/>
                <w:sz w:val="24"/>
                <w:highlight w:val="none"/>
              </w:rPr>
            </w:pPr>
          </w:p>
        </w:tc>
        <w:tc>
          <w:tcPr>
            <w:tcW w:w="1438" w:type="dxa"/>
            <w:vAlign w:val="center"/>
          </w:tcPr>
          <w:p>
            <w:pPr>
              <w:jc w:val="center"/>
              <w:rPr>
                <w:rFonts w:ascii="Calibri" w:hAnsi="Calibri"/>
                <w:color w:val="auto"/>
                <w:sz w:val="24"/>
                <w:highlight w:val="none"/>
              </w:rPr>
            </w:pPr>
            <w:r>
              <w:rPr>
                <w:rFonts w:hint="eastAsia" w:ascii="Calibri" w:hAnsi="Calibri"/>
                <w:color w:val="auto"/>
                <w:sz w:val="24"/>
                <w:highlight w:val="none"/>
              </w:rPr>
              <w:t>面积</w:t>
            </w:r>
          </w:p>
        </w:tc>
        <w:tc>
          <w:tcPr>
            <w:tcW w:w="5692" w:type="dxa"/>
            <w:gridSpan w:val="2"/>
            <w:vAlign w:val="center"/>
          </w:tcPr>
          <w:p>
            <w:pPr>
              <w:jc w:val="left"/>
              <w:rPr>
                <w:rFonts w:ascii="Calibri" w:hAnsi="Calibri"/>
                <w:color w:val="auto"/>
                <w:sz w:val="24"/>
                <w:highlight w:val="none"/>
              </w:rPr>
            </w:pPr>
            <w:r>
              <w:rPr>
                <w:rFonts w:hint="eastAsia" w:ascii="宋体" w:hAnsi="宋体"/>
                <w:color w:val="auto"/>
                <w:sz w:val="24"/>
                <w:highlight w:val="none"/>
              </w:rPr>
              <w:t>宗地面积8402.12m</w:t>
            </w:r>
            <w:r>
              <w:rPr>
                <w:rFonts w:hint="eastAsia" w:ascii="宋体" w:hAnsi="宋体"/>
                <w:color w:val="auto"/>
                <w:sz w:val="24"/>
                <w:highlight w:val="none"/>
                <w:vertAlign w:val="superscript"/>
              </w:rPr>
              <w:t>2</w:t>
            </w:r>
            <w:r>
              <w:rPr>
                <w:rFonts w:hint="eastAsia" w:ascii="宋体" w:hAnsi="宋体"/>
                <w:color w:val="auto"/>
                <w:sz w:val="24"/>
                <w:highlight w:val="none"/>
              </w:rPr>
              <w:t>/建筑占地总面积2492.52m</w:t>
            </w:r>
            <w:r>
              <w:rPr>
                <w:rFonts w:hint="eastAsia" w:ascii="宋体" w:hAnsi="宋体"/>
                <w:color w:val="auto"/>
                <w:sz w:val="24"/>
                <w:highlight w:val="none"/>
                <w:vertAlign w:val="superscript"/>
              </w:rPr>
              <w:t>2</w:t>
            </w:r>
            <w:r>
              <w:rPr>
                <w:rFonts w:hint="eastAsia" w:ascii="宋体" w:hAnsi="宋体"/>
                <w:color w:val="auto"/>
                <w:sz w:val="24"/>
                <w:highlight w:val="none"/>
              </w:rPr>
              <w:t>/地上建筑面积20443.39m</w:t>
            </w:r>
            <w:r>
              <w:rPr>
                <w:rFonts w:hint="eastAsia" w:ascii="宋体" w:hAnsi="宋体"/>
                <w:color w:val="auto"/>
                <w:sz w:val="24"/>
                <w:highlight w:val="none"/>
                <w:vertAlign w:val="superscript"/>
              </w:rPr>
              <w:t>2</w:t>
            </w:r>
            <w:r>
              <w:rPr>
                <w:rFonts w:hint="eastAsia" w:ascii="宋体" w:hAnsi="宋体"/>
                <w:color w:val="auto"/>
                <w:sz w:val="24"/>
                <w:highlight w:val="none"/>
              </w:rPr>
              <w:t>/地下建筑面积4532.89m</w:t>
            </w:r>
            <w:r>
              <w:rPr>
                <w:rFonts w:hint="eastAsia" w:ascii="宋体" w:hAnsi="宋体"/>
                <w:color w:val="auto"/>
                <w:sz w:val="24"/>
                <w:highlight w:val="none"/>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7" w:type="dxa"/>
            <w:vMerge w:val="continue"/>
            <w:vAlign w:val="center"/>
          </w:tcPr>
          <w:p>
            <w:pPr>
              <w:jc w:val="center"/>
              <w:rPr>
                <w:rFonts w:ascii="Calibri" w:hAnsi="Calibri"/>
                <w:color w:val="auto"/>
                <w:sz w:val="24"/>
                <w:highlight w:val="none"/>
              </w:rPr>
            </w:pPr>
          </w:p>
        </w:tc>
        <w:tc>
          <w:tcPr>
            <w:tcW w:w="1438" w:type="dxa"/>
            <w:vMerge w:val="restart"/>
            <w:vAlign w:val="center"/>
          </w:tcPr>
          <w:p>
            <w:pPr>
              <w:jc w:val="center"/>
              <w:rPr>
                <w:rFonts w:ascii="Calibri" w:hAnsi="Calibri"/>
                <w:color w:val="auto"/>
                <w:sz w:val="24"/>
                <w:highlight w:val="none"/>
              </w:rPr>
            </w:pPr>
            <w:r>
              <w:rPr>
                <w:rFonts w:hint="eastAsia" w:ascii="Calibri" w:hAnsi="Calibri"/>
                <w:color w:val="auto"/>
                <w:sz w:val="24"/>
                <w:highlight w:val="none"/>
              </w:rPr>
              <w:t>目前持有产权情况</w:t>
            </w:r>
          </w:p>
        </w:tc>
        <w:tc>
          <w:tcPr>
            <w:tcW w:w="1200" w:type="dxa"/>
            <w:vAlign w:val="center"/>
          </w:tcPr>
          <w:p>
            <w:pPr>
              <w:jc w:val="left"/>
              <w:rPr>
                <w:rFonts w:ascii="宋体" w:hAnsi="宋体"/>
                <w:color w:val="auto"/>
                <w:sz w:val="24"/>
                <w:highlight w:val="none"/>
              </w:rPr>
            </w:pPr>
            <w:r>
              <w:rPr>
                <w:rFonts w:hint="eastAsia" w:ascii="宋体" w:hAnsi="宋体"/>
                <w:color w:val="auto"/>
                <w:sz w:val="24"/>
                <w:highlight w:val="none"/>
              </w:rPr>
              <w:t>住宅</w:t>
            </w:r>
          </w:p>
        </w:tc>
        <w:tc>
          <w:tcPr>
            <w:tcW w:w="4492" w:type="dxa"/>
            <w:vAlign w:val="center"/>
          </w:tcPr>
          <w:p>
            <w:pPr>
              <w:jc w:val="left"/>
              <w:rPr>
                <w:rFonts w:ascii="宋体" w:hAnsi="宋体"/>
                <w:color w:val="auto"/>
                <w:sz w:val="24"/>
                <w:highlight w:val="none"/>
              </w:rPr>
            </w:pPr>
            <w:r>
              <w:rPr>
                <w:rFonts w:hint="eastAsia" w:ascii="宋体" w:hAnsi="宋体"/>
                <w:color w:val="auto"/>
                <w:sz w:val="24"/>
                <w:highlight w:val="none"/>
              </w:rPr>
              <w:t>尚余住宅35套、建筑面积6117.03m</w:t>
            </w:r>
            <w:r>
              <w:rPr>
                <w:rFonts w:hint="eastAsia" w:ascii="宋体" w:hAnsi="宋体"/>
                <w:color w:val="auto"/>
                <w:sz w:val="24"/>
                <w:highlight w:val="none"/>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7" w:type="dxa"/>
            <w:vMerge w:val="continue"/>
            <w:vAlign w:val="center"/>
          </w:tcPr>
          <w:p>
            <w:pPr>
              <w:jc w:val="center"/>
              <w:rPr>
                <w:rFonts w:ascii="Calibri" w:hAnsi="Calibri"/>
                <w:color w:val="auto"/>
                <w:sz w:val="24"/>
                <w:highlight w:val="none"/>
              </w:rPr>
            </w:pPr>
          </w:p>
        </w:tc>
        <w:tc>
          <w:tcPr>
            <w:tcW w:w="1438" w:type="dxa"/>
            <w:vMerge w:val="continue"/>
            <w:vAlign w:val="center"/>
          </w:tcPr>
          <w:p>
            <w:pPr>
              <w:jc w:val="center"/>
              <w:rPr>
                <w:rFonts w:ascii="Calibri" w:hAnsi="Calibri"/>
                <w:color w:val="auto"/>
                <w:sz w:val="24"/>
                <w:highlight w:val="none"/>
              </w:rPr>
            </w:pPr>
          </w:p>
        </w:tc>
        <w:tc>
          <w:tcPr>
            <w:tcW w:w="1200" w:type="dxa"/>
            <w:vAlign w:val="center"/>
          </w:tcPr>
          <w:p>
            <w:pPr>
              <w:jc w:val="left"/>
              <w:rPr>
                <w:rFonts w:ascii="宋体" w:hAnsi="宋体"/>
                <w:color w:val="auto"/>
                <w:sz w:val="24"/>
                <w:highlight w:val="none"/>
              </w:rPr>
            </w:pPr>
            <w:r>
              <w:rPr>
                <w:rFonts w:hint="eastAsia" w:ascii="宋体" w:hAnsi="宋体"/>
                <w:color w:val="auto"/>
                <w:sz w:val="24"/>
                <w:highlight w:val="none"/>
              </w:rPr>
              <w:t>车位</w:t>
            </w:r>
          </w:p>
        </w:tc>
        <w:tc>
          <w:tcPr>
            <w:tcW w:w="4492" w:type="dxa"/>
            <w:vAlign w:val="center"/>
          </w:tcPr>
          <w:p>
            <w:pPr>
              <w:jc w:val="left"/>
              <w:rPr>
                <w:rFonts w:ascii="宋体" w:hAnsi="宋体"/>
                <w:color w:val="auto"/>
                <w:sz w:val="24"/>
                <w:highlight w:val="none"/>
              </w:rPr>
            </w:pPr>
            <w:r>
              <w:rPr>
                <w:rFonts w:hint="eastAsia" w:ascii="宋体" w:hAnsi="宋体"/>
                <w:color w:val="auto"/>
                <w:sz w:val="24"/>
                <w:highlight w:val="none"/>
              </w:rPr>
              <w:t>地下车位共计88个</w:t>
            </w:r>
          </w:p>
        </w:tc>
      </w:tr>
    </w:tbl>
    <w:p>
      <w:pPr>
        <w:rPr>
          <w:color w:val="auto"/>
          <w:highlight w:val="none"/>
        </w:rPr>
      </w:pPr>
    </w:p>
    <w:p>
      <w:pPr>
        <w:spacing w:line="500" w:lineRule="exact"/>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（2）五块宗地基本情况</w:t>
      </w:r>
    </w:p>
    <w:p>
      <w:pPr>
        <w:spacing w:line="500" w:lineRule="exact"/>
        <w:ind w:firstLine="560" w:firstLineChars="200"/>
        <w:rPr>
          <w:color w:val="auto"/>
          <w:sz w:val="28"/>
          <w:szCs w:val="28"/>
          <w:highlight w:val="none"/>
        </w:rPr>
      </w:pPr>
      <w:r>
        <w:rPr>
          <w:rFonts w:hint="eastAsia"/>
          <w:color w:val="auto"/>
          <w:sz w:val="28"/>
          <w:szCs w:val="28"/>
          <w:highlight w:val="none"/>
        </w:rPr>
        <w:t>五宗地块坐落于苏溪镇高新区，权利类型为国有建设用地使用权，权利性质为出让，用途为商服、住宅。</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5"/>
        <w:gridCol w:w="1789"/>
        <w:gridCol w:w="1454"/>
        <w:gridCol w:w="1632"/>
        <w:gridCol w:w="1421"/>
        <w:gridCol w:w="14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5" w:type="dxa"/>
            <w:vAlign w:val="center"/>
          </w:tcPr>
          <w:p>
            <w:pPr>
              <w:spacing w:line="480" w:lineRule="auto"/>
              <w:jc w:val="center"/>
              <w:rPr>
                <w:rFonts w:ascii="宋体" w:hAnsi="宋体" w:cs="宋体"/>
                <w:color w:val="auto"/>
                <w:sz w:val="24"/>
                <w:highlight w:val="none"/>
              </w:rPr>
            </w:pPr>
            <w:r>
              <w:rPr>
                <w:rFonts w:hint="eastAsia" w:ascii="宋体" w:hAnsi="宋体" w:cs="宋体"/>
                <w:color w:val="auto"/>
                <w:sz w:val="24"/>
                <w:highlight w:val="none"/>
              </w:rPr>
              <w:t>序号</w:t>
            </w:r>
          </w:p>
        </w:tc>
        <w:tc>
          <w:tcPr>
            <w:tcW w:w="1789" w:type="dxa"/>
            <w:vAlign w:val="center"/>
          </w:tcPr>
          <w:p>
            <w:pPr>
              <w:spacing w:line="480" w:lineRule="auto"/>
              <w:jc w:val="center"/>
              <w:rPr>
                <w:rFonts w:ascii="宋体" w:hAnsi="宋体" w:cs="宋体"/>
                <w:color w:val="auto"/>
                <w:sz w:val="24"/>
                <w:highlight w:val="none"/>
              </w:rPr>
            </w:pPr>
            <w:r>
              <w:rPr>
                <w:rFonts w:hint="eastAsia" w:ascii="宋体" w:hAnsi="宋体" w:cs="宋体"/>
                <w:color w:val="auto"/>
                <w:sz w:val="28"/>
                <w:szCs w:val="28"/>
                <w:highlight w:val="none"/>
              </w:rPr>
              <w:t>地块名称</w:t>
            </w:r>
          </w:p>
        </w:tc>
        <w:tc>
          <w:tcPr>
            <w:tcW w:w="1454" w:type="dxa"/>
            <w:vAlign w:val="center"/>
          </w:tcPr>
          <w:p>
            <w:pPr>
              <w:spacing w:line="480" w:lineRule="auto"/>
              <w:jc w:val="center"/>
              <w:rPr>
                <w:rFonts w:ascii="宋体" w:hAnsi="宋体" w:cs="宋体"/>
                <w:color w:val="auto"/>
                <w:sz w:val="24"/>
                <w:highlight w:val="none"/>
              </w:rPr>
            </w:pPr>
            <w:r>
              <w:rPr>
                <w:rFonts w:hint="eastAsia" w:ascii="宋体" w:hAnsi="宋体" w:cs="宋体"/>
                <w:color w:val="auto"/>
                <w:sz w:val="28"/>
                <w:szCs w:val="28"/>
                <w:highlight w:val="none"/>
              </w:rPr>
              <w:t>宗地面积（㎡）</w:t>
            </w:r>
          </w:p>
        </w:tc>
        <w:tc>
          <w:tcPr>
            <w:tcW w:w="1632" w:type="dxa"/>
            <w:vAlign w:val="center"/>
          </w:tcPr>
          <w:p>
            <w:pPr>
              <w:spacing w:line="480" w:lineRule="auto"/>
              <w:jc w:val="center"/>
              <w:rPr>
                <w:rFonts w:ascii="宋体" w:hAnsi="宋体" w:cs="宋体"/>
                <w:color w:val="auto"/>
                <w:sz w:val="24"/>
                <w:highlight w:val="none"/>
              </w:rPr>
            </w:pPr>
            <w:r>
              <w:rPr>
                <w:rFonts w:hint="eastAsia" w:ascii="宋体" w:hAnsi="宋体" w:cs="宋体"/>
                <w:color w:val="auto"/>
                <w:sz w:val="28"/>
                <w:szCs w:val="28"/>
                <w:highlight w:val="none"/>
              </w:rPr>
              <w:t>拿地时间</w:t>
            </w:r>
          </w:p>
        </w:tc>
        <w:tc>
          <w:tcPr>
            <w:tcW w:w="1421" w:type="dxa"/>
            <w:vAlign w:val="center"/>
          </w:tcPr>
          <w:p>
            <w:pPr>
              <w:spacing w:line="480" w:lineRule="auto"/>
              <w:jc w:val="center"/>
              <w:rPr>
                <w:rFonts w:ascii="宋体" w:hAnsi="宋体" w:cs="宋体"/>
                <w:color w:val="auto"/>
                <w:sz w:val="24"/>
                <w:highlight w:val="none"/>
              </w:rPr>
            </w:pPr>
            <w:r>
              <w:rPr>
                <w:rFonts w:hint="eastAsia" w:ascii="宋体" w:hAnsi="宋体" w:cs="宋体"/>
                <w:color w:val="auto"/>
                <w:sz w:val="28"/>
                <w:szCs w:val="28"/>
                <w:highlight w:val="none"/>
              </w:rPr>
              <w:t>合同约定开工时间</w:t>
            </w:r>
          </w:p>
        </w:tc>
        <w:tc>
          <w:tcPr>
            <w:tcW w:w="1421" w:type="dxa"/>
            <w:vAlign w:val="center"/>
          </w:tcPr>
          <w:p>
            <w:pPr>
              <w:spacing w:line="480" w:lineRule="auto"/>
              <w:jc w:val="center"/>
              <w:rPr>
                <w:rFonts w:ascii="宋体" w:hAnsi="宋体" w:cs="宋体"/>
                <w:color w:val="auto"/>
                <w:sz w:val="24"/>
                <w:highlight w:val="none"/>
              </w:rPr>
            </w:pPr>
            <w:r>
              <w:rPr>
                <w:rFonts w:hint="eastAsia" w:ascii="宋体" w:hAnsi="宋体" w:cs="宋体"/>
                <w:color w:val="auto"/>
                <w:sz w:val="28"/>
                <w:szCs w:val="28"/>
                <w:highlight w:val="none"/>
              </w:rPr>
              <w:t>项目进度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5" w:type="dxa"/>
            <w:vAlign w:val="center"/>
          </w:tcPr>
          <w:p>
            <w:pPr>
              <w:spacing w:line="480" w:lineRule="auto"/>
              <w:jc w:val="center"/>
              <w:rPr>
                <w:rFonts w:ascii="宋体" w:hAnsi="宋体" w:cs="宋体"/>
                <w:color w:val="auto"/>
                <w:sz w:val="24"/>
                <w:highlight w:val="none"/>
              </w:rPr>
            </w:pPr>
            <w:r>
              <w:rPr>
                <w:rFonts w:hint="eastAsia" w:ascii="宋体" w:hAnsi="宋体" w:cs="宋体"/>
                <w:color w:val="auto"/>
                <w:sz w:val="24"/>
                <w:highlight w:val="none"/>
              </w:rPr>
              <w:t>1</w:t>
            </w:r>
          </w:p>
        </w:tc>
        <w:tc>
          <w:tcPr>
            <w:tcW w:w="1789" w:type="dxa"/>
            <w:vAlign w:val="center"/>
          </w:tcPr>
          <w:p>
            <w:pPr>
              <w:jc w:val="center"/>
              <w:rPr>
                <w:rFonts w:ascii="宋体" w:hAnsi="宋体" w:cs="宋体"/>
                <w:color w:val="auto"/>
                <w:sz w:val="24"/>
                <w:highlight w:val="none"/>
              </w:rPr>
            </w:pPr>
            <w:r>
              <w:rPr>
                <w:rFonts w:hint="eastAsia" w:ascii="宋体" w:hAnsi="宋体" w:cs="宋体"/>
                <w:color w:val="auto"/>
                <w:sz w:val="24"/>
                <w:highlight w:val="none"/>
              </w:rPr>
              <w:t>高塘路两侧沿街商服2#地块</w:t>
            </w:r>
          </w:p>
        </w:tc>
        <w:tc>
          <w:tcPr>
            <w:tcW w:w="1454" w:type="dxa"/>
            <w:vAlign w:val="center"/>
          </w:tcPr>
          <w:p>
            <w:pPr>
              <w:jc w:val="center"/>
              <w:rPr>
                <w:rFonts w:ascii="宋体" w:hAnsi="宋体" w:cs="宋体"/>
                <w:color w:val="auto"/>
                <w:sz w:val="24"/>
                <w:highlight w:val="none"/>
              </w:rPr>
            </w:pPr>
            <w:r>
              <w:rPr>
                <w:rFonts w:hint="eastAsia" w:ascii="宋体" w:hAnsi="宋体" w:cs="宋体"/>
                <w:color w:val="auto"/>
                <w:sz w:val="24"/>
                <w:highlight w:val="none"/>
              </w:rPr>
              <w:t>4157.43</w:t>
            </w:r>
          </w:p>
        </w:tc>
        <w:tc>
          <w:tcPr>
            <w:tcW w:w="1632" w:type="dxa"/>
            <w:vAlign w:val="center"/>
          </w:tcPr>
          <w:p>
            <w:pPr>
              <w:jc w:val="center"/>
              <w:rPr>
                <w:rFonts w:ascii="宋体" w:hAnsi="宋体" w:cs="宋体"/>
                <w:color w:val="auto"/>
                <w:sz w:val="24"/>
                <w:highlight w:val="none"/>
              </w:rPr>
            </w:pPr>
            <w:r>
              <w:rPr>
                <w:rFonts w:hint="eastAsia" w:ascii="宋体" w:hAnsi="宋体" w:cs="宋体"/>
                <w:color w:val="auto"/>
                <w:sz w:val="24"/>
                <w:highlight w:val="none"/>
              </w:rPr>
              <w:t>2018.3</w:t>
            </w:r>
          </w:p>
        </w:tc>
        <w:tc>
          <w:tcPr>
            <w:tcW w:w="1421" w:type="dxa"/>
            <w:vAlign w:val="center"/>
          </w:tcPr>
          <w:p>
            <w:pPr>
              <w:jc w:val="center"/>
              <w:rPr>
                <w:rFonts w:ascii="宋体" w:hAnsi="宋体" w:cs="宋体"/>
                <w:color w:val="auto"/>
                <w:sz w:val="24"/>
                <w:highlight w:val="none"/>
              </w:rPr>
            </w:pPr>
            <w:r>
              <w:rPr>
                <w:rFonts w:hint="eastAsia" w:ascii="宋体" w:hAnsi="宋体" w:cs="宋体"/>
                <w:color w:val="auto"/>
                <w:sz w:val="24"/>
                <w:highlight w:val="none"/>
              </w:rPr>
              <w:t>2019.4</w:t>
            </w:r>
          </w:p>
        </w:tc>
        <w:tc>
          <w:tcPr>
            <w:tcW w:w="1421" w:type="dxa"/>
            <w:vAlign w:val="center"/>
          </w:tcPr>
          <w:p>
            <w:pPr>
              <w:jc w:val="center"/>
              <w:rPr>
                <w:rFonts w:ascii="宋体" w:hAnsi="宋体" w:cs="宋体"/>
                <w:color w:val="auto"/>
                <w:sz w:val="24"/>
                <w:highlight w:val="none"/>
              </w:rPr>
            </w:pPr>
            <w:r>
              <w:rPr>
                <w:rFonts w:hint="eastAsia" w:ascii="宋体" w:hAnsi="宋体" w:cs="宋体"/>
                <w:color w:val="auto"/>
                <w:sz w:val="24"/>
                <w:highlight w:val="none"/>
              </w:rPr>
              <w:t>2020.10已开工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5" w:type="dxa"/>
            <w:vAlign w:val="center"/>
          </w:tcPr>
          <w:p>
            <w:pPr>
              <w:spacing w:line="480" w:lineRule="auto"/>
              <w:jc w:val="center"/>
              <w:rPr>
                <w:rFonts w:ascii="宋体" w:hAnsi="宋体" w:cs="宋体"/>
                <w:color w:val="auto"/>
                <w:sz w:val="24"/>
                <w:highlight w:val="none"/>
              </w:rPr>
            </w:pPr>
            <w:r>
              <w:rPr>
                <w:rFonts w:hint="eastAsia" w:ascii="宋体" w:hAnsi="宋体" w:cs="宋体"/>
                <w:color w:val="auto"/>
                <w:sz w:val="24"/>
                <w:highlight w:val="none"/>
              </w:rPr>
              <w:t>2</w:t>
            </w:r>
          </w:p>
        </w:tc>
        <w:tc>
          <w:tcPr>
            <w:tcW w:w="1789" w:type="dxa"/>
            <w:vAlign w:val="center"/>
          </w:tcPr>
          <w:p>
            <w:pPr>
              <w:jc w:val="center"/>
              <w:rPr>
                <w:rFonts w:ascii="宋体" w:hAnsi="宋体" w:cs="宋体"/>
                <w:color w:val="auto"/>
                <w:sz w:val="24"/>
                <w:highlight w:val="none"/>
              </w:rPr>
            </w:pPr>
            <w:r>
              <w:rPr>
                <w:rFonts w:hint="eastAsia" w:ascii="宋体" w:hAnsi="宋体" w:cs="宋体"/>
                <w:color w:val="auto"/>
                <w:sz w:val="24"/>
                <w:highlight w:val="none"/>
              </w:rPr>
              <w:t>高塘路两侧沿街商服3#地块</w:t>
            </w:r>
          </w:p>
        </w:tc>
        <w:tc>
          <w:tcPr>
            <w:tcW w:w="1454" w:type="dxa"/>
            <w:vAlign w:val="center"/>
          </w:tcPr>
          <w:p>
            <w:pPr>
              <w:jc w:val="center"/>
              <w:rPr>
                <w:rFonts w:ascii="宋体" w:hAnsi="宋体" w:cs="宋体"/>
                <w:color w:val="auto"/>
                <w:sz w:val="24"/>
                <w:highlight w:val="none"/>
              </w:rPr>
            </w:pPr>
            <w:r>
              <w:rPr>
                <w:rFonts w:hint="eastAsia" w:ascii="宋体" w:hAnsi="宋体" w:cs="宋体"/>
                <w:color w:val="auto"/>
                <w:sz w:val="24"/>
                <w:highlight w:val="none"/>
              </w:rPr>
              <w:t>4023.77</w:t>
            </w:r>
          </w:p>
        </w:tc>
        <w:tc>
          <w:tcPr>
            <w:tcW w:w="1632" w:type="dxa"/>
            <w:vAlign w:val="center"/>
          </w:tcPr>
          <w:p>
            <w:pPr>
              <w:jc w:val="center"/>
              <w:rPr>
                <w:rFonts w:ascii="宋体" w:hAnsi="宋体" w:cs="宋体"/>
                <w:color w:val="auto"/>
                <w:sz w:val="24"/>
                <w:highlight w:val="none"/>
              </w:rPr>
            </w:pPr>
            <w:r>
              <w:rPr>
                <w:rFonts w:hint="eastAsia" w:ascii="宋体" w:hAnsi="宋体" w:cs="宋体"/>
                <w:color w:val="auto"/>
                <w:sz w:val="24"/>
                <w:highlight w:val="none"/>
              </w:rPr>
              <w:t>2018.3</w:t>
            </w:r>
          </w:p>
        </w:tc>
        <w:tc>
          <w:tcPr>
            <w:tcW w:w="1421" w:type="dxa"/>
            <w:vAlign w:val="center"/>
          </w:tcPr>
          <w:p>
            <w:pPr>
              <w:jc w:val="center"/>
              <w:rPr>
                <w:rFonts w:ascii="宋体" w:hAnsi="宋体" w:cs="宋体"/>
                <w:color w:val="auto"/>
                <w:sz w:val="24"/>
                <w:highlight w:val="none"/>
              </w:rPr>
            </w:pPr>
            <w:r>
              <w:rPr>
                <w:rFonts w:hint="eastAsia" w:ascii="宋体" w:hAnsi="宋体" w:cs="宋体"/>
                <w:color w:val="auto"/>
                <w:sz w:val="24"/>
                <w:highlight w:val="none"/>
              </w:rPr>
              <w:t>2019.4</w:t>
            </w:r>
          </w:p>
        </w:tc>
        <w:tc>
          <w:tcPr>
            <w:tcW w:w="1421" w:type="dxa"/>
            <w:vAlign w:val="center"/>
          </w:tcPr>
          <w:p>
            <w:pPr>
              <w:jc w:val="center"/>
              <w:rPr>
                <w:rFonts w:ascii="宋体" w:hAnsi="宋体" w:cs="宋体"/>
                <w:color w:val="auto"/>
                <w:sz w:val="24"/>
                <w:highlight w:val="none"/>
              </w:rPr>
            </w:pPr>
            <w:r>
              <w:rPr>
                <w:rFonts w:hint="eastAsia" w:ascii="宋体" w:hAnsi="宋体" w:cs="宋体"/>
                <w:color w:val="auto"/>
                <w:sz w:val="24"/>
                <w:highlight w:val="none"/>
              </w:rPr>
              <w:t>2020.10已开工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5" w:type="dxa"/>
            <w:vAlign w:val="center"/>
          </w:tcPr>
          <w:p>
            <w:pPr>
              <w:spacing w:line="480" w:lineRule="auto"/>
              <w:jc w:val="center"/>
              <w:rPr>
                <w:rFonts w:ascii="宋体" w:hAnsi="宋体" w:cs="宋体"/>
                <w:color w:val="auto"/>
                <w:sz w:val="24"/>
                <w:highlight w:val="none"/>
              </w:rPr>
            </w:pPr>
            <w:r>
              <w:rPr>
                <w:rFonts w:hint="eastAsia" w:ascii="宋体" w:hAnsi="宋体" w:cs="宋体"/>
                <w:color w:val="auto"/>
                <w:sz w:val="24"/>
                <w:highlight w:val="none"/>
              </w:rPr>
              <w:t>3</w:t>
            </w:r>
          </w:p>
        </w:tc>
        <w:tc>
          <w:tcPr>
            <w:tcW w:w="1789" w:type="dxa"/>
            <w:vAlign w:val="center"/>
          </w:tcPr>
          <w:p>
            <w:pPr>
              <w:jc w:val="center"/>
              <w:rPr>
                <w:rFonts w:ascii="宋体" w:hAnsi="宋体" w:cs="宋体"/>
                <w:color w:val="auto"/>
                <w:sz w:val="24"/>
                <w:highlight w:val="none"/>
              </w:rPr>
            </w:pPr>
            <w:r>
              <w:rPr>
                <w:rFonts w:hint="eastAsia" w:ascii="宋体" w:hAnsi="宋体" w:cs="宋体"/>
                <w:color w:val="auto"/>
                <w:sz w:val="24"/>
                <w:highlight w:val="none"/>
              </w:rPr>
              <w:t>高塘路两侧沿街商服4#地块</w:t>
            </w:r>
          </w:p>
        </w:tc>
        <w:tc>
          <w:tcPr>
            <w:tcW w:w="1454" w:type="dxa"/>
            <w:vAlign w:val="center"/>
          </w:tcPr>
          <w:p>
            <w:pPr>
              <w:jc w:val="center"/>
              <w:rPr>
                <w:rFonts w:ascii="宋体" w:hAnsi="宋体" w:cs="宋体"/>
                <w:color w:val="auto"/>
                <w:sz w:val="24"/>
                <w:highlight w:val="none"/>
              </w:rPr>
            </w:pPr>
            <w:r>
              <w:rPr>
                <w:rFonts w:hint="eastAsia" w:ascii="宋体" w:hAnsi="宋体" w:cs="宋体"/>
                <w:color w:val="auto"/>
                <w:sz w:val="24"/>
                <w:highlight w:val="none"/>
              </w:rPr>
              <w:t>4511.69</w:t>
            </w:r>
          </w:p>
        </w:tc>
        <w:tc>
          <w:tcPr>
            <w:tcW w:w="1632" w:type="dxa"/>
            <w:vAlign w:val="center"/>
          </w:tcPr>
          <w:p>
            <w:pPr>
              <w:jc w:val="center"/>
              <w:rPr>
                <w:rFonts w:ascii="宋体" w:hAnsi="宋体" w:cs="宋体"/>
                <w:color w:val="auto"/>
                <w:sz w:val="24"/>
                <w:highlight w:val="none"/>
              </w:rPr>
            </w:pPr>
            <w:r>
              <w:rPr>
                <w:rFonts w:hint="eastAsia" w:ascii="宋体" w:hAnsi="宋体" w:cs="宋体"/>
                <w:color w:val="auto"/>
                <w:sz w:val="24"/>
                <w:highlight w:val="none"/>
              </w:rPr>
              <w:t>2018.3</w:t>
            </w:r>
          </w:p>
        </w:tc>
        <w:tc>
          <w:tcPr>
            <w:tcW w:w="1421" w:type="dxa"/>
            <w:vAlign w:val="center"/>
          </w:tcPr>
          <w:p>
            <w:pPr>
              <w:jc w:val="center"/>
              <w:rPr>
                <w:rFonts w:ascii="宋体" w:hAnsi="宋体" w:cs="宋体"/>
                <w:color w:val="auto"/>
                <w:sz w:val="24"/>
                <w:highlight w:val="none"/>
              </w:rPr>
            </w:pPr>
            <w:r>
              <w:rPr>
                <w:rFonts w:hint="eastAsia" w:ascii="宋体" w:hAnsi="宋体" w:cs="宋体"/>
                <w:color w:val="auto"/>
                <w:sz w:val="24"/>
                <w:highlight w:val="none"/>
              </w:rPr>
              <w:t>2019.4</w:t>
            </w:r>
          </w:p>
        </w:tc>
        <w:tc>
          <w:tcPr>
            <w:tcW w:w="1421" w:type="dxa"/>
            <w:vAlign w:val="center"/>
          </w:tcPr>
          <w:p>
            <w:pPr>
              <w:jc w:val="center"/>
              <w:rPr>
                <w:rFonts w:ascii="宋体" w:hAnsi="宋体" w:cs="宋体"/>
                <w:color w:val="auto"/>
                <w:sz w:val="24"/>
                <w:highlight w:val="none"/>
              </w:rPr>
            </w:pPr>
            <w:r>
              <w:rPr>
                <w:rFonts w:hint="eastAsia" w:ascii="宋体" w:hAnsi="宋体" w:cs="宋体"/>
                <w:color w:val="auto"/>
                <w:sz w:val="24"/>
                <w:highlight w:val="none"/>
              </w:rPr>
              <w:t>2020.9已开工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5" w:type="dxa"/>
            <w:vAlign w:val="center"/>
          </w:tcPr>
          <w:p>
            <w:pPr>
              <w:spacing w:line="480" w:lineRule="auto"/>
              <w:jc w:val="center"/>
              <w:rPr>
                <w:rFonts w:ascii="宋体" w:hAnsi="宋体" w:cs="宋体"/>
                <w:color w:val="auto"/>
                <w:sz w:val="24"/>
                <w:highlight w:val="none"/>
              </w:rPr>
            </w:pPr>
            <w:r>
              <w:rPr>
                <w:rFonts w:hint="eastAsia" w:ascii="宋体" w:hAnsi="宋体" w:cs="宋体"/>
                <w:color w:val="auto"/>
                <w:sz w:val="24"/>
                <w:highlight w:val="none"/>
              </w:rPr>
              <w:t>4</w:t>
            </w:r>
          </w:p>
        </w:tc>
        <w:tc>
          <w:tcPr>
            <w:tcW w:w="1789" w:type="dxa"/>
            <w:vAlign w:val="center"/>
          </w:tcPr>
          <w:p>
            <w:pPr>
              <w:jc w:val="center"/>
              <w:rPr>
                <w:rFonts w:ascii="宋体" w:hAnsi="宋体" w:cs="宋体"/>
                <w:color w:val="auto"/>
                <w:sz w:val="24"/>
                <w:highlight w:val="none"/>
              </w:rPr>
            </w:pPr>
            <w:r>
              <w:rPr>
                <w:rFonts w:hint="eastAsia" w:ascii="宋体" w:hAnsi="宋体" w:cs="宋体"/>
                <w:color w:val="auto"/>
                <w:sz w:val="24"/>
                <w:highlight w:val="none"/>
              </w:rPr>
              <w:t>龙祈路北侧沿街商服A地块</w:t>
            </w:r>
          </w:p>
        </w:tc>
        <w:tc>
          <w:tcPr>
            <w:tcW w:w="1454" w:type="dxa"/>
            <w:vAlign w:val="center"/>
          </w:tcPr>
          <w:p>
            <w:pPr>
              <w:jc w:val="center"/>
              <w:rPr>
                <w:rFonts w:ascii="宋体" w:hAnsi="宋体" w:cs="宋体"/>
                <w:color w:val="auto"/>
                <w:sz w:val="24"/>
                <w:highlight w:val="none"/>
              </w:rPr>
            </w:pPr>
            <w:r>
              <w:rPr>
                <w:rFonts w:hint="eastAsia" w:ascii="宋体" w:hAnsi="宋体" w:cs="宋体"/>
                <w:color w:val="auto"/>
                <w:sz w:val="24"/>
                <w:highlight w:val="none"/>
              </w:rPr>
              <w:t>6155.62</w:t>
            </w:r>
          </w:p>
        </w:tc>
        <w:tc>
          <w:tcPr>
            <w:tcW w:w="1632" w:type="dxa"/>
            <w:vAlign w:val="center"/>
          </w:tcPr>
          <w:p>
            <w:pPr>
              <w:jc w:val="center"/>
              <w:rPr>
                <w:rFonts w:ascii="宋体" w:hAnsi="宋体" w:cs="宋体"/>
                <w:color w:val="auto"/>
                <w:sz w:val="24"/>
                <w:highlight w:val="none"/>
              </w:rPr>
            </w:pPr>
            <w:r>
              <w:rPr>
                <w:rFonts w:hint="eastAsia" w:ascii="宋体" w:hAnsi="宋体" w:cs="宋体"/>
                <w:color w:val="auto"/>
                <w:sz w:val="24"/>
                <w:highlight w:val="none"/>
              </w:rPr>
              <w:t>2018.11</w:t>
            </w:r>
          </w:p>
        </w:tc>
        <w:tc>
          <w:tcPr>
            <w:tcW w:w="1421" w:type="dxa"/>
            <w:vAlign w:val="center"/>
          </w:tcPr>
          <w:p>
            <w:pPr>
              <w:jc w:val="center"/>
              <w:rPr>
                <w:rFonts w:ascii="宋体" w:hAnsi="宋体" w:cs="宋体"/>
                <w:color w:val="auto"/>
                <w:sz w:val="24"/>
                <w:highlight w:val="none"/>
              </w:rPr>
            </w:pPr>
            <w:r>
              <w:rPr>
                <w:rFonts w:hint="eastAsia" w:ascii="宋体" w:hAnsi="宋体" w:cs="宋体"/>
                <w:color w:val="auto"/>
                <w:sz w:val="24"/>
                <w:highlight w:val="none"/>
              </w:rPr>
              <w:t>2019.12</w:t>
            </w:r>
          </w:p>
        </w:tc>
        <w:tc>
          <w:tcPr>
            <w:tcW w:w="1421" w:type="dxa"/>
            <w:vAlign w:val="center"/>
          </w:tcPr>
          <w:p>
            <w:pPr>
              <w:rPr>
                <w:rFonts w:ascii="宋体" w:hAnsi="宋体" w:cs="宋体"/>
                <w:color w:val="auto"/>
                <w:sz w:val="24"/>
                <w:highlight w:val="none"/>
              </w:rPr>
            </w:pPr>
            <w:r>
              <w:rPr>
                <w:rFonts w:hint="eastAsia" w:ascii="宋体" w:hAnsi="宋体" w:cs="宋体"/>
                <w:color w:val="auto"/>
                <w:sz w:val="24"/>
                <w:highlight w:val="none"/>
              </w:rPr>
              <w:t>建设工程施工许可证已办理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5" w:type="dxa"/>
            <w:vAlign w:val="center"/>
          </w:tcPr>
          <w:p>
            <w:pPr>
              <w:spacing w:line="480" w:lineRule="auto"/>
              <w:jc w:val="center"/>
              <w:rPr>
                <w:rFonts w:ascii="宋体" w:hAnsi="宋体" w:cs="宋体"/>
                <w:color w:val="auto"/>
                <w:sz w:val="24"/>
                <w:highlight w:val="none"/>
              </w:rPr>
            </w:pPr>
            <w:r>
              <w:rPr>
                <w:rFonts w:hint="eastAsia" w:ascii="宋体" w:hAnsi="宋体" w:cs="宋体"/>
                <w:color w:val="auto"/>
                <w:sz w:val="24"/>
                <w:highlight w:val="none"/>
              </w:rPr>
              <w:t>5</w:t>
            </w:r>
          </w:p>
        </w:tc>
        <w:tc>
          <w:tcPr>
            <w:tcW w:w="1789" w:type="dxa"/>
            <w:vAlign w:val="center"/>
          </w:tcPr>
          <w:p>
            <w:pPr>
              <w:jc w:val="center"/>
              <w:rPr>
                <w:rFonts w:ascii="宋体" w:hAnsi="宋体" w:cs="宋体"/>
                <w:color w:val="auto"/>
                <w:sz w:val="24"/>
                <w:highlight w:val="none"/>
              </w:rPr>
            </w:pPr>
            <w:r>
              <w:rPr>
                <w:rFonts w:hint="eastAsia" w:ascii="宋体" w:hAnsi="宋体" w:cs="宋体"/>
                <w:color w:val="auto"/>
                <w:sz w:val="24"/>
                <w:highlight w:val="none"/>
              </w:rPr>
              <w:t>龙祈路北侧沿街商服B地块</w:t>
            </w:r>
          </w:p>
        </w:tc>
        <w:tc>
          <w:tcPr>
            <w:tcW w:w="1454" w:type="dxa"/>
            <w:vAlign w:val="center"/>
          </w:tcPr>
          <w:p>
            <w:pPr>
              <w:jc w:val="center"/>
              <w:rPr>
                <w:rFonts w:ascii="宋体" w:hAnsi="宋体" w:cs="宋体"/>
                <w:color w:val="auto"/>
                <w:sz w:val="24"/>
                <w:highlight w:val="none"/>
              </w:rPr>
            </w:pPr>
            <w:r>
              <w:rPr>
                <w:rFonts w:hint="eastAsia" w:ascii="宋体" w:hAnsi="宋体" w:cs="宋体"/>
                <w:color w:val="auto"/>
                <w:sz w:val="24"/>
                <w:highlight w:val="none"/>
              </w:rPr>
              <w:t>7722.95</w:t>
            </w:r>
          </w:p>
        </w:tc>
        <w:tc>
          <w:tcPr>
            <w:tcW w:w="1632" w:type="dxa"/>
            <w:vAlign w:val="center"/>
          </w:tcPr>
          <w:p>
            <w:pPr>
              <w:jc w:val="center"/>
              <w:rPr>
                <w:rFonts w:ascii="宋体" w:hAnsi="宋体" w:cs="宋体"/>
                <w:color w:val="auto"/>
                <w:sz w:val="24"/>
                <w:highlight w:val="none"/>
              </w:rPr>
            </w:pPr>
            <w:r>
              <w:rPr>
                <w:rFonts w:hint="eastAsia" w:ascii="宋体" w:hAnsi="宋体" w:cs="宋体"/>
                <w:color w:val="auto"/>
                <w:sz w:val="24"/>
                <w:highlight w:val="none"/>
              </w:rPr>
              <w:t>2020.5</w:t>
            </w:r>
          </w:p>
        </w:tc>
        <w:tc>
          <w:tcPr>
            <w:tcW w:w="1421" w:type="dxa"/>
            <w:vAlign w:val="center"/>
          </w:tcPr>
          <w:p>
            <w:pPr>
              <w:jc w:val="center"/>
              <w:rPr>
                <w:rFonts w:ascii="宋体" w:hAnsi="宋体" w:cs="宋体"/>
                <w:color w:val="auto"/>
                <w:sz w:val="24"/>
                <w:highlight w:val="none"/>
              </w:rPr>
            </w:pPr>
            <w:r>
              <w:rPr>
                <w:rFonts w:hint="eastAsia" w:ascii="宋体" w:hAnsi="宋体" w:cs="宋体"/>
                <w:color w:val="auto"/>
                <w:sz w:val="24"/>
                <w:highlight w:val="none"/>
              </w:rPr>
              <w:t>2021.6</w:t>
            </w:r>
          </w:p>
        </w:tc>
        <w:tc>
          <w:tcPr>
            <w:tcW w:w="1421" w:type="dxa"/>
            <w:vAlign w:val="center"/>
          </w:tcPr>
          <w:p>
            <w:pPr>
              <w:jc w:val="center"/>
              <w:rPr>
                <w:rFonts w:ascii="宋体" w:hAnsi="宋体" w:cs="宋体"/>
                <w:color w:val="auto"/>
                <w:sz w:val="24"/>
                <w:highlight w:val="none"/>
              </w:rPr>
            </w:pPr>
            <w:r>
              <w:rPr>
                <w:rFonts w:hint="eastAsia" w:ascii="宋体" w:hAnsi="宋体" w:cs="宋体"/>
                <w:color w:val="auto"/>
                <w:sz w:val="24"/>
                <w:highlight w:val="none"/>
              </w:rPr>
              <w:t>国有土地使用证已办理</w:t>
            </w:r>
          </w:p>
        </w:tc>
      </w:tr>
    </w:tbl>
    <w:p>
      <w:pPr>
        <w:widowControl/>
        <w:shd w:val="clear" w:color="auto" w:fill="FFFFFF"/>
        <w:spacing w:beforeLines="30" w:afterLines="30" w:line="500" w:lineRule="exact"/>
        <w:ind w:firstLine="560" w:firstLineChars="200"/>
        <w:jc w:val="left"/>
        <w:rPr>
          <w:rFonts w:ascii="宋体" w:hAnsi="宋体" w:cs="宋体"/>
          <w:color w:val="auto"/>
          <w:sz w:val="28"/>
          <w:szCs w:val="28"/>
          <w:highlight w:val="none"/>
        </w:rPr>
      </w:pPr>
      <w:r>
        <w:rPr>
          <w:rFonts w:hint="eastAsia" w:ascii="宋体" w:hAnsi="宋体" w:cs="宋体"/>
          <w:color w:val="auto"/>
          <w:sz w:val="28"/>
          <w:szCs w:val="28"/>
          <w:highlight w:val="none"/>
        </w:rPr>
        <w:t>5.标的公司对外投资情况</w:t>
      </w:r>
    </w:p>
    <w:p>
      <w:pPr>
        <w:autoSpaceDE w:val="0"/>
        <w:autoSpaceDN w:val="0"/>
        <w:adjustRightInd w:val="0"/>
        <w:spacing w:line="500" w:lineRule="exact"/>
        <w:ind w:firstLine="560" w:firstLineChars="200"/>
        <w:jc w:val="left"/>
        <w:rPr>
          <w:color w:val="auto"/>
          <w:spacing w:val="-1"/>
          <w:sz w:val="24"/>
          <w:highlight w:val="none"/>
        </w:rPr>
      </w:pPr>
      <w:r>
        <w:rPr>
          <w:rFonts w:hint="eastAsia" w:ascii="宋体" w:hAnsi="宋体" w:cs="宋体"/>
          <w:color w:val="auto"/>
          <w:sz w:val="28"/>
          <w:szCs w:val="28"/>
          <w:highlight w:val="none"/>
        </w:rPr>
        <w:t>标的公司于2019年2月对外投资义乌高和物业服务有限公司75万元，现持有义乌高和物业服务有限公司25%股权，义乌高和物业服务有限公司截至2021年5月31日未经审计的</w:t>
      </w:r>
      <w:r>
        <w:rPr>
          <w:rFonts w:hint="eastAsia" w:ascii="宋体" w:hAnsi="宋体" w:cs="宋体"/>
          <w:color w:val="auto"/>
          <w:spacing w:val="-1"/>
          <w:sz w:val="28"/>
          <w:szCs w:val="28"/>
          <w:highlight w:val="none"/>
        </w:rPr>
        <w:t>资产、负债、股东权益分别为3112048.35元、13700.1元、3098348.25元。</w:t>
      </w:r>
    </w:p>
    <w:p>
      <w:pPr>
        <w:autoSpaceDE w:val="0"/>
        <w:autoSpaceDN w:val="0"/>
        <w:adjustRightInd w:val="0"/>
        <w:spacing w:line="500" w:lineRule="exact"/>
        <w:ind w:firstLine="560" w:firstLineChars="200"/>
        <w:jc w:val="left"/>
        <w:rPr>
          <w:rFonts w:ascii="宋体" w:hAnsi="宋体"/>
          <w:b/>
          <w:bCs/>
          <w:color w:val="auto"/>
          <w:kern w:val="0"/>
          <w:sz w:val="28"/>
          <w:szCs w:val="28"/>
          <w:highlight w:val="none"/>
        </w:rPr>
      </w:pPr>
      <w:r>
        <w:rPr>
          <w:rFonts w:hint="eastAsia" w:ascii="宋体" w:hAnsi="宋体"/>
          <w:color w:val="auto"/>
          <w:kern w:val="0"/>
          <w:sz w:val="28"/>
          <w:szCs w:val="28"/>
          <w:highlight w:val="none"/>
        </w:rPr>
        <w:t>（二）</w:t>
      </w:r>
      <w:r>
        <w:rPr>
          <w:rFonts w:hint="eastAsia" w:ascii="宋体" w:hAnsi="宋体"/>
          <w:b/>
          <w:bCs/>
          <w:color w:val="auto"/>
          <w:kern w:val="0"/>
          <w:sz w:val="28"/>
          <w:szCs w:val="28"/>
          <w:highlight w:val="none"/>
        </w:rPr>
        <w:t>转让方对标的公司的相关债权</w:t>
      </w:r>
    </w:p>
    <w:p>
      <w:pPr>
        <w:pBdr>
          <w:top w:val="none" w:color="000000" w:sz="0" w:space="0"/>
          <w:left w:val="none" w:color="000000" w:sz="0" w:space="0"/>
          <w:bottom w:val="none" w:color="000000" w:sz="0" w:space="0"/>
          <w:right w:val="none" w:color="000000" w:sz="0" w:space="0"/>
        </w:pBdr>
        <w:autoSpaceDN w:val="0"/>
        <w:adjustRightInd w:val="0"/>
        <w:snapToGrid w:val="0"/>
        <w:spacing w:line="500" w:lineRule="exact"/>
        <w:ind w:firstLine="560" w:firstLineChars="200"/>
        <w:rPr>
          <w:rFonts w:ascii="宋体" w:hAnsi="宋体" w:cs="宋体"/>
          <w:color w:val="auto"/>
          <w:sz w:val="28"/>
          <w:szCs w:val="28"/>
          <w:highlight w:val="none"/>
        </w:rPr>
      </w:pPr>
      <w:r>
        <w:rPr>
          <w:rFonts w:hint="eastAsia" w:ascii="宋体" w:hAnsi="宋体"/>
          <w:color w:val="auto"/>
          <w:sz w:val="28"/>
          <w:szCs w:val="28"/>
          <w:highlight w:val="none"/>
        </w:rPr>
        <w:t>转让方</w:t>
      </w:r>
      <w:r>
        <w:rPr>
          <w:rFonts w:hint="eastAsia" w:ascii="宋体" w:hAnsi="宋体"/>
          <w:color w:val="auto"/>
          <w:kern w:val="0"/>
          <w:sz w:val="28"/>
          <w:szCs w:val="28"/>
          <w:highlight w:val="none"/>
        </w:rPr>
        <w:t>对</w:t>
      </w:r>
      <w:r>
        <w:rPr>
          <w:rFonts w:hint="eastAsia" w:ascii="宋体" w:hAnsi="宋体"/>
          <w:color w:val="auto"/>
          <w:sz w:val="28"/>
          <w:szCs w:val="28"/>
          <w:highlight w:val="none"/>
        </w:rPr>
        <w:t>标的公司</w:t>
      </w:r>
      <w:r>
        <w:rPr>
          <w:rFonts w:hint="eastAsia" w:ascii="宋体" w:hAnsi="宋体"/>
          <w:color w:val="auto"/>
          <w:kern w:val="0"/>
          <w:sz w:val="28"/>
          <w:szCs w:val="28"/>
          <w:highlight w:val="none"/>
        </w:rPr>
        <w:t>的债权，均为</w:t>
      </w:r>
      <w:r>
        <w:rPr>
          <w:rFonts w:hint="eastAsia" w:ascii="宋体" w:hAnsi="宋体"/>
          <w:color w:val="auto"/>
          <w:sz w:val="28"/>
          <w:szCs w:val="28"/>
          <w:highlight w:val="none"/>
        </w:rPr>
        <w:t>标的公司向转让方借款（用于购买土地，支付工程款，日常支出等）形成的债权。截至本次国有产权转让预公告发布日（2021年6月25日），债权本金总计人民币2.96亿元，具体如下：</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333"/>
        <w:gridCol w:w="1875"/>
        <w:gridCol w:w="1740"/>
        <w:gridCol w:w="1155"/>
        <w:gridCol w:w="15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28" w:type="dxa"/>
            <w:vAlign w:val="center"/>
          </w:tcPr>
          <w:p>
            <w:pPr>
              <w:spacing w:line="280" w:lineRule="exact"/>
              <w:jc w:val="center"/>
              <w:rPr>
                <w:rFonts w:ascii="宋体" w:hAnsi="宋体" w:cs="宋体"/>
                <w:color w:val="auto"/>
                <w:sz w:val="28"/>
                <w:szCs w:val="28"/>
                <w:highlight w:val="none"/>
              </w:rPr>
            </w:pPr>
            <w:r>
              <w:rPr>
                <w:rFonts w:hint="eastAsia" w:ascii="仿宋_GB2312" w:eastAsia="仿宋_GB2312" w:hAnsiTheme="minorEastAsia"/>
                <w:b/>
                <w:color w:val="auto"/>
                <w:sz w:val="28"/>
                <w:szCs w:val="28"/>
                <w:highlight w:val="none"/>
              </w:rPr>
              <w:t>序号</w:t>
            </w:r>
          </w:p>
        </w:tc>
        <w:tc>
          <w:tcPr>
            <w:tcW w:w="1333" w:type="dxa"/>
            <w:vAlign w:val="center"/>
          </w:tcPr>
          <w:p>
            <w:pPr>
              <w:spacing w:line="280" w:lineRule="exact"/>
              <w:jc w:val="center"/>
              <w:rPr>
                <w:rFonts w:ascii="仿宋_GB2312" w:eastAsia="仿宋_GB2312" w:hAnsiTheme="minorEastAsia"/>
                <w:b/>
                <w:color w:val="auto"/>
                <w:sz w:val="28"/>
                <w:szCs w:val="28"/>
                <w:highlight w:val="none"/>
              </w:rPr>
            </w:pPr>
            <w:r>
              <w:rPr>
                <w:rFonts w:hint="eastAsia" w:ascii="仿宋_GB2312" w:eastAsia="仿宋_GB2312" w:hAnsiTheme="minorEastAsia"/>
                <w:b/>
                <w:color w:val="auto"/>
                <w:sz w:val="28"/>
                <w:szCs w:val="28"/>
                <w:highlight w:val="none"/>
              </w:rPr>
              <w:t xml:space="preserve">本金 </w:t>
            </w:r>
          </w:p>
          <w:p>
            <w:pPr>
              <w:spacing w:line="280" w:lineRule="exact"/>
              <w:jc w:val="center"/>
              <w:rPr>
                <w:rFonts w:ascii="宋体" w:hAnsi="宋体" w:cs="宋体"/>
                <w:color w:val="auto"/>
                <w:sz w:val="28"/>
                <w:szCs w:val="28"/>
                <w:highlight w:val="none"/>
              </w:rPr>
            </w:pPr>
            <w:r>
              <w:rPr>
                <w:rFonts w:hint="eastAsia" w:ascii="仿宋_GB2312" w:eastAsia="仿宋_GB2312" w:hAnsiTheme="minorEastAsia"/>
                <w:b/>
                <w:color w:val="auto"/>
                <w:sz w:val="28"/>
                <w:szCs w:val="28"/>
                <w:highlight w:val="none"/>
              </w:rPr>
              <w:t>（万元）</w:t>
            </w:r>
          </w:p>
        </w:tc>
        <w:tc>
          <w:tcPr>
            <w:tcW w:w="1875" w:type="dxa"/>
            <w:vAlign w:val="center"/>
          </w:tcPr>
          <w:p>
            <w:pPr>
              <w:spacing w:line="280" w:lineRule="exact"/>
              <w:jc w:val="center"/>
              <w:rPr>
                <w:rFonts w:ascii="宋体" w:hAnsi="宋体" w:cs="宋体"/>
                <w:color w:val="auto"/>
                <w:sz w:val="28"/>
                <w:szCs w:val="28"/>
                <w:highlight w:val="none"/>
              </w:rPr>
            </w:pPr>
            <w:r>
              <w:rPr>
                <w:rFonts w:hint="eastAsia" w:ascii="仿宋_GB2312" w:eastAsia="仿宋_GB2312" w:hAnsiTheme="minorEastAsia"/>
                <w:b/>
                <w:color w:val="auto"/>
                <w:sz w:val="28"/>
                <w:szCs w:val="28"/>
                <w:highlight w:val="none"/>
              </w:rPr>
              <w:t>发生日期</w:t>
            </w:r>
          </w:p>
        </w:tc>
        <w:tc>
          <w:tcPr>
            <w:tcW w:w="1740" w:type="dxa"/>
            <w:vAlign w:val="center"/>
          </w:tcPr>
          <w:p>
            <w:pPr>
              <w:spacing w:line="280" w:lineRule="exact"/>
              <w:jc w:val="center"/>
              <w:rPr>
                <w:rFonts w:ascii="仿宋_GB2312" w:eastAsia="仿宋_GB2312" w:hAnsiTheme="minorEastAsia"/>
                <w:b/>
                <w:color w:val="auto"/>
                <w:sz w:val="28"/>
                <w:szCs w:val="28"/>
                <w:highlight w:val="none"/>
              </w:rPr>
            </w:pPr>
            <w:r>
              <w:rPr>
                <w:rFonts w:hint="eastAsia" w:ascii="仿宋_GB2312" w:eastAsia="仿宋_GB2312" w:hAnsiTheme="minorEastAsia"/>
                <w:b/>
                <w:color w:val="auto"/>
                <w:sz w:val="28"/>
                <w:szCs w:val="28"/>
                <w:highlight w:val="none"/>
              </w:rPr>
              <w:t>标的公司</w:t>
            </w:r>
          </w:p>
          <w:p>
            <w:pPr>
              <w:spacing w:line="280" w:lineRule="exact"/>
              <w:jc w:val="center"/>
              <w:rPr>
                <w:rFonts w:ascii="宋体" w:hAnsi="宋体" w:cs="宋体"/>
                <w:color w:val="auto"/>
                <w:sz w:val="28"/>
                <w:szCs w:val="28"/>
                <w:highlight w:val="none"/>
              </w:rPr>
            </w:pPr>
            <w:r>
              <w:rPr>
                <w:rFonts w:hint="eastAsia" w:ascii="仿宋_GB2312" w:eastAsia="仿宋_GB2312" w:hAnsiTheme="minorEastAsia"/>
                <w:b/>
                <w:color w:val="auto"/>
                <w:sz w:val="28"/>
                <w:szCs w:val="28"/>
                <w:highlight w:val="none"/>
              </w:rPr>
              <w:t>应付日期</w:t>
            </w:r>
          </w:p>
        </w:tc>
        <w:tc>
          <w:tcPr>
            <w:tcW w:w="1155" w:type="dxa"/>
            <w:vAlign w:val="center"/>
          </w:tcPr>
          <w:p>
            <w:pPr>
              <w:spacing w:line="280" w:lineRule="exact"/>
              <w:jc w:val="center"/>
              <w:rPr>
                <w:rFonts w:ascii="仿宋_GB2312" w:eastAsia="仿宋_GB2312" w:hAnsiTheme="minorEastAsia"/>
                <w:b/>
                <w:color w:val="auto"/>
                <w:sz w:val="28"/>
                <w:szCs w:val="28"/>
                <w:highlight w:val="none"/>
              </w:rPr>
            </w:pPr>
            <w:r>
              <w:rPr>
                <w:rFonts w:hint="eastAsia" w:ascii="仿宋_GB2312" w:eastAsia="仿宋_GB2312" w:hAnsiTheme="minorEastAsia"/>
                <w:b/>
                <w:color w:val="auto"/>
                <w:sz w:val="28"/>
                <w:szCs w:val="28"/>
                <w:highlight w:val="none"/>
              </w:rPr>
              <w:t>年利率</w:t>
            </w:r>
          </w:p>
          <w:p>
            <w:pPr>
              <w:spacing w:line="280" w:lineRule="exact"/>
              <w:jc w:val="center"/>
              <w:rPr>
                <w:rFonts w:ascii="宋体" w:hAnsi="宋体" w:cs="宋体"/>
                <w:color w:val="auto"/>
                <w:sz w:val="28"/>
                <w:szCs w:val="28"/>
                <w:highlight w:val="none"/>
              </w:rPr>
            </w:pPr>
            <w:r>
              <w:rPr>
                <w:rFonts w:hint="eastAsia" w:ascii="仿宋_GB2312" w:eastAsia="仿宋_GB2312" w:hAnsiTheme="minorEastAsia"/>
                <w:b/>
                <w:color w:val="auto"/>
                <w:sz w:val="28"/>
                <w:szCs w:val="28"/>
                <w:highlight w:val="none"/>
              </w:rPr>
              <w:t>(%)</w:t>
            </w:r>
          </w:p>
        </w:tc>
        <w:tc>
          <w:tcPr>
            <w:tcW w:w="1591" w:type="dxa"/>
            <w:vAlign w:val="center"/>
          </w:tcPr>
          <w:p>
            <w:pPr>
              <w:autoSpaceDE w:val="0"/>
              <w:autoSpaceDN w:val="0"/>
              <w:adjustRightInd w:val="0"/>
              <w:spacing w:line="500" w:lineRule="exact"/>
              <w:jc w:val="center"/>
              <w:rPr>
                <w:rFonts w:ascii="宋体" w:hAnsi="宋体" w:cs="宋体"/>
                <w:color w:val="auto"/>
                <w:sz w:val="28"/>
                <w:szCs w:val="28"/>
                <w:highlight w:val="none"/>
              </w:rPr>
            </w:pPr>
            <w:r>
              <w:rPr>
                <w:rFonts w:hint="eastAsia" w:ascii="仿宋_GB2312" w:eastAsia="仿宋_GB2312" w:hAnsiTheme="minorEastAsia"/>
                <w:b/>
                <w:color w:val="auto"/>
                <w:sz w:val="28"/>
                <w:szCs w:val="28"/>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28" w:type="dxa"/>
            <w:vAlign w:val="center"/>
          </w:tcPr>
          <w:p>
            <w:pPr>
              <w:spacing w:line="280" w:lineRule="exact"/>
              <w:jc w:val="center"/>
              <w:rPr>
                <w:rFonts w:ascii="宋体" w:hAnsi="宋体" w:eastAsia="仿宋_GB2312" w:cs="宋体"/>
                <w:color w:val="auto"/>
                <w:sz w:val="28"/>
                <w:szCs w:val="28"/>
                <w:highlight w:val="none"/>
              </w:rPr>
            </w:pPr>
            <w:r>
              <w:rPr>
                <w:rFonts w:hint="eastAsia" w:ascii="仿宋_GB2312" w:eastAsia="仿宋_GB2312" w:hAnsiTheme="minorEastAsia"/>
                <w:color w:val="auto"/>
                <w:sz w:val="24"/>
                <w:highlight w:val="none"/>
              </w:rPr>
              <w:t>1</w:t>
            </w:r>
          </w:p>
        </w:tc>
        <w:tc>
          <w:tcPr>
            <w:tcW w:w="1333" w:type="dxa"/>
            <w:vAlign w:val="center"/>
          </w:tcPr>
          <w:p>
            <w:pPr>
              <w:spacing w:line="280" w:lineRule="exact"/>
              <w:jc w:val="center"/>
              <w:rPr>
                <w:rFonts w:ascii="宋体" w:hAnsi="宋体" w:cs="宋体"/>
                <w:color w:val="auto"/>
                <w:sz w:val="28"/>
                <w:szCs w:val="28"/>
                <w:highlight w:val="none"/>
              </w:rPr>
            </w:pPr>
            <w:r>
              <w:rPr>
                <w:rFonts w:hint="eastAsia" w:ascii="仿宋_GB2312" w:eastAsia="仿宋_GB2312" w:hAnsiTheme="minorEastAsia"/>
                <w:color w:val="auto"/>
                <w:sz w:val="24"/>
                <w:highlight w:val="none"/>
              </w:rPr>
              <w:t>1000</w:t>
            </w:r>
          </w:p>
        </w:tc>
        <w:tc>
          <w:tcPr>
            <w:tcW w:w="1875" w:type="dxa"/>
            <w:vAlign w:val="center"/>
          </w:tcPr>
          <w:p>
            <w:pPr>
              <w:spacing w:line="280" w:lineRule="exact"/>
              <w:jc w:val="center"/>
              <w:rPr>
                <w:rFonts w:ascii="宋体" w:hAnsi="宋体" w:eastAsia="仿宋_GB2312" w:cs="宋体"/>
                <w:color w:val="auto"/>
                <w:sz w:val="28"/>
                <w:szCs w:val="28"/>
                <w:highlight w:val="none"/>
              </w:rPr>
            </w:pPr>
            <w:r>
              <w:rPr>
                <w:rFonts w:hint="eastAsia" w:ascii="仿宋_GB2312" w:eastAsia="仿宋_GB2312" w:hAnsiTheme="minorEastAsia"/>
                <w:color w:val="auto"/>
                <w:sz w:val="24"/>
                <w:highlight w:val="none"/>
              </w:rPr>
              <w:t>2020.8.5.</w:t>
            </w:r>
          </w:p>
        </w:tc>
        <w:tc>
          <w:tcPr>
            <w:tcW w:w="1740" w:type="dxa"/>
            <w:vAlign w:val="center"/>
          </w:tcPr>
          <w:p>
            <w:pPr>
              <w:spacing w:line="280" w:lineRule="exact"/>
              <w:jc w:val="center"/>
              <w:rPr>
                <w:rFonts w:ascii="宋体" w:hAnsi="宋体" w:eastAsia="仿宋_GB2312" w:cs="宋体"/>
                <w:color w:val="auto"/>
                <w:sz w:val="28"/>
                <w:szCs w:val="28"/>
                <w:highlight w:val="none"/>
              </w:rPr>
            </w:pPr>
            <w:r>
              <w:rPr>
                <w:rFonts w:hint="eastAsia" w:ascii="仿宋_GB2312" w:eastAsia="仿宋_GB2312" w:hAnsiTheme="minorEastAsia"/>
                <w:color w:val="auto"/>
                <w:sz w:val="24"/>
                <w:highlight w:val="none"/>
              </w:rPr>
              <w:t>2021.8.4.</w:t>
            </w:r>
          </w:p>
        </w:tc>
        <w:tc>
          <w:tcPr>
            <w:tcW w:w="1155" w:type="dxa"/>
            <w:vAlign w:val="center"/>
          </w:tcPr>
          <w:p>
            <w:pPr>
              <w:spacing w:line="280" w:lineRule="exact"/>
              <w:jc w:val="center"/>
              <w:rPr>
                <w:rFonts w:ascii="宋体" w:hAnsi="宋体" w:cs="宋体"/>
                <w:color w:val="auto"/>
                <w:sz w:val="28"/>
                <w:szCs w:val="28"/>
                <w:highlight w:val="none"/>
              </w:rPr>
            </w:pPr>
            <w:r>
              <w:rPr>
                <w:rFonts w:hint="eastAsia" w:ascii="仿宋_GB2312" w:eastAsia="仿宋_GB2312" w:hAnsiTheme="minorEastAsia"/>
                <w:color w:val="auto"/>
                <w:sz w:val="24"/>
                <w:highlight w:val="none"/>
              </w:rPr>
              <w:t>6</w:t>
            </w:r>
          </w:p>
        </w:tc>
        <w:tc>
          <w:tcPr>
            <w:tcW w:w="1591" w:type="dxa"/>
            <w:vAlign w:val="center"/>
          </w:tcPr>
          <w:p>
            <w:pPr>
              <w:spacing w:line="280" w:lineRule="exact"/>
              <w:jc w:val="center"/>
              <w:rPr>
                <w:rFonts w:ascii="仿宋_GB2312" w:eastAsia="仿宋_GB2312" w:hAnsiTheme="minorEastAsia"/>
                <w:color w:val="auto"/>
                <w:sz w:val="24"/>
                <w:highlight w:val="none"/>
              </w:rPr>
            </w:pPr>
            <w:r>
              <w:rPr>
                <w:rFonts w:hint="eastAsia" w:ascii="仿宋_GB2312" w:eastAsia="仿宋_GB2312" w:hAnsiTheme="minorEastAsia"/>
                <w:color w:val="auto"/>
                <w:sz w:val="24"/>
                <w:highlight w:val="none"/>
              </w:rPr>
              <w:t>已续期一年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28" w:type="dxa"/>
            <w:vAlign w:val="center"/>
          </w:tcPr>
          <w:p>
            <w:pPr>
              <w:spacing w:line="280" w:lineRule="exact"/>
              <w:jc w:val="center"/>
              <w:rPr>
                <w:rFonts w:ascii="宋体" w:hAnsi="宋体" w:cs="宋体"/>
                <w:color w:val="auto"/>
                <w:sz w:val="28"/>
                <w:szCs w:val="28"/>
                <w:highlight w:val="none"/>
              </w:rPr>
            </w:pPr>
            <w:r>
              <w:rPr>
                <w:rFonts w:hint="eastAsia" w:ascii="仿宋_GB2312" w:eastAsia="仿宋_GB2312" w:hAnsiTheme="minorEastAsia"/>
                <w:color w:val="auto"/>
                <w:sz w:val="24"/>
                <w:highlight w:val="none"/>
              </w:rPr>
              <w:t>2</w:t>
            </w:r>
          </w:p>
        </w:tc>
        <w:tc>
          <w:tcPr>
            <w:tcW w:w="1333" w:type="dxa"/>
            <w:vAlign w:val="center"/>
          </w:tcPr>
          <w:p>
            <w:pPr>
              <w:spacing w:line="280" w:lineRule="exact"/>
              <w:jc w:val="center"/>
              <w:rPr>
                <w:rFonts w:ascii="宋体" w:hAnsi="宋体" w:cs="宋体"/>
                <w:color w:val="auto"/>
                <w:sz w:val="28"/>
                <w:szCs w:val="28"/>
                <w:highlight w:val="none"/>
              </w:rPr>
            </w:pPr>
            <w:r>
              <w:rPr>
                <w:rFonts w:hint="eastAsia" w:ascii="仿宋_GB2312" w:eastAsia="仿宋_GB2312" w:hAnsiTheme="minorEastAsia"/>
                <w:color w:val="auto"/>
                <w:sz w:val="24"/>
                <w:highlight w:val="none"/>
              </w:rPr>
              <w:t>1000</w:t>
            </w:r>
          </w:p>
        </w:tc>
        <w:tc>
          <w:tcPr>
            <w:tcW w:w="1875" w:type="dxa"/>
            <w:vAlign w:val="center"/>
          </w:tcPr>
          <w:p>
            <w:pPr>
              <w:spacing w:line="280" w:lineRule="exact"/>
              <w:jc w:val="center"/>
              <w:rPr>
                <w:rFonts w:ascii="宋体" w:hAnsi="宋体" w:cs="宋体"/>
                <w:color w:val="auto"/>
                <w:sz w:val="28"/>
                <w:szCs w:val="28"/>
                <w:highlight w:val="none"/>
              </w:rPr>
            </w:pPr>
            <w:r>
              <w:rPr>
                <w:rFonts w:hint="eastAsia" w:ascii="仿宋_GB2312" w:eastAsia="仿宋_GB2312" w:hAnsiTheme="minorEastAsia"/>
                <w:color w:val="auto"/>
                <w:sz w:val="24"/>
                <w:highlight w:val="none"/>
              </w:rPr>
              <w:t>2020.10.13.</w:t>
            </w:r>
          </w:p>
        </w:tc>
        <w:tc>
          <w:tcPr>
            <w:tcW w:w="1740" w:type="dxa"/>
            <w:vAlign w:val="center"/>
          </w:tcPr>
          <w:p>
            <w:pPr>
              <w:spacing w:line="280" w:lineRule="exact"/>
              <w:jc w:val="center"/>
              <w:rPr>
                <w:rFonts w:ascii="宋体" w:hAnsi="宋体" w:cs="宋体"/>
                <w:color w:val="auto"/>
                <w:sz w:val="28"/>
                <w:szCs w:val="28"/>
                <w:highlight w:val="none"/>
              </w:rPr>
            </w:pPr>
            <w:r>
              <w:rPr>
                <w:rFonts w:hint="eastAsia" w:ascii="仿宋_GB2312" w:eastAsia="仿宋_GB2312" w:hAnsiTheme="minorEastAsia"/>
                <w:color w:val="auto"/>
                <w:sz w:val="24"/>
                <w:highlight w:val="none"/>
              </w:rPr>
              <w:t>2021.10.12.</w:t>
            </w:r>
          </w:p>
        </w:tc>
        <w:tc>
          <w:tcPr>
            <w:tcW w:w="1155" w:type="dxa"/>
            <w:vAlign w:val="center"/>
          </w:tcPr>
          <w:p>
            <w:pPr>
              <w:spacing w:line="280" w:lineRule="exact"/>
              <w:jc w:val="center"/>
              <w:rPr>
                <w:rFonts w:ascii="宋体" w:hAnsi="宋体" w:cs="宋体"/>
                <w:color w:val="auto"/>
                <w:sz w:val="28"/>
                <w:szCs w:val="28"/>
                <w:highlight w:val="none"/>
              </w:rPr>
            </w:pPr>
            <w:r>
              <w:rPr>
                <w:rFonts w:hint="eastAsia" w:ascii="仿宋_GB2312" w:eastAsia="仿宋_GB2312" w:hAnsiTheme="minorEastAsia"/>
                <w:color w:val="auto"/>
                <w:sz w:val="24"/>
                <w:highlight w:val="none"/>
              </w:rPr>
              <w:t>6</w:t>
            </w:r>
          </w:p>
        </w:tc>
        <w:tc>
          <w:tcPr>
            <w:tcW w:w="1591" w:type="dxa"/>
            <w:vMerge w:val="restart"/>
            <w:vAlign w:val="center"/>
          </w:tcPr>
          <w:p>
            <w:pPr>
              <w:spacing w:line="280" w:lineRule="exact"/>
              <w:jc w:val="center"/>
              <w:rPr>
                <w:rFonts w:ascii="仿宋_GB2312" w:eastAsia="仿宋_GB2312" w:hAnsiTheme="minorEastAsia"/>
                <w:color w:val="auto"/>
                <w:sz w:val="24"/>
                <w:highlight w:val="none"/>
              </w:rPr>
            </w:pPr>
            <w:r>
              <w:rPr>
                <w:rFonts w:hint="eastAsia" w:ascii="仿宋_GB2312" w:eastAsia="仿宋_GB2312" w:hAnsiTheme="minorEastAsia"/>
                <w:color w:val="auto"/>
                <w:sz w:val="24"/>
                <w:highlight w:val="none"/>
              </w:rPr>
              <w:t>详见《资金占用协议》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28" w:type="dxa"/>
            <w:vAlign w:val="center"/>
          </w:tcPr>
          <w:p>
            <w:pPr>
              <w:spacing w:line="280" w:lineRule="exact"/>
              <w:jc w:val="center"/>
              <w:rPr>
                <w:rFonts w:ascii="宋体" w:hAnsi="宋体" w:cs="宋体"/>
                <w:color w:val="auto"/>
                <w:sz w:val="28"/>
                <w:szCs w:val="28"/>
                <w:highlight w:val="none"/>
              </w:rPr>
            </w:pPr>
            <w:r>
              <w:rPr>
                <w:rFonts w:hint="eastAsia" w:ascii="仿宋_GB2312" w:eastAsia="仿宋_GB2312" w:hAnsiTheme="minorEastAsia"/>
                <w:color w:val="auto"/>
                <w:sz w:val="24"/>
                <w:highlight w:val="none"/>
              </w:rPr>
              <w:t>3</w:t>
            </w:r>
          </w:p>
        </w:tc>
        <w:tc>
          <w:tcPr>
            <w:tcW w:w="1333" w:type="dxa"/>
            <w:vAlign w:val="center"/>
          </w:tcPr>
          <w:p>
            <w:pPr>
              <w:spacing w:line="280" w:lineRule="exact"/>
              <w:jc w:val="center"/>
              <w:rPr>
                <w:rFonts w:ascii="宋体" w:hAnsi="宋体" w:cs="宋体"/>
                <w:color w:val="auto"/>
                <w:sz w:val="28"/>
                <w:szCs w:val="28"/>
                <w:highlight w:val="none"/>
              </w:rPr>
            </w:pPr>
            <w:r>
              <w:rPr>
                <w:rFonts w:hint="eastAsia" w:ascii="仿宋_GB2312" w:eastAsia="仿宋_GB2312" w:hAnsiTheme="minorEastAsia"/>
                <w:color w:val="auto"/>
                <w:sz w:val="24"/>
                <w:highlight w:val="none"/>
              </w:rPr>
              <w:t>2500</w:t>
            </w:r>
          </w:p>
        </w:tc>
        <w:tc>
          <w:tcPr>
            <w:tcW w:w="1875" w:type="dxa"/>
            <w:vAlign w:val="center"/>
          </w:tcPr>
          <w:p>
            <w:pPr>
              <w:spacing w:line="280" w:lineRule="exact"/>
              <w:jc w:val="center"/>
              <w:rPr>
                <w:rFonts w:ascii="宋体" w:hAnsi="宋体" w:eastAsia="仿宋_GB2312" w:cs="宋体"/>
                <w:color w:val="auto"/>
                <w:sz w:val="28"/>
                <w:szCs w:val="28"/>
                <w:highlight w:val="none"/>
              </w:rPr>
            </w:pPr>
            <w:r>
              <w:rPr>
                <w:rFonts w:hint="eastAsia" w:ascii="仿宋_GB2312" w:eastAsia="仿宋_GB2312" w:hAnsiTheme="minorEastAsia"/>
                <w:color w:val="auto"/>
                <w:sz w:val="24"/>
                <w:highlight w:val="none"/>
              </w:rPr>
              <w:t>2020.11.16.</w:t>
            </w:r>
          </w:p>
        </w:tc>
        <w:tc>
          <w:tcPr>
            <w:tcW w:w="1740" w:type="dxa"/>
            <w:vAlign w:val="center"/>
          </w:tcPr>
          <w:p>
            <w:pPr>
              <w:spacing w:line="280" w:lineRule="exact"/>
              <w:jc w:val="center"/>
              <w:rPr>
                <w:rFonts w:ascii="宋体" w:hAnsi="宋体" w:eastAsia="仿宋_GB2312" w:cs="宋体"/>
                <w:color w:val="auto"/>
                <w:sz w:val="28"/>
                <w:szCs w:val="28"/>
                <w:highlight w:val="none"/>
              </w:rPr>
            </w:pPr>
            <w:r>
              <w:rPr>
                <w:rFonts w:hint="eastAsia" w:ascii="仿宋_GB2312" w:eastAsia="仿宋_GB2312" w:hAnsiTheme="minorEastAsia"/>
                <w:color w:val="auto"/>
                <w:sz w:val="24"/>
                <w:highlight w:val="none"/>
              </w:rPr>
              <w:t>2021.11.15.</w:t>
            </w:r>
          </w:p>
        </w:tc>
        <w:tc>
          <w:tcPr>
            <w:tcW w:w="1155" w:type="dxa"/>
            <w:vAlign w:val="center"/>
          </w:tcPr>
          <w:p>
            <w:pPr>
              <w:spacing w:line="280" w:lineRule="exact"/>
              <w:jc w:val="center"/>
              <w:rPr>
                <w:rFonts w:ascii="宋体" w:hAnsi="宋体" w:cs="宋体"/>
                <w:color w:val="auto"/>
                <w:sz w:val="28"/>
                <w:szCs w:val="28"/>
                <w:highlight w:val="none"/>
              </w:rPr>
            </w:pPr>
            <w:r>
              <w:rPr>
                <w:rFonts w:hint="eastAsia" w:ascii="仿宋_GB2312" w:eastAsia="仿宋_GB2312" w:hAnsiTheme="minorEastAsia"/>
                <w:color w:val="auto"/>
                <w:sz w:val="24"/>
                <w:highlight w:val="none"/>
              </w:rPr>
              <w:t>6.8</w:t>
            </w:r>
          </w:p>
        </w:tc>
        <w:tc>
          <w:tcPr>
            <w:tcW w:w="1591" w:type="dxa"/>
            <w:vMerge w:val="continue"/>
            <w:vAlign w:val="center"/>
          </w:tcPr>
          <w:p>
            <w:pPr>
              <w:autoSpaceDE w:val="0"/>
              <w:autoSpaceDN w:val="0"/>
              <w:adjustRightInd w:val="0"/>
              <w:spacing w:line="500" w:lineRule="exact"/>
              <w:jc w:val="center"/>
              <w:rPr>
                <w:rFonts w:ascii="宋体" w:hAnsi="宋体" w:cs="宋体"/>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28" w:type="dxa"/>
            <w:vAlign w:val="center"/>
          </w:tcPr>
          <w:p>
            <w:pPr>
              <w:spacing w:line="280" w:lineRule="exact"/>
              <w:jc w:val="center"/>
              <w:rPr>
                <w:rFonts w:ascii="宋体" w:hAnsi="宋体" w:cs="宋体"/>
                <w:color w:val="auto"/>
                <w:sz w:val="28"/>
                <w:szCs w:val="28"/>
                <w:highlight w:val="none"/>
              </w:rPr>
            </w:pPr>
            <w:r>
              <w:rPr>
                <w:rFonts w:hint="eastAsia" w:ascii="仿宋_GB2312" w:eastAsia="仿宋_GB2312" w:hAnsiTheme="minorEastAsia"/>
                <w:color w:val="auto"/>
                <w:sz w:val="24"/>
                <w:highlight w:val="none"/>
              </w:rPr>
              <w:t>4</w:t>
            </w:r>
          </w:p>
        </w:tc>
        <w:tc>
          <w:tcPr>
            <w:tcW w:w="1333" w:type="dxa"/>
            <w:vAlign w:val="center"/>
          </w:tcPr>
          <w:p>
            <w:pPr>
              <w:spacing w:line="280" w:lineRule="exact"/>
              <w:jc w:val="center"/>
              <w:rPr>
                <w:rFonts w:ascii="宋体" w:hAnsi="宋体" w:cs="宋体"/>
                <w:color w:val="auto"/>
                <w:sz w:val="28"/>
                <w:szCs w:val="28"/>
                <w:highlight w:val="none"/>
              </w:rPr>
            </w:pPr>
            <w:r>
              <w:rPr>
                <w:rFonts w:hint="eastAsia" w:ascii="仿宋_GB2312" w:eastAsia="仿宋_GB2312" w:hAnsiTheme="minorEastAsia"/>
                <w:color w:val="auto"/>
                <w:sz w:val="24"/>
                <w:highlight w:val="none"/>
              </w:rPr>
              <w:t>9000</w:t>
            </w:r>
          </w:p>
        </w:tc>
        <w:tc>
          <w:tcPr>
            <w:tcW w:w="1875" w:type="dxa"/>
            <w:vAlign w:val="center"/>
          </w:tcPr>
          <w:p>
            <w:pPr>
              <w:spacing w:line="280" w:lineRule="exact"/>
              <w:jc w:val="center"/>
              <w:rPr>
                <w:rFonts w:ascii="宋体" w:hAnsi="宋体" w:cs="宋体"/>
                <w:color w:val="auto"/>
                <w:sz w:val="28"/>
                <w:szCs w:val="28"/>
                <w:highlight w:val="none"/>
              </w:rPr>
            </w:pPr>
            <w:r>
              <w:rPr>
                <w:rFonts w:hint="eastAsia" w:ascii="仿宋_GB2312" w:eastAsia="仿宋_GB2312" w:hAnsiTheme="minorEastAsia"/>
                <w:color w:val="auto"/>
                <w:sz w:val="24"/>
                <w:highlight w:val="none"/>
              </w:rPr>
              <w:t>2021.3.8.</w:t>
            </w:r>
          </w:p>
        </w:tc>
        <w:tc>
          <w:tcPr>
            <w:tcW w:w="1740" w:type="dxa"/>
            <w:vAlign w:val="center"/>
          </w:tcPr>
          <w:p>
            <w:pPr>
              <w:spacing w:line="280" w:lineRule="exact"/>
              <w:jc w:val="center"/>
              <w:rPr>
                <w:rFonts w:ascii="宋体" w:hAnsi="宋体" w:eastAsia="仿宋_GB2312" w:cs="宋体"/>
                <w:color w:val="auto"/>
                <w:sz w:val="28"/>
                <w:szCs w:val="28"/>
                <w:highlight w:val="none"/>
              </w:rPr>
            </w:pPr>
            <w:r>
              <w:rPr>
                <w:rFonts w:hint="eastAsia" w:ascii="仿宋_GB2312" w:eastAsia="仿宋_GB2312" w:hAnsiTheme="minorEastAsia"/>
                <w:color w:val="auto"/>
                <w:sz w:val="24"/>
                <w:highlight w:val="none"/>
              </w:rPr>
              <w:t>2022.3.7.</w:t>
            </w:r>
          </w:p>
        </w:tc>
        <w:tc>
          <w:tcPr>
            <w:tcW w:w="1155" w:type="dxa"/>
            <w:vAlign w:val="center"/>
          </w:tcPr>
          <w:p>
            <w:pPr>
              <w:spacing w:line="280" w:lineRule="exact"/>
              <w:jc w:val="center"/>
              <w:rPr>
                <w:rFonts w:ascii="宋体" w:hAnsi="宋体" w:cs="宋体"/>
                <w:color w:val="auto"/>
                <w:sz w:val="28"/>
                <w:szCs w:val="28"/>
                <w:highlight w:val="none"/>
              </w:rPr>
            </w:pPr>
            <w:r>
              <w:rPr>
                <w:rFonts w:hint="eastAsia" w:ascii="仿宋_GB2312" w:eastAsia="仿宋_GB2312" w:hAnsiTheme="minorEastAsia"/>
                <w:color w:val="auto"/>
                <w:sz w:val="24"/>
                <w:highlight w:val="none"/>
              </w:rPr>
              <w:t>6</w:t>
            </w:r>
          </w:p>
        </w:tc>
        <w:tc>
          <w:tcPr>
            <w:tcW w:w="1591" w:type="dxa"/>
            <w:vMerge w:val="continue"/>
            <w:vAlign w:val="center"/>
          </w:tcPr>
          <w:p>
            <w:pPr>
              <w:autoSpaceDE w:val="0"/>
              <w:autoSpaceDN w:val="0"/>
              <w:adjustRightInd w:val="0"/>
              <w:spacing w:line="500" w:lineRule="exact"/>
              <w:jc w:val="center"/>
              <w:rPr>
                <w:rFonts w:ascii="宋体" w:hAnsi="宋体" w:cs="宋体"/>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28" w:type="dxa"/>
            <w:vAlign w:val="center"/>
          </w:tcPr>
          <w:p>
            <w:pPr>
              <w:spacing w:line="280" w:lineRule="exact"/>
              <w:jc w:val="center"/>
              <w:rPr>
                <w:rFonts w:ascii="宋体" w:hAnsi="宋体" w:cs="宋体"/>
                <w:color w:val="auto"/>
                <w:sz w:val="28"/>
                <w:szCs w:val="28"/>
                <w:highlight w:val="none"/>
              </w:rPr>
            </w:pPr>
            <w:r>
              <w:rPr>
                <w:rFonts w:hint="eastAsia" w:ascii="仿宋_GB2312" w:eastAsia="仿宋_GB2312" w:hAnsiTheme="minorEastAsia"/>
                <w:color w:val="auto"/>
                <w:sz w:val="24"/>
                <w:highlight w:val="none"/>
              </w:rPr>
              <w:t>5</w:t>
            </w:r>
          </w:p>
        </w:tc>
        <w:tc>
          <w:tcPr>
            <w:tcW w:w="1333" w:type="dxa"/>
            <w:vAlign w:val="center"/>
          </w:tcPr>
          <w:p>
            <w:pPr>
              <w:spacing w:line="280" w:lineRule="exact"/>
              <w:jc w:val="center"/>
              <w:rPr>
                <w:rFonts w:ascii="宋体" w:hAnsi="宋体" w:cs="宋体"/>
                <w:color w:val="auto"/>
                <w:sz w:val="28"/>
                <w:szCs w:val="28"/>
                <w:highlight w:val="none"/>
              </w:rPr>
            </w:pPr>
            <w:r>
              <w:rPr>
                <w:rFonts w:hint="eastAsia" w:ascii="仿宋_GB2312" w:eastAsia="仿宋_GB2312" w:hAnsiTheme="minorEastAsia"/>
                <w:color w:val="auto"/>
                <w:sz w:val="24"/>
                <w:highlight w:val="none"/>
              </w:rPr>
              <w:t>4500</w:t>
            </w:r>
          </w:p>
        </w:tc>
        <w:tc>
          <w:tcPr>
            <w:tcW w:w="1875" w:type="dxa"/>
            <w:vAlign w:val="center"/>
          </w:tcPr>
          <w:p>
            <w:pPr>
              <w:spacing w:line="280" w:lineRule="exact"/>
              <w:jc w:val="center"/>
              <w:rPr>
                <w:rFonts w:ascii="宋体" w:hAnsi="宋体" w:eastAsia="仿宋_GB2312" w:cs="宋体"/>
                <w:color w:val="auto"/>
                <w:sz w:val="28"/>
                <w:szCs w:val="28"/>
                <w:highlight w:val="none"/>
              </w:rPr>
            </w:pPr>
            <w:r>
              <w:rPr>
                <w:rFonts w:hint="eastAsia" w:ascii="仿宋_GB2312" w:eastAsia="仿宋_GB2312" w:hAnsiTheme="minorEastAsia"/>
                <w:color w:val="auto"/>
                <w:sz w:val="24"/>
                <w:highlight w:val="none"/>
              </w:rPr>
              <w:t>2021.4.27.</w:t>
            </w:r>
          </w:p>
        </w:tc>
        <w:tc>
          <w:tcPr>
            <w:tcW w:w="1740" w:type="dxa"/>
            <w:vAlign w:val="center"/>
          </w:tcPr>
          <w:p>
            <w:pPr>
              <w:spacing w:line="280" w:lineRule="exact"/>
              <w:jc w:val="center"/>
              <w:rPr>
                <w:rFonts w:ascii="宋体" w:hAnsi="宋体" w:eastAsia="仿宋_GB2312" w:cs="宋体"/>
                <w:color w:val="auto"/>
                <w:sz w:val="28"/>
                <w:szCs w:val="28"/>
                <w:highlight w:val="none"/>
              </w:rPr>
            </w:pPr>
            <w:r>
              <w:rPr>
                <w:rFonts w:hint="eastAsia" w:ascii="仿宋_GB2312" w:eastAsia="仿宋_GB2312" w:hAnsiTheme="minorEastAsia"/>
                <w:color w:val="auto"/>
                <w:sz w:val="24"/>
                <w:highlight w:val="none"/>
              </w:rPr>
              <w:t>2022.4.26.</w:t>
            </w:r>
          </w:p>
        </w:tc>
        <w:tc>
          <w:tcPr>
            <w:tcW w:w="1155" w:type="dxa"/>
            <w:vAlign w:val="center"/>
          </w:tcPr>
          <w:p>
            <w:pPr>
              <w:spacing w:line="280" w:lineRule="exact"/>
              <w:jc w:val="center"/>
              <w:rPr>
                <w:rFonts w:ascii="宋体" w:hAnsi="宋体" w:cs="宋体"/>
                <w:color w:val="auto"/>
                <w:sz w:val="28"/>
                <w:szCs w:val="28"/>
                <w:highlight w:val="none"/>
              </w:rPr>
            </w:pPr>
            <w:r>
              <w:rPr>
                <w:rFonts w:hint="eastAsia" w:ascii="仿宋_GB2312" w:eastAsia="仿宋_GB2312" w:hAnsiTheme="minorEastAsia"/>
                <w:color w:val="auto"/>
                <w:sz w:val="24"/>
                <w:highlight w:val="none"/>
              </w:rPr>
              <w:t>5.8</w:t>
            </w:r>
          </w:p>
        </w:tc>
        <w:tc>
          <w:tcPr>
            <w:tcW w:w="1591" w:type="dxa"/>
            <w:vMerge w:val="continue"/>
            <w:vAlign w:val="center"/>
          </w:tcPr>
          <w:p>
            <w:pPr>
              <w:autoSpaceDE w:val="0"/>
              <w:autoSpaceDN w:val="0"/>
              <w:adjustRightInd w:val="0"/>
              <w:spacing w:line="500" w:lineRule="exact"/>
              <w:jc w:val="center"/>
              <w:rPr>
                <w:rFonts w:ascii="宋体" w:hAnsi="宋体" w:cs="宋体"/>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28" w:type="dxa"/>
            <w:vAlign w:val="center"/>
          </w:tcPr>
          <w:p>
            <w:pPr>
              <w:spacing w:line="280" w:lineRule="exact"/>
              <w:jc w:val="center"/>
              <w:rPr>
                <w:rFonts w:ascii="宋体" w:hAnsi="宋体" w:cs="宋体"/>
                <w:color w:val="auto"/>
                <w:sz w:val="28"/>
                <w:szCs w:val="28"/>
                <w:highlight w:val="none"/>
              </w:rPr>
            </w:pPr>
            <w:r>
              <w:rPr>
                <w:rFonts w:hint="eastAsia" w:ascii="仿宋_GB2312" w:eastAsia="仿宋_GB2312" w:hAnsiTheme="minorEastAsia"/>
                <w:color w:val="auto"/>
                <w:sz w:val="24"/>
                <w:highlight w:val="none"/>
              </w:rPr>
              <w:t>6</w:t>
            </w:r>
          </w:p>
        </w:tc>
        <w:tc>
          <w:tcPr>
            <w:tcW w:w="1333" w:type="dxa"/>
            <w:vAlign w:val="center"/>
          </w:tcPr>
          <w:p>
            <w:pPr>
              <w:spacing w:line="280" w:lineRule="exact"/>
              <w:jc w:val="center"/>
              <w:rPr>
                <w:rFonts w:ascii="宋体" w:hAnsi="宋体" w:cs="宋体"/>
                <w:color w:val="auto"/>
                <w:sz w:val="28"/>
                <w:szCs w:val="28"/>
                <w:highlight w:val="none"/>
              </w:rPr>
            </w:pPr>
            <w:r>
              <w:rPr>
                <w:rFonts w:hint="eastAsia" w:ascii="仿宋_GB2312" w:eastAsia="仿宋_GB2312" w:hAnsiTheme="minorEastAsia"/>
                <w:color w:val="auto"/>
                <w:sz w:val="24"/>
                <w:highlight w:val="none"/>
              </w:rPr>
              <w:t>2100</w:t>
            </w:r>
          </w:p>
        </w:tc>
        <w:tc>
          <w:tcPr>
            <w:tcW w:w="1875" w:type="dxa"/>
            <w:vAlign w:val="center"/>
          </w:tcPr>
          <w:p>
            <w:pPr>
              <w:spacing w:line="280" w:lineRule="exact"/>
              <w:jc w:val="center"/>
              <w:rPr>
                <w:rFonts w:ascii="宋体" w:hAnsi="宋体" w:eastAsia="仿宋_GB2312" w:cs="宋体"/>
                <w:color w:val="auto"/>
                <w:sz w:val="28"/>
                <w:szCs w:val="28"/>
                <w:highlight w:val="none"/>
              </w:rPr>
            </w:pPr>
            <w:r>
              <w:rPr>
                <w:rFonts w:hint="eastAsia" w:ascii="仿宋_GB2312" w:eastAsia="仿宋_GB2312" w:hAnsiTheme="minorEastAsia"/>
                <w:color w:val="auto"/>
                <w:sz w:val="24"/>
                <w:highlight w:val="none"/>
              </w:rPr>
              <w:t>2021.5.18.</w:t>
            </w:r>
          </w:p>
        </w:tc>
        <w:tc>
          <w:tcPr>
            <w:tcW w:w="1740" w:type="dxa"/>
            <w:vAlign w:val="center"/>
          </w:tcPr>
          <w:p>
            <w:pPr>
              <w:spacing w:line="280" w:lineRule="exact"/>
              <w:jc w:val="center"/>
              <w:rPr>
                <w:rFonts w:ascii="宋体" w:hAnsi="宋体" w:eastAsia="仿宋_GB2312" w:cs="宋体"/>
                <w:color w:val="auto"/>
                <w:sz w:val="28"/>
                <w:szCs w:val="28"/>
                <w:highlight w:val="none"/>
              </w:rPr>
            </w:pPr>
            <w:r>
              <w:rPr>
                <w:rFonts w:hint="eastAsia" w:ascii="仿宋_GB2312" w:eastAsia="仿宋_GB2312" w:hAnsiTheme="minorEastAsia"/>
                <w:color w:val="auto"/>
                <w:sz w:val="24"/>
                <w:highlight w:val="none"/>
              </w:rPr>
              <w:t>2022.5.17.</w:t>
            </w:r>
          </w:p>
        </w:tc>
        <w:tc>
          <w:tcPr>
            <w:tcW w:w="1155" w:type="dxa"/>
            <w:vAlign w:val="center"/>
          </w:tcPr>
          <w:p>
            <w:pPr>
              <w:spacing w:line="280" w:lineRule="exact"/>
              <w:jc w:val="center"/>
              <w:rPr>
                <w:rFonts w:ascii="宋体" w:hAnsi="宋体" w:cs="宋体"/>
                <w:color w:val="auto"/>
                <w:sz w:val="28"/>
                <w:szCs w:val="28"/>
                <w:highlight w:val="none"/>
              </w:rPr>
            </w:pPr>
            <w:r>
              <w:rPr>
                <w:rFonts w:hint="eastAsia" w:ascii="仿宋_GB2312" w:eastAsia="仿宋_GB2312" w:hAnsiTheme="minorEastAsia"/>
                <w:color w:val="auto"/>
                <w:sz w:val="24"/>
                <w:highlight w:val="none"/>
              </w:rPr>
              <w:t>6.8</w:t>
            </w:r>
          </w:p>
        </w:tc>
        <w:tc>
          <w:tcPr>
            <w:tcW w:w="1591" w:type="dxa"/>
            <w:vMerge w:val="continue"/>
            <w:vAlign w:val="center"/>
          </w:tcPr>
          <w:p>
            <w:pPr>
              <w:autoSpaceDE w:val="0"/>
              <w:autoSpaceDN w:val="0"/>
              <w:adjustRightInd w:val="0"/>
              <w:spacing w:line="500" w:lineRule="exact"/>
              <w:jc w:val="center"/>
              <w:rPr>
                <w:rFonts w:ascii="宋体" w:hAnsi="宋体" w:cs="宋体"/>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28" w:type="dxa"/>
            <w:vAlign w:val="center"/>
          </w:tcPr>
          <w:p>
            <w:pPr>
              <w:spacing w:line="280" w:lineRule="exact"/>
              <w:jc w:val="center"/>
              <w:rPr>
                <w:rFonts w:ascii="宋体" w:hAnsi="宋体" w:cs="宋体"/>
                <w:color w:val="auto"/>
                <w:sz w:val="28"/>
                <w:szCs w:val="28"/>
                <w:highlight w:val="none"/>
              </w:rPr>
            </w:pPr>
            <w:r>
              <w:rPr>
                <w:rFonts w:hint="eastAsia" w:ascii="仿宋_GB2312" w:eastAsia="仿宋_GB2312" w:hAnsiTheme="minorEastAsia"/>
                <w:color w:val="auto"/>
                <w:sz w:val="24"/>
                <w:highlight w:val="none"/>
              </w:rPr>
              <w:t>7</w:t>
            </w:r>
          </w:p>
        </w:tc>
        <w:tc>
          <w:tcPr>
            <w:tcW w:w="1333" w:type="dxa"/>
            <w:vAlign w:val="center"/>
          </w:tcPr>
          <w:p>
            <w:pPr>
              <w:spacing w:line="280" w:lineRule="exact"/>
              <w:jc w:val="center"/>
              <w:rPr>
                <w:rFonts w:ascii="宋体" w:hAnsi="宋体" w:cs="宋体"/>
                <w:color w:val="auto"/>
                <w:sz w:val="28"/>
                <w:szCs w:val="28"/>
                <w:highlight w:val="none"/>
              </w:rPr>
            </w:pPr>
            <w:r>
              <w:rPr>
                <w:rFonts w:hint="eastAsia" w:ascii="仿宋_GB2312" w:eastAsia="仿宋_GB2312" w:hAnsiTheme="minorEastAsia"/>
                <w:color w:val="auto"/>
                <w:sz w:val="24"/>
                <w:highlight w:val="none"/>
              </w:rPr>
              <w:t>5000</w:t>
            </w:r>
          </w:p>
        </w:tc>
        <w:tc>
          <w:tcPr>
            <w:tcW w:w="1875" w:type="dxa"/>
            <w:vAlign w:val="center"/>
          </w:tcPr>
          <w:p>
            <w:pPr>
              <w:spacing w:line="280" w:lineRule="exact"/>
              <w:jc w:val="center"/>
              <w:rPr>
                <w:rFonts w:ascii="宋体" w:hAnsi="宋体" w:eastAsia="仿宋_GB2312" w:cs="宋体"/>
                <w:color w:val="auto"/>
                <w:sz w:val="28"/>
                <w:szCs w:val="28"/>
                <w:highlight w:val="none"/>
              </w:rPr>
            </w:pPr>
            <w:r>
              <w:rPr>
                <w:rFonts w:hint="eastAsia" w:ascii="仿宋_GB2312" w:eastAsia="仿宋_GB2312" w:hAnsiTheme="minorEastAsia"/>
                <w:color w:val="auto"/>
                <w:sz w:val="24"/>
                <w:highlight w:val="none"/>
              </w:rPr>
              <w:t>2021.6.5.</w:t>
            </w:r>
          </w:p>
        </w:tc>
        <w:tc>
          <w:tcPr>
            <w:tcW w:w="1740" w:type="dxa"/>
            <w:vAlign w:val="center"/>
          </w:tcPr>
          <w:p>
            <w:pPr>
              <w:spacing w:line="280" w:lineRule="exact"/>
              <w:jc w:val="center"/>
              <w:rPr>
                <w:rFonts w:ascii="宋体" w:hAnsi="宋体" w:eastAsia="仿宋_GB2312" w:cs="宋体"/>
                <w:color w:val="auto"/>
                <w:sz w:val="28"/>
                <w:szCs w:val="28"/>
                <w:highlight w:val="none"/>
              </w:rPr>
            </w:pPr>
            <w:r>
              <w:rPr>
                <w:rFonts w:hint="eastAsia" w:ascii="仿宋_GB2312" w:eastAsia="仿宋_GB2312" w:hAnsiTheme="minorEastAsia"/>
                <w:color w:val="auto"/>
                <w:sz w:val="24"/>
                <w:highlight w:val="none"/>
              </w:rPr>
              <w:t>2022.6.4.</w:t>
            </w:r>
          </w:p>
        </w:tc>
        <w:tc>
          <w:tcPr>
            <w:tcW w:w="1155" w:type="dxa"/>
            <w:vAlign w:val="center"/>
          </w:tcPr>
          <w:p>
            <w:pPr>
              <w:spacing w:line="280" w:lineRule="exact"/>
              <w:jc w:val="center"/>
              <w:rPr>
                <w:rFonts w:ascii="宋体" w:hAnsi="宋体" w:cs="宋体"/>
                <w:color w:val="auto"/>
                <w:sz w:val="28"/>
                <w:szCs w:val="28"/>
                <w:highlight w:val="none"/>
              </w:rPr>
            </w:pPr>
            <w:r>
              <w:rPr>
                <w:rFonts w:hint="eastAsia" w:ascii="仿宋_GB2312" w:eastAsia="仿宋_GB2312" w:hAnsiTheme="minorEastAsia"/>
                <w:color w:val="auto"/>
                <w:sz w:val="24"/>
                <w:highlight w:val="none"/>
              </w:rPr>
              <w:t>6</w:t>
            </w:r>
          </w:p>
        </w:tc>
        <w:tc>
          <w:tcPr>
            <w:tcW w:w="1591" w:type="dxa"/>
            <w:vMerge w:val="continue"/>
            <w:vAlign w:val="center"/>
          </w:tcPr>
          <w:p>
            <w:pPr>
              <w:autoSpaceDE w:val="0"/>
              <w:autoSpaceDN w:val="0"/>
              <w:adjustRightInd w:val="0"/>
              <w:spacing w:line="500" w:lineRule="exact"/>
              <w:jc w:val="center"/>
              <w:rPr>
                <w:rFonts w:ascii="宋体" w:hAnsi="宋体" w:cs="宋体"/>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28" w:type="dxa"/>
            <w:vAlign w:val="center"/>
          </w:tcPr>
          <w:p>
            <w:pPr>
              <w:spacing w:line="280" w:lineRule="exact"/>
              <w:jc w:val="center"/>
              <w:rPr>
                <w:rFonts w:ascii="宋体" w:hAnsi="宋体" w:cs="宋体"/>
                <w:color w:val="auto"/>
                <w:sz w:val="28"/>
                <w:szCs w:val="28"/>
                <w:highlight w:val="none"/>
              </w:rPr>
            </w:pPr>
            <w:r>
              <w:rPr>
                <w:rFonts w:hint="eastAsia" w:ascii="仿宋_GB2312" w:eastAsia="仿宋_GB2312" w:hAnsiTheme="minorEastAsia"/>
                <w:color w:val="auto"/>
                <w:sz w:val="24"/>
                <w:highlight w:val="none"/>
              </w:rPr>
              <w:t>8</w:t>
            </w:r>
          </w:p>
        </w:tc>
        <w:tc>
          <w:tcPr>
            <w:tcW w:w="1333" w:type="dxa"/>
            <w:vAlign w:val="center"/>
          </w:tcPr>
          <w:p>
            <w:pPr>
              <w:spacing w:line="280" w:lineRule="exact"/>
              <w:jc w:val="center"/>
              <w:rPr>
                <w:rFonts w:ascii="宋体" w:hAnsi="宋体" w:cs="宋体"/>
                <w:color w:val="auto"/>
                <w:sz w:val="28"/>
                <w:szCs w:val="28"/>
                <w:highlight w:val="none"/>
              </w:rPr>
            </w:pPr>
            <w:r>
              <w:rPr>
                <w:rFonts w:hint="eastAsia" w:ascii="仿宋_GB2312" w:eastAsia="仿宋_GB2312" w:hAnsiTheme="minorEastAsia"/>
                <w:color w:val="auto"/>
                <w:sz w:val="24"/>
                <w:highlight w:val="none"/>
              </w:rPr>
              <w:t>4500</w:t>
            </w:r>
          </w:p>
        </w:tc>
        <w:tc>
          <w:tcPr>
            <w:tcW w:w="1875" w:type="dxa"/>
            <w:vAlign w:val="center"/>
          </w:tcPr>
          <w:p>
            <w:pPr>
              <w:spacing w:line="280" w:lineRule="exact"/>
              <w:jc w:val="center"/>
              <w:rPr>
                <w:rFonts w:ascii="宋体" w:hAnsi="宋体" w:eastAsia="仿宋_GB2312" w:cs="宋体"/>
                <w:color w:val="auto"/>
                <w:sz w:val="28"/>
                <w:szCs w:val="28"/>
                <w:highlight w:val="none"/>
              </w:rPr>
            </w:pPr>
            <w:r>
              <w:rPr>
                <w:rFonts w:hint="eastAsia" w:ascii="仿宋_GB2312" w:eastAsia="仿宋_GB2312" w:hAnsiTheme="minorEastAsia"/>
                <w:color w:val="auto"/>
                <w:sz w:val="24"/>
                <w:highlight w:val="none"/>
              </w:rPr>
              <w:t>2021.6.19.</w:t>
            </w:r>
          </w:p>
        </w:tc>
        <w:tc>
          <w:tcPr>
            <w:tcW w:w="1740" w:type="dxa"/>
            <w:vAlign w:val="center"/>
          </w:tcPr>
          <w:p>
            <w:pPr>
              <w:spacing w:line="280" w:lineRule="exact"/>
              <w:jc w:val="center"/>
              <w:rPr>
                <w:rFonts w:ascii="宋体" w:hAnsi="宋体" w:eastAsia="仿宋_GB2312" w:cs="宋体"/>
                <w:color w:val="auto"/>
                <w:sz w:val="28"/>
                <w:szCs w:val="28"/>
                <w:highlight w:val="none"/>
              </w:rPr>
            </w:pPr>
            <w:r>
              <w:rPr>
                <w:rFonts w:hint="eastAsia" w:ascii="仿宋_GB2312" w:eastAsia="仿宋_GB2312" w:hAnsiTheme="minorEastAsia"/>
                <w:color w:val="auto"/>
                <w:sz w:val="24"/>
                <w:highlight w:val="none"/>
              </w:rPr>
              <w:t>2022.6.18.</w:t>
            </w:r>
          </w:p>
        </w:tc>
        <w:tc>
          <w:tcPr>
            <w:tcW w:w="1155" w:type="dxa"/>
            <w:vAlign w:val="center"/>
          </w:tcPr>
          <w:p>
            <w:pPr>
              <w:spacing w:line="280" w:lineRule="exact"/>
              <w:jc w:val="center"/>
              <w:rPr>
                <w:rFonts w:ascii="宋体" w:hAnsi="宋体" w:cs="宋体"/>
                <w:color w:val="auto"/>
                <w:sz w:val="28"/>
                <w:szCs w:val="28"/>
                <w:highlight w:val="none"/>
              </w:rPr>
            </w:pPr>
            <w:r>
              <w:rPr>
                <w:rFonts w:hint="eastAsia" w:ascii="仿宋_GB2312" w:eastAsia="仿宋_GB2312" w:hAnsiTheme="minorEastAsia"/>
                <w:color w:val="auto"/>
                <w:sz w:val="24"/>
                <w:highlight w:val="none"/>
              </w:rPr>
              <w:t>6</w:t>
            </w:r>
          </w:p>
        </w:tc>
        <w:tc>
          <w:tcPr>
            <w:tcW w:w="1591" w:type="dxa"/>
            <w:vMerge w:val="continue"/>
            <w:vAlign w:val="center"/>
          </w:tcPr>
          <w:p>
            <w:pPr>
              <w:autoSpaceDE w:val="0"/>
              <w:autoSpaceDN w:val="0"/>
              <w:adjustRightInd w:val="0"/>
              <w:spacing w:line="500" w:lineRule="exact"/>
              <w:jc w:val="center"/>
              <w:rPr>
                <w:rFonts w:ascii="宋体" w:hAnsi="宋体" w:cs="宋体"/>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28" w:type="dxa"/>
            <w:vAlign w:val="center"/>
          </w:tcPr>
          <w:p>
            <w:pPr>
              <w:spacing w:line="280" w:lineRule="exact"/>
              <w:jc w:val="center"/>
              <w:rPr>
                <w:rFonts w:ascii="宋体" w:hAnsi="宋体" w:cs="宋体"/>
                <w:color w:val="auto"/>
                <w:sz w:val="28"/>
                <w:szCs w:val="28"/>
                <w:highlight w:val="none"/>
              </w:rPr>
            </w:pPr>
            <w:r>
              <w:rPr>
                <w:rFonts w:hint="eastAsia" w:ascii="仿宋_GB2312" w:eastAsia="仿宋_GB2312" w:hAnsiTheme="minorEastAsia"/>
                <w:b/>
                <w:color w:val="auto"/>
                <w:sz w:val="24"/>
                <w:highlight w:val="none"/>
              </w:rPr>
              <w:t>合计</w:t>
            </w:r>
          </w:p>
        </w:tc>
        <w:tc>
          <w:tcPr>
            <w:tcW w:w="1333" w:type="dxa"/>
            <w:vAlign w:val="center"/>
          </w:tcPr>
          <w:p>
            <w:pPr>
              <w:spacing w:line="280" w:lineRule="exact"/>
              <w:jc w:val="center"/>
              <w:rPr>
                <w:rFonts w:ascii="宋体" w:hAnsi="宋体" w:cs="宋体"/>
                <w:color w:val="auto"/>
                <w:sz w:val="28"/>
                <w:szCs w:val="28"/>
                <w:highlight w:val="none"/>
              </w:rPr>
            </w:pPr>
            <w:r>
              <w:rPr>
                <w:rFonts w:hint="eastAsia" w:ascii="仿宋_GB2312" w:eastAsia="仿宋_GB2312" w:hAnsiTheme="minorEastAsia"/>
                <w:b/>
                <w:color w:val="auto"/>
                <w:sz w:val="24"/>
                <w:highlight w:val="none"/>
              </w:rPr>
              <w:t>29600</w:t>
            </w:r>
          </w:p>
        </w:tc>
        <w:tc>
          <w:tcPr>
            <w:tcW w:w="1875" w:type="dxa"/>
            <w:vAlign w:val="center"/>
          </w:tcPr>
          <w:p>
            <w:pPr>
              <w:spacing w:line="280" w:lineRule="exact"/>
              <w:jc w:val="center"/>
              <w:rPr>
                <w:rFonts w:ascii="宋体" w:hAnsi="宋体" w:cs="宋体"/>
                <w:color w:val="auto"/>
                <w:sz w:val="28"/>
                <w:szCs w:val="28"/>
                <w:highlight w:val="none"/>
              </w:rPr>
            </w:pPr>
          </w:p>
        </w:tc>
        <w:tc>
          <w:tcPr>
            <w:tcW w:w="1740" w:type="dxa"/>
            <w:vAlign w:val="center"/>
          </w:tcPr>
          <w:p>
            <w:pPr>
              <w:spacing w:line="280" w:lineRule="exact"/>
              <w:jc w:val="center"/>
              <w:rPr>
                <w:rFonts w:ascii="宋体" w:hAnsi="宋体" w:cs="宋体"/>
                <w:color w:val="auto"/>
                <w:sz w:val="28"/>
                <w:szCs w:val="28"/>
                <w:highlight w:val="none"/>
              </w:rPr>
            </w:pPr>
          </w:p>
        </w:tc>
        <w:tc>
          <w:tcPr>
            <w:tcW w:w="1155" w:type="dxa"/>
            <w:vAlign w:val="center"/>
          </w:tcPr>
          <w:p>
            <w:pPr>
              <w:spacing w:line="280" w:lineRule="exact"/>
              <w:jc w:val="center"/>
              <w:rPr>
                <w:rFonts w:ascii="宋体" w:hAnsi="宋体" w:cs="宋体"/>
                <w:color w:val="auto"/>
                <w:sz w:val="28"/>
                <w:szCs w:val="28"/>
                <w:highlight w:val="none"/>
              </w:rPr>
            </w:pPr>
          </w:p>
        </w:tc>
        <w:tc>
          <w:tcPr>
            <w:tcW w:w="1591" w:type="dxa"/>
            <w:vAlign w:val="center"/>
          </w:tcPr>
          <w:p>
            <w:pPr>
              <w:autoSpaceDE w:val="0"/>
              <w:autoSpaceDN w:val="0"/>
              <w:adjustRightInd w:val="0"/>
              <w:spacing w:line="500" w:lineRule="exact"/>
              <w:jc w:val="center"/>
              <w:rPr>
                <w:rFonts w:ascii="宋体" w:hAnsi="宋体" w:cs="宋体"/>
                <w:color w:val="auto"/>
                <w:sz w:val="28"/>
                <w:szCs w:val="28"/>
                <w:highlight w:val="none"/>
              </w:rPr>
            </w:pPr>
          </w:p>
        </w:tc>
      </w:tr>
    </w:tbl>
    <w:p>
      <w:pPr>
        <w:pBdr>
          <w:top w:val="none" w:color="000000" w:sz="0" w:space="0"/>
          <w:left w:val="none" w:color="000000" w:sz="0" w:space="0"/>
          <w:bottom w:val="none" w:color="000000" w:sz="0" w:space="0"/>
          <w:right w:val="none" w:color="000000" w:sz="0" w:space="0"/>
        </w:pBdr>
        <w:autoSpaceDN w:val="0"/>
        <w:adjustRightInd w:val="0"/>
        <w:snapToGrid w:val="0"/>
        <w:spacing w:line="500" w:lineRule="exact"/>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1.在本次产权转让预公告至正式公告期间，上述序号1债权于2021年8月4日到期，此笔债权已于2021年8月5日完成续期一年手续，期限为2021年8月5日至2022年8月4日，年利率6%；</w:t>
      </w:r>
    </w:p>
    <w:p>
      <w:pPr>
        <w:pBdr>
          <w:top w:val="none" w:color="000000" w:sz="0" w:space="0"/>
          <w:left w:val="none" w:color="000000" w:sz="0" w:space="0"/>
          <w:bottom w:val="none" w:color="000000" w:sz="0" w:space="0"/>
          <w:right w:val="none" w:color="000000" w:sz="0" w:space="0"/>
        </w:pBdr>
        <w:autoSpaceDN w:val="0"/>
        <w:adjustRightInd w:val="0"/>
        <w:snapToGrid w:val="0"/>
        <w:spacing w:line="500" w:lineRule="exact"/>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2.转让方对标的公司的2.96亿元债权，利息已结清至2021年7月31日。</w:t>
      </w:r>
    </w:p>
    <w:p>
      <w:pPr>
        <w:pBdr>
          <w:top w:val="none" w:color="000000" w:sz="0" w:space="0"/>
          <w:left w:val="none" w:color="000000" w:sz="0" w:space="0"/>
          <w:bottom w:val="none" w:color="000000" w:sz="0" w:space="0"/>
          <w:right w:val="none" w:color="000000" w:sz="0" w:space="0"/>
        </w:pBdr>
        <w:autoSpaceDN w:val="0"/>
        <w:adjustRightInd w:val="0"/>
        <w:snapToGrid w:val="0"/>
        <w:spacing w:line="500" w:lineRule="exact"/>
        <w:ind w:firstLine="280" w:firstLineChars="100"/>
        <w:rPr>
          <w:rFonts w:ascii="宋体" w:hAnsi="宋体" w:cs="宋体"/>
          <w:color w:val="auto"/>
          <w:sz w:val="28"/>
          <w:szCs w:val="28"/>
          <w:highlight w:val="none"/>
        </w:rPr>
      </w:pPr>
      <w:r>
        <w:rPr>
          <w:rFonts w:hint="eastAsia" w:ascii="宋体" w:hAnsi="宋体"/>
          <w:color w:val="auto"/>
          <w:kern w:val="0"/>
          <w:sz w:val="28"/>
          <w:szCs w:val="28"/>
          <w:highlight w:val="none"/>
        </w:rPr>
        <w:t>★3.</w:t>
      </w:r>
      <w:r>
        <w:rPr>
          <w:rFonts w:hint="eastAsia" w:ascii="宋体" w:hAnsi="宋体" w:cs="宋体"/>
          <w:color w:val="auto"/>
          <w:sz w:val="28"/>
          <w:szCs w:val="28"/>
          <w:highlight w:val="none"/>
        </w:rPr>
        <w:t>本次产权转让预公告至转让期间，标的公司因支付工程款等需要，转让方对标的公司新增一笔4000万元债权，期限为2021年8月4日至2021年11月3日，年利率5.8%。</w:t>
      </w:r>
    </w:p>
    <w:p>
      <w:pPr>
        <w:keepNext w:val="0"/>
        <w:keepLines w:val="0"/>
        <w:pageBreakBefore w:val="0"/>
        <w:widowControl/>
        <w:shd w:val="clear" w:color="auto" w:fill="FFFFFF"/>
        <w:kinsoku/>
        <w:wordWrap/>
        <w:overflowPunct/>
        <w:topLinePunct w:val="0"/>
        <w:autoSpaceDE/>
        <w:autoSpaceDN/>
        <w:bidi w:val="0"/>
        <w:adjustRightInd/>
        <w:snapToGrid/>
        <w:spacing w:before="63" w:beforeLines="20" w:after="63" w:afterLines="20" w:line="500" w:lineRule="exact"/>
        <w:ind w:firstLine="562" w:firstLineChars="200"/>
        <w:jc w:val="left"/>
        <w:textAlignment w:val="auto"/>
        <w:rPr>
          <w:color w:val="auto"/>
          <w:kern w:val="0"/>
          <w:sz w:val="28"/>
          <w:szCs w:val="28"/>
          <w:highlight w:val="none"/>
        </w:rPr>
      </w:pPr>
      <w:r>
        <w:rPr>
          <w:rFonts w:hint="eastAsia" w:ascii="宋体" w:hAnsi="宋体" w:cs="宋体"/>
          <w:b/>
          <w:bCs/>
          <w:color w:val="auto"/>
          <w:sz w:val="28"/>
          <w:szCs w:val="28"/>
          <w:highlight w:val="none"/>
        </w:rPr>
        <w:t>五、转让行为的决策及批准情况</w:t>
      </w:r>
    </w:p>
    <w:p>
      <w:pPr>
        <w:tabs>
          <w:tab w:val="left" w:pos="360"/>
          <w:tab w:val="left" w:pos="540"/>
          <w:tab w:val="left" w:pos="1260"/>
        </w:tabs>
        <w:spacing w:line="500" w:lineRule="exact"/>
        <w:ind w:firstLine="560" w:firstLineChars="200"/>
        <w:jc w:val="left"/>
        <w:rPr>
          <w:rFonts w:ascii="宋体" w:hAnsi="宋体"/>
          <w:color w:val="auto"/>
          <w:sz w:val="28"/>
          <w:szCs w:val="28"/>
          <w:highlight w:val="none"/>
        </w:rPr>
      </w:pPr>
      <w:r>
        <w:rPr>
          <w:rFonts w:hint="eastAsia" w:ascii="宋体" w:hAnsi="宋体"/>
          <w:color w:val="auto"/>
          <w:sz w:val="28"/>
          <w:szCs w:val="28"/>
          <w:highlight w:val="none"/>
        </w:rPr>
        <w:t>1.标的公司股东内部决定同意本次产权转让；</w:t>
      </w:r>
    </w:p>
    <w:p>
      <w:pPr>
        <w:tabs>
          <w:tab w:val="left" w:pos="360"/>
          <w:tab w:val="left" w:pos="540"/>
          <w:tab w:val="left" w:pos="1260"/>
        </w:tabs>
        <w:spacing w:line="500" w:lineRule="exact"/>
        <w:ind w:firstLine="560" w:firstLineChars="200"/>
        <w:jc w:val="left"/>
        <w:rPr>
          <w:rFonts w:ascii="宋体" w:hAnsi="宋体"/>
          <w:color w:val="auto"/>
          <w:sz w:val="28"/>
          <w:szCs w:val="28"/>
          <w:highlight w:val="none"/>
        </w:rPr>
      </w:pPr>
      <w:r>
        <w:rPr>
          <w:rFonts w:hint="eastAsia" w:ascii="宋体" w:hAnsi="宋体"/>
          <w:color w:val="auto"/>
          <w:sz w:val="28"/>
          <w:szCs w:val="28"/>
          <w:highlight w:val="none"/>
        </w:rPr>
        <w:t>2.义乌市产业投资发展集团有限公司召开“三重一大”会议同意本次转让；</w:t>
      </w:r>
    </w:p>
    <w:p>
      <w:pPr>
        <w:tabs>
          <w:tab w:val="left" w:pos="360"/>
          <w:tab w:val="left" w:pos="540"/>
          <w:tab w:val="left" w:pos="1260"/>
        </w:tabs>
        <w:spacing w:line="500" w:lineRule="exact"/>
        <w:ind w:firstLine="560" w:firstLineChars="200"/>
        <w:jc w:val="left"/>
        <w:rPr>
          <w:rFonts w:ascii="宋体" w:hAnsi="宋体"/>
          <w:color w:val="auto"/>
          <w:sz w:val="28"/>
          <w:szCs w:val="28"/>
          <w:highlight w:val="none"/>
        </w:rPr>
      </w:pPr>
      <w:r>
        <w:rPr>
          <w:rFonts w:hint="eastAsia" w:ascii="宋体" w:hAnsi="宋体"/>
          <w:color w:val="auto"/>
          <w:sz w:val="28"/>
          <w:szCs w:val="28"/>
          <w:highlight w:val="none"/>
        </w:rPr>
        <w:t>3.义乌经济技术开发区管理机构整合提升工作指挥部班子召开会议，形成会议纪要（义开发指[2021]42号），同意本次产权转让；</w:t>
      </w:r>
    </w:p>
    <w:p>
      <w:pPr>
        <w:widowControl/>
        <w:shd w:val="clear" w:color="auto" w:fill="FFFFFF"/>
        <w:spacing w:line="500" w:lineRule="exact"/>
        <w:ind w:firstLine="560" w:firstLineChars="200"/>
        <w:rPr>
          <w:color w:val="auto"/>
          <w:kern w:val="0"/>
          <w:sz w:val="28"/>
          <w:szCs w:val="28"/>
          <w:highlight w:val="none"/>
        </w:rPr>
      </w:pPr>
      <w:r>
        <w:rPr>
          <w:rFonts w:hint="eastAsia" w:ascii="宋体" w:hAnsi="宋体"/>
          <w:color w:val="auto"/>
          <w:sz w:val="28"/>
          <w:szCs w:val="28"/>
          <w:highlight w:val="none"/>
        </w:rPr>
        <w:t>4.义乌市抓项目促发展工作领导小组召开会议，形成会议纪要（中共义乌市委办公室[2021]17号），同意本次产权转让。</w:t>
      </w:r>
    </w:p>
    <w:p>
      <w:pPr>
        <w:keepNext w:val="0"/>
        <w:keepLines w:val="0"/>
        <w:pageBreakBefore w:val="0"/>
        <w:widowControl/>
        <w:shd w:val="clear" w:color="auto" w:fill="FFFFFF"/>
        <w:kinsoku/>
        <w:wordWrap/>
        <w:overflowPunct/>
        <w:topLinePunct w:val="0"/>
        <w:autoSpaceDE/>
        <w:autoSpaceDN/>
        <w:bidi w:val="0"/>
        <w:adjustRightInd/>
        <w:snapToGrid/>
        <w:spacing w:before="63" w:beforeLines="20" w:after="63" w:afterLines="20" w:line="500" w:lineRule="exact"/>
        <w:ind w:firstLine="562" w:firstLineChars="200"/>
        <w:jc w:val="left"/>
        <w:textAlignment w:val="auto"/>
        <w:rPr>
          <w:rFonts w:ascii="宋体" w:hAnsi="宋体" w:cs="宋体"/>
          <w:b/>
          <w:bCs/>
          <w:color w:val="auto"/>
          <w:sz w:val="28"/>
          <w:szCs w:val="28"/>
          <w:highlight w:val="none"/>
        </w:rPr>
      </w:pPr>
      <w:r>
        <w:rPr>
          <w:rFonts w:hint="eastAsia" w:ascii="宋体" w:hAnsi="宋体" w:cs="宋体"/>
          <w:b/>
          <w:bCs/>
          <w:color w:val="auto"/>
          <w:sz w:val="28"/>
          <w:szCs w:val="28"/>
          <w:highlight w:val="none"/>
        </w:rPr>
        <w:t>六、资产评估备案情况</w:t>
      </w:r>
    </w:p>
    <w:p>
      <w:pPr>
        <w:widowControl/>
        <w:spacing w:line="500" w:lineRule="exact"/>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本次产权转让经第三方机构浙江明瑞资产评估有限公司对标的公司2021年5月31日</w:t>
      </w:r>
      <w:r>
        <w:rPr>
          <w:rFonts w:hint="eastAsia" w:ascii="宋体" w:hAnsi="宋体" w:cs="宋体"/>
          <w:color w:val="auto"/>
          <w:sz w:val="28"/>
          <w:szCs w:val="28"/>
          <w:highlight w:val="none"/>
        </w:rPr>
        <w:t>之前的资产进行评估确定[（浙明瑞评字（2021）第012号]，标的公司100%股权评估价值为</w:t>
      </w:r>
      <w:r>
        <w:rPr>
          <w:rFonts w:hint="eastAsia" w:ascii="宋体" w:hAnsi="宋体" w:eastAsia="宋体" w:cs="宋体"/>
          <w:color w:val="auto"/>
          <w:sz w:val="28"/>
          <w:szCs w:val="28"/>
          <w:highlight w:val="none"/>
        </w:rPr>
        <w:t>：</w:t>
      </w:r>
      <w:r>
        <w:rPr>
          <w:rFonts w:hint="eastAsia" w:ascii="宋体" w:hAnsi="宋体" w:eastAsia="宋体" w:cs="宋体"/>
          <w:color w:val="auto"/>
          <w:sz w:val="28"/>
          <w:szCs w:val="28"/>
          <w:lang w:val="en-US" w:eastAsia="zh-CN"/>
        </w:rPr>
        <w:t>32918.02</w:t>
      </w:r>
      <w:r>
        <w:rPr>
          <w:rFonts w:hint="eastAsia" w:ascii="宋体" w:hAnsi="宋体" w:cs="宋体"/>
          <w:color w:val="auto"/>
          <w:sz w:val="28"/>
          <w:szCs w:val="28"/>
          <w:highlight w:val="none"/>
        </w:rPr>
        <w:t>万元。评估基准日为：2021年5月31日。</w:t>
      </w:r>
    </w:p>
    <w:p>
      <w:pPr>
        <w:widowControl/>
        <w:shd w:val="clear" w:color="auto" w:fill="FFFFFF"/>
        <w:spacing w:line="500" w:lineRule="exact"/>
        <w:ind w:firstLine="560" w:firstLineChars="200"/>
        <w:jc w:val="left"/>
        <w:rPr>
          <w:rFonts w:hint="default" w:eastAsia="宋体"/>
          <w:color w:val="auto"/>
          <w:kern w:val="0"/>
          <w:sz w:val="28"/>
          <w:szCs w:val="28"/>
          <w:highlight w:val="none"/>
          <w:lang w:val="en-US" w:eastAsia="zh-CN"/>
        </w:rPr>
      </w:pPr>
      <w:r>
        <w:rPr>
          <w:rFonts w:hint="eastAsia"/>
          <w:color w:val="auto"/>
          <w:kern w:val="0"/>
          <w:sz w:val="28"/>
          <w:szCs w:val="28"/>
          <w:highlight w:val="none"/>
        </w:rPr>
        <w:t>该评估报告经义乌市人民政府国有资产监督管理委员会于</w:t>
      </w:r>
      <w:r>
        <w:rPr>
          <w:rFonts w:hint="eastAsia" w:ascii="宋体" w:hAnsi="宋体" w:eastAsia="宋体" w:cs="宋体"/>
          <w:color w:val="auto"/>
          <w:kern w:val="0"/>
          <w:sz w:val="28"/>
          <w:szCs w:val="28"/>
          <w:highlight w:val="none"/>
        </w:rPr>
        <w:t>2021</w:t>
      </w:r>
      <w:r>
        <w:rPr>
          <w:rFonts w:hint="eastAsia"/>
          <w:color w:val="auto"/>
          <w:kern w:val="0"/>
          <w:sz w:val="28"/>
          <w:szCs w:val="28"/>
          <w:highlight w:val="none"/>
        </w:rPr>
        <w:t>年</w:t>
      </w:r>
      <w:r>
        <w:rPr>
          <w:rFonts w:hint="eastAsia"/>
          <w:color w:val="auto"/>
          <w:kern w:val="0"/>
          <w:sz w:val="28"/>
          <w:szCs w:val="28"/>
          <w:highlight w:val="none"/>
          <w:lang w:val="en-US" w:eastAsia="zh-CN"/>
        </w:rPr>
        <w:t>8</w:t>
      </w:r>
      <w:r>
        <w:rPr>
          <w:rFonts w:hint="eastAsia"/>
          <w:color w:val="auto"/>
          <w:kern w:val="0"/>
          <w:sz w:val="28"/>
          <w:szCs w:val="28"/>
          <w:highlight w:val="none"/>
        </w:rPr>
        <w:t>月</w:t>
      </w:r>
      <w:r>
        <w:rPr>
          <w:rFonts w:hint="eastAsia"/>
          <w:color w:val="auto"/>
          <w:kern w:val="0"/>
          <w:sz w:val="28"/>
          <w:szCs w:val="28"/>
          <w:highlight w:val="none"/>
          <w:lang w:val="en-US" w:eastAsia="zh-CN"/>
        </w:rPr>
        <w:t>18</w:t>
      </w:r>
      <w:r>
        <w:rPr>
          <w:rFonts w:hint="eastAsia"/>
          <w:color w:val="auto"/>
          <w:kern w:val="0"/>
          <w:sz w:val="28"/>
          <w:szCs w:val="28"/>
          <w:highlight w:val="none"/>
        </w:rPr>
        <w:t>日核准，核准编号：</w:t>
      </w:r>
      <w:r>
        <w:rPr>
          <w:rFonts w:hint="eastAsia"/>
          <w:color w:val="auto"/>
          <w:kern w:val="0"/>
          <w:sz w:val="28"/>
          <w:szCs w:val="28"/>
          <w:highlight w:val="none"/>
          <w:lang w:val="en-US" w:eastAsia="zh-CN"/>
        </w:rPr>
        <w:t>202104。</w:t>
      </w:r>
    </w:p>
    <w:p>
      <w:pPr>
        <w:keepNext w:val="0"/>
        <w:keepLines w:val="0"/>
        <w:pageBreakBefore w:val="0"/>
        <w:widowControl w:val="0"/>
        <w:kinsoku/>
        <w:wordWrap/>
        <w:overflowPunct/>
        <w:topLinePunct w:val="0"/>
        <w:autoSpaceDE/>
        <w:autoSpaceDN/>
        <w:bidi w:val="0"/>
        <w:adjustRightInd/>
        <w:snapToGrid/>
        <w:spacing w:before="63" w:beforeLines="20" w:after="63" w:afterLines="20" w:line="500" w:lineRule="exact"/>
        <w:ind w:firstLine="562" w:firstLineChars="200"/>
        <w:textAlignment w:val="auto"/>
        <w:rPr>
          <w:rFonts w:ascii="宋体" w:hAnsi="宋体" w:cs="宋体"/>
          <w:color w:val="auto"/>
          <w:sz w:val="28"/>
          <w:szCs w:val="28"/>
          <w:highlight w:val="none"/>
        </w:rPr>
      </w:pPr>
      <w:r>
        <w:rPr>
          <w:rFonts w:hint="eastAsia" w:ascii="宋体" w:hAnsi="宋体" w:cs="宋体"/>
          <w:b/>
          <w:color w:val="auto"/>
          <w:sz w:val="28"/>
          <w:szCs w:val="28"/>
          <w:highlight w:val="none"/>
        </w:rPr>
        <w:t>七、转让底价</w:t>
      </w:r>
      <w:r>
        <w:rPr>
          <w:rFonts w:hint="eastAsia" w:ascii="宋体" w:hAnsi="宋体" w:cs="宋体"/>
          <w:color w:val="auto"/>
          <w:sz w:val="28"/>
          <w:szCs w:val="28"/>
          <w:highlight w:val="none"/>
        </w:rPr>
        <w:t>：</w:t>
      </w:r>
    </w:p>
    <w:p>
      <w:pPr>
        <w:spacing w:line="500" w:lineRule="exact"/>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本项</w:t>
      </w:r>
      <w:r>
        <w:rPr>
          <w:rFonts w:hint="eastAsia" w:ascii="宋体" w:hAnsi="宋体" w:cs="宋体"/>
          <w:color w:val="auto"/>
          <w:sz w:val="28"/>
          <w:szCs w:val="28"/>
          <w:highlight w:val="none"/>
        </w:rPr>
        <w:t>目挂牌转让底价为</w:t>
      </w:r>
      <w:r>
        <w:rPr>
          <w:rFonts w:hint="eastAsia" w:ascii="宋体" w:hAnsi="宋体" w:cs="宋体"/>
          <w:color w:val="auto"/>
          <w:sz w:val="28"/>
          <w:szCs w:val="28"/>
          <w:highlight w:val="none"/>
          <w:lang w:val="en-US" w:eastAsia="zh-CN"/>
        </w:rPr>
        <w:t>人民币63200万</w:t>
      </w:r>
      <w:r>
        <w:rPr>
          <w:rFonts w:hint="eastAsia" w:ascii="宋体" w:hAnsi="宋体" w:cs="宋体"/>
          <w:color w:val="auto"/>
          <w:sz w:val="28"/>
          <w:szCs w:val="28"/>
          <w:highlight w:val="none"/>
        </w:rPr>
        <w:t>元，其中标的公司100%股权对应转让底价为人民币</w:t>
      </w:r>
      <w:r>
        <w:rPr>
          <w:rFonts w:hint="eastAsia" w:ascii="宋体" w:hAnsi="宋体" w:cs="宋体"/>
          <w:color w:val="auto"/>
          <w:sz w:val="28"/>
          <w:szCs w:val="28"/>
          <w:highlight w:val="none"/>
          <w:lang w:val="en-US" w:eastAsia="zh-CN"/>
        </w:rPr>
        <w:t>33600万</w:t>
      </w:r>
      <w:r>
        <w:rPr>
          <w:rFonts w:hint="eastAsia" w:ascii="宋体" w:hAnsi="宋体" w:cs="宋体"/>
          <w:color w:val="auto"/>
          <w:sz w:val="28"/>
          <w:szCs w:val="28"/>
          <w:highlight w:val="none"/>
        </w:rPr>
        <w:t>元，债权转让底价为人民币</w:t>
      </w:r>
      <w:r>
        <w:rPr>
          <w:rFonts w:hint="eastAsia" w:ascii="宋体" w:hAnsi="宋体" w:cs="宋体"/>
          <w:color w:val="auto"/>
          <w:sz w:val="28"/>
          <w:szCs w:val="28"/>
          <w:highlight w:val="none"/>
          <w:lang w:val="en-US" w:eastAsia="zh-CN"/>
        </w:rPr>
        <w:t>29600万</w:t>
      </w:r>
      <w:r>
        <w:rPr>
          <w:rFonts w:hint="eastAsia" w:ascii="宋体" w:hAnsi="宋体" w:cs="宋体"/>
          <w:color w:val="auto"/>
          <w:sz w:val="28"/>
          <w:szCs w:val="28"/>
          <w:highlight w:val="none"/>
        </w:rPr>
        <w:t>元。若产生竞价，成交价格的增值部分为股权价格的溢价。本项目不设保留价。</w:t>
      </w:r>
    </w:p>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val="0"/>
        <w:bidi w:val="0"/>
        <w:adjustRightInd w:val="0"/>
        <w:snapToGrid w:val="0"/>
        <w:spacing w:before="63" w:beforeLines="20" w:after="63" w:afterLines="20" w:line="500" w:lineRule="exact"/>
        <w:ind w:firstLine="562" w:firstLineChars="200"/>
        <w:textAlignment w:val="auto"/>
        <w:rPr>
          <w:rFonts w:ascii="宋体" w:hAnsi="宋体" w:cs="宋体"/>
          <w:b/>
          <w:bCs/>
          <w:color w:val="auto"/>
          <w:sz w:val="28"/>
          <w:szCs w:val="28"/>
          <w:highlight w:val="none"/>
        </w:rPr>
      </w:pPr>
      <w:r>
        <w:rPr>
          <w:rFonts w:hint="eastAsia" w:ascii="宋体" w:hAnsi="宋体" w:cs="宋体"/>
          <w:b/>
          <w:bCs/>
          <w:color w:val="auto"/>
          <w:sz w:val="28"/>
          <w:szCs w:val="28"/>
          <w:highlight w:val="none"/>
        </w:rPr>
        <w:t>八、与转让相关的其他条件</w:t>
      </w:r>
    </w:p>
    <w:p>
      <w:pPr>
        <w:pBdr>
          <w:top w:val="none" w:color="000000" w:sz="0" w:space="0"/>
          <w:left w:val="none" w:color="000000" w:sz="0" w:space="0"/>
          <w:bottom w:val="none" w:color="000000" w:sz="0" w:space="0"/>
          <w:right w:val="none" w:color="000000" w:sz="0" w:space="0"/>
        </w:pBdr>
        <w:autoSpaceDN w:val="0"/>
        <w:adjustRightInd w:val="0"/>
        <w:snapToGrid w:val="0"/>
        <w:spacing w:line="500" w:lineRule="exact"/>
        <w:ind w:firstLine="420" w:firstLineChars="150"/>
        <w:rPr>
          <w:rFonts w:ascii="宋体" w:hAnsi="宋体" w:cs="宋体"/>
          <w:color w:val="auto"/>
          <w:sz w:val="28"/>
          <w:szCs w:val="28"/>
          <w:highlight w:val="none"/>
        </w:rPr>
      </w:pPr>
      <w:r>
        <w:rPr>
          <w:rFonts w:hint="eastAsia" w:ascii="宋体" w:hAnsi="宋体" w:cs="宋体"/>
          <w:color w:val="auto"/>
          <w:sz w:val="28"/>
          <w:szCs w:val="28"/>
          <w:highlight w:val="none"/>
        </w:rPr>
        <w:t>（一）</w:t>
      </w:r>
      <w:r>
        <w:rPr>
          <w:rFonts w:hint="eastAsia" w:ascii="宋体" w:hAnsi="宋体" w:cs="宋体"/>
          <w:b/>
          <w:bCs/>
          <w:color w:val="auto"/>
          <w:sz w:val="28"/>
          <w:szCs w:val="28"/>
          <w:highlight w:val="none"/>
        </w:rPr>
        <w:t>其他交易款项</w:t>
      </w:r>
      <w:r>
        <w:rPr>
          <w:rFonts w:hint="eastAsia" w:ascii="宋体" w:hAnsi="宋体" w:cs="宋体"/>
          <w:color w:val="auto"/>
          <w:sz w:val="28"/>
          <w:szCs w:val="28"/>
          <w:highlight w:val="none"/>
        </w:rPr>
        <w:t>：包括新增4000万元债权本金、2.96亿元债权及新增4000万元债权本金产生的利息。受让方在受让本次产权的同时须一并付清前述两笔款项，未支付前述两笔款项的视为转让价款未及时付清，转让方有权解除产权交易合同并没收保证金。具体如下：</w:t>
      </w:r>
    </w:p>
    <w:p>
      <w:pPr>
        <w:pBdr>
          <w:top w:val="none" w:color="000000" w:sz="0" w:space="0"/>
          <w:left w:val="none" w:color="000000" w:sz="0" w:space="0"/>
          <w:bottom w:val="none" w:color="000000" w:sz="0" w:space="0"/>
          <w:right w:val="none" w:color="000000" w:sz="0" w:space="0"/>
        </w:pBdr>
        <w:autoSpaceDN w:val="0"/>
        <w:adjustRightInd w:val="0"/>
        <w:snapToGrid w:val="0"/>
        <w:spacing w:line="500" w:lineRule="exact"/>
        <w:ind w:firstLine="420" w:firstLineChars="150"/>
        <w:rPr>
          <w:rFonts w:ascii="宋体" w:hAnsi="宋体" w:cs="宋体"/>
          <w:color w:val="auto"/>
          <w:sz w:val="28"/>
          <w:szCs w:val="28"/>
          <w:highlight w:val="none"/>
        </w:rPr>
      </w:pPr>
      <w:r>
        <w:rPr>
          <w:rFonts w:hint="eastAsia" w:ascii="宋体" w:hAnsi="宋体" w:cs="宋体"/>
          <w:color w:val="auto"/>
          <w:sz w:val="28"/>
          <w:szCs w:val="28"/>
          <w:highlight w:val="none"/>
        </w:rPr>
        <w:t>（1）新增4000万元债权：</w:t>
      </w:r>
    </w:p>
    <w:p>
      <w:pPr>
        <w:pBdr>
          <w:top w:val="none" w:color="000000" w:sz="0" w:space="0"/>
          <w:left w:val="none" w:color="000000" w:sz="0" w:space="0"/>
          <w:bottom w:val="none" w:color="000000" w:sz="0" w:space="0"/>
          <w:right w:val="none" w:color="000000" w:sz="0" w:space="0"/>
        </w:pBdr>
        <w:autoSpaceDN w:val="0"/>
        <w:adjustRightInd w:val="0"/>
        <w:snapToGrid w:val="0"/>
        <w:spacing w:line="500" w:lineRule="exact"/>
        <w:ind w:firstLine="560" w:firstLineChars="200"/>
        <w:rPr>
          <w:rFonts w:hint="default" w:ascii="宋体" w:hAnsi="宋体" w:eastAsia="宋体" w:cs="宋体"/>
          <w:color w:val="auto"/>
          <w:sz w:val="28"/>
          <w:szCs w:val="28"/>
          <w:highlight w:val="none"/>
          <w:lang w:val="en-US" w:eastAsia="zh-CN"/>
        </w:rPr>
      </w:pPr>
      <w:r>
        <w:rPr>
          <w:rFonts w:hint="eastAsia" w:ascii="宋体" w:hAnsi="宋体" w:cs="宋体"/>
          <w:color w:val="auto"/>
          <w:sz w:val="28"/>
          <w:szCs w:val="28"/>
          <w:highlight w:val="none"/>
        </w:rPr>
        <w:t>本次产权转让预公告至转让期间，转让方对标的公司新增一笔4000万元债权，期限为2021年8月4日至2021年11月3日，年利率5.8%。此笔债权计价人民币4000万元</w:t>
      </w:r>
      <w:r>
        <w:rPr>
          <w:rFonts w:hint="eastAsia" w:ascii="宋体" w:hAnsi="宋体" w:cs="宋体"/>
          <w:color w:val="auto"/>
          <w:sz w:val="28"/>
          <w:szCs w:val="28"/>
          <w:highlight w:val="none"/>
          <w:lang w:eastAsia="zh-CN"/>
        </w:rPr>
        <w:t>，</w:t>
      </w:r>
      <w:r>
        <w:rPr>
          <w:rFonts w:hint="eastAsia" w:ascii="宋体" w:hAnsi="宋体" w:cs="宋体"/>
          <w:color w:val="auto"/>
          <w:sz w:val="28"/>
          <w:szCs w:val="28"/>
          <w:highlight w:val="none"/>
          <w:lang w:val="en-US" w:eastAsia="zh-CN"/>
        </w:rPr>
        <w:t>受让方须在交纳交易款项时一并付清。</w:t>
      </w:r>
    </w:p>
    <w:p>
      <w:pPr>
        <w:pBdr>
          <w:top w:val="none" w:color="000000" w:sz="0" w:space="0"/>
          <w:left w:val="none" w:color="000000" w:sz="0" w:space="0"/>
          <w:bottom w:val="none" w:color="000000" w:sz="0" w:space="0"/>
          <w:right w:val="none" w:color="000000" w:sz="0" w:space="0"/>
        </w:pBdr>
        <w:autoSpaceDN w:val="0"/>
        <w:adjustRightInd w:val="0"/>
        <w:snapToGrid w:val="0"/>
        <w:spacing w:line="500" w:lineRule="exact"/>
        <w:ind w:firstLine="420" w:firstLineChars="150"/>
        <w:rPr>
          <w:rFonts w:ascii="宋体" w:hAnsi="宋体" w:cs="宋体"/>
          <w:color w:val="auto"/>
          <w:sz w:val="28"/>
          <w:szCs w:val="28"/>
          <w:highlight w:val="none"/>
        </w:rPr>
      </w:pPr>
      <w:r>
        <w:rPr>
          <w:rFonts w:hint="eastAsia" w:ascii="宋体" w:hAnsi="宋体" w:cs="宋体"/>
          <w:color w:val="auto"/>
          <w:sz w:val="28"/>
          <w:szCs w:val="28"/>
          <w:highlight w:val="none"/>
        </w:rPr>
        <w:t>（2）2.96亿元债权及新增4000万元债权本金产生的利息：</w:t>
      </w:r>
    </w:p>
    <w:p>
      <w:pPr>
        <w:spacing w:line="460" w:lineRule="exact"/>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①目前2.96亿元债权利息已结清至2021年7月31日，受让方须支付2.96亿元债权自2021年8月1日起算、至受让方交纳交易款项之日止的利息；②受让方须支付新增的4000万元债权自2021年8月4日起算、至受让方</w:t>
      </w:r>
      <w:r>
        <w:rPr>
          <w:rFonts w:hint="eastAsia" w:ascii="宋体" w:hAnsi="宋体" w:cs="宋体"/>
          <w:color w:val="auto"/>
          <w:sz w:val="28"/>
          <w:szCs w:val="28"/>
          <w:highlight w:val="none"/>
          <w:lang w:val="en-US" w:eastAsia="zh-CN"/>
        </w:rPr>
        <w:t>交纳</w:t>
      </w:r>
      <w:r>
        <w:rPr>
          <w:rFonts w:hint="eastAsia" w:ascii="宋体" w:hAnsi="宋体" w:cs="宋体"/>
          <w:color w:val="auto"/>
          <w:sz w:val="28"/>
          <w:szCs w:val="28"/>
          <w:highlight w:val="none"/>
        </w:rPr>
        <w:t>交易款项之日止的利息。</w:t>
      </w:r>
    </w:p>
    <w:p>
      <w:pPr>
        <w:spacing w:line="460" w:lineRule="exact"/>
        <w:ind w:firstLine="560" w:firstLineChars="200"/>
        <w:rPr>
          <w:rFonts w:ascii="宋体" w:hAnsi="宋体"/>
          <w:color w:val="auto"/>
          <w:kern w:val="0"/>
          <w:sz w:val="28"/>
          <w:szCs w:val="28"/>
          <w:highlight w:val="none"/>
        </w:rPr>
      </w:pPr>
      <w:r>
        <w:rPr>
          <w:rFonts w:hint="eastAsia" w:ascii="宋体" w:hAnsi="宋体"/>
          <w:color w:val="auto"/>
          <w:kern w:val="0"/>
          <w:sz w:val="28"/>
          <w:szCs w:val="28"/>
          <w:highlight w:val="none"/>
        </w:rPr>
        <w:t>利息计算公式：</w:t>
      </w:r>
      <w:r>
        <w:rPr>
          <w:rFonts w:hint="eastAsia" w:ascii="宋体" w:hAnsi="宋体" w:cs="宋体"/>
          <w:color w:val="auto"/>
          <w:sz w:val="28"/>
          <w:szCs w:val="28"/>
          <w:highlight w:val="none"/>
        </w:rPr>
        <w:t>利息=本金*年利率*天数/360，年利率为各债权《资金占用协议》约定的年利率。</w:t>
      </w:r>
    </w:p>
    <w:p>
      <w:pPr>
        <w:autoSpaceDE w:val="0"/>
        <w:autoSpaceDN w:val="0"/>
        <w:adjustRightInd w:val="0"/>
        <w:spacing w:line="500" w:lineRule="exact"/>
        <w:ind w:firstLine="560" w:firstLineChars="200"/>
        <w:jc w:val="left"/>
        <w:rPr>
          <w:rFonts w:ascii="宋体" w:hAnsi="宋体" w:cs="宋体"/>
          <w:color w:val="auto"/>
          <w:sz w:val="28"/>
          <w:szCs w:val="28"/>
          <w:highlight w:val="none"/>
        </w:rPr>
      </w:pPr>
      <w:r>
        <w:rPr>
          <w:rFonts w:hint="eastAsia" w:ascii="宋体" w:hAnsi="宋体" w:cs="宋体"/>
          <w:color w:val="auto"/>
          <w:sz w:val="28"/>
          <w:szCs w:val="28"/>
          <w:highlight w:val="none"/>
        </w:rPr>
        <w:t>（二）受让方受让2.96亿元债权及新增4000万元债权后，自行与标的公司进行债权债务处理，与转让方无涉。</w:t>
      </w:r>
    </w:p>
    <w:p>
      <w:pPr>
        <w:pBdr>
          <w:top w:val="none" w:color="000000" w:sz="0" w:space="0"/>
          <w:left w:val="none" w:color="000000" w:sz="0" w:space="0"/>
          <w:bottom w:val="none" w:color="000000" w:sz="0" w:space="0"/>
          <w:right w:val="none" w:color="000000" w:sz="0" w:space="0"/>
        </w:pBdr>
        <w:autoSpaceDN w:val="0"/>
        <w:adjustRightInd w:val="0"/>
        <w:snapToGrid w:val="0"/>
        <w:spacing w:line="500" w:lineRule="exact"/>
        <w:ind w:firstLine="560" w:firstLineChars="200"/>
        <w:rPr>
          <w:color w:val="auto"/>
          <w:sz w:val="28"/>
          <w:szCs w:val="28"/>
          <w:highlight w:val="none"/>
        </w:rPr>
      </w:pPr>
      <w:r>
        <w:rPr>
          <w:rFonts w:hint="eastAsia"/>
          <w:color w:val="auto"/>
          <w:sz w:val="28"/>
          <w:szCs w:val="28"/>
          <w:highlight w:val="none"/>
        </w:rPr>
        <w:t>（三）</w:t>
      </w:r>
      <w:r>
        <w:rPr>
          <w:rFonts w:hint="eastAsia" w:ascii="宋体" w:hAnsi="宋体" w:cs="宋体"/>
          <w:color w:val="auto"/>
          <w:sz w:val="28"/>
          <w:szCs w:val="28"/>
          <w:highlight w:val="none"/>
        </w:rPr>
        <w:t>标的公司持有的五宗地块的开工日期</w:t>
      </w:r>
      <w:r>
        <w:rPr>
          <w:rFonts w:hint="eastAsia"/>
          <w:color w:val="auto"/>
          <w:sz w:val="28"/>
          <w:szCs w:val="28"/>
          <w:highlight w:val="none"/>
        </w:rPr>
        <w:t>均已超过《国有建设用地使用权出让合同》中约定的开工日期，因超过约定的开工日期开工而可能产生的土地闲置费、开工、延建违约金等，由受让方自行评估并承担。</w:t>
      </w:r>
    </w:p>
    <w:p>
      <w:pPr>
        <w:pBdr>
          <w:top w:val="none" w:color="000000" w:sz="0" w:space="0"/>
          <w:left w:val="none" w:color="000000" w:sz="0" w:space="0"/>
          <w:bottom w:val="none" w:color="000000" w:sz="0" w:space="0"/>
          <w:right w:val="none" w:color="000000" w:sz="0" w:space="0"/>
        </w:pBdr>
        <w:autoSpaceDN w:val="0"/>
        <w:adjustRightInd w:val="0"/>
        <w:snapToGrid w:val="0"/>
        <w:spacing w:line="500" w:lineRule="exact"/>
        <w:ind w:firstLine="560" w:firstLineChars="200"/>
        <w:rPr>
          <w:color w:val="auto"/>
          <w:sz w:val="28"/>
          <w:szCs w:val="28"/>
          <w:highlight w:val="none"/>
        </w:rPr>
      </w:pPr>
      <w:r>
        <w:rPr>
          <w:rFonts w:hint="eastAsia" w:ascii="宋体" w:hAnsi="宋体"/>
          <w:color w:val="auto"/>
          <w:sz w:val="28"/>
          <w:szCs w:val="28"/>
          <w:highlight w:val="none"/>
        </w:rPr>
        <w:t>高塘路两侧沿街商服2</w:t>
      </w:r>
      <w:r>
        <w:rPr>
          <w:rFonts w:hint="eastAsia" w:ascii="宋体" w:hAnsi="宋体"/>
          <w:color w:val="auto"/>
          <w:sz w:val="28"/>
          <w:szCs w:val="28"/>
          <w:highlight w:val="none"/>
          <w:vertAlign w:val="superscript"/>
        </w:rPr>
        <w:t>#</w:t>
      </w:r>
      <w:r>
        <w:rPr>
          <w:rFonts w:hint="eastAsia" w:ascii="宋体" w:hAnsi="宋体"/>
          <w:color w:val="auto"/>
          <w:sz w:val="28"/>
          <w:szCs w:val="28"/>
          <w:highlight w:val="none"/>
        </w:rPr>
        <w:t>地块、3</w:t>
      </w:r>
      <w:r>
        <w:rPr>
          <w:rFonts w:hint="eastAsia" w:ascii="宋体" w:hAnsi="宋体"/>
          <w:color w:val="auto"/>
          <w:sz w:val="28"/>
          <w:szCs w:val="28"/>
          <w:highlight w:val="none"/>
          <w:vertAlign w:val="superscript"/>
        </w:rPr>
        <w:t>#</w:t>
      </w:r>
      <w:r>
        <w:rPr>
          <w:rFonts w:hint="eastAsia" w:ascii="宋体" w:hAnsi="宋体"/>
          <w:color w:val="auto"/>
          <w:sz w:val="28"/>
          <w:szCs w:val="28"/>
          <w:highlight w:val="none"/>
        </w:rPr>
        <w:t>地块、4</w:t>
      </w:r>
      <w:r>
        <w:rPr>
          <w:rFonts w:hint="eastAsia" w:ascii="宋体" w:hAnsi="宋体"/>
          <w:color w:val="auto"/>
          <w:sz w:val="28"/>
          <w:szCs w:val="28"/>
          <w:highlight w:val="none"/>
          <w:vertAlign w:val="superscript"/>
        </w:rPr>
        <w:t>#</w:t>
      </w:r>
      <w:r>
        <w:rPr>
          <w:rFonts w:hint="eastAsia" w:ascii="宋体" w:hAnsi="宋体"/>
          <w:color w:val="auto"/>
          <w:sz w:val="28"/>
          <w:szCs w:val="28"/>
          <w:highlight w:val="none"/>
        </w:rPr>
        <w:t>地块的竣工日期</w:t>
      </w:r>
      <w:r>
        <w:rPr>
          <w:rFonts w:hint="eastAsia"/>
          <w:color w:val="auto"/>
          <w:sz w:val="28"/>
          <w:szCs w:val="28"/>
          <w:highlight w:val="none"/>
        </w:rPr>
        <w:t>均已超过《国有建设用地使用权出让合同》中约定的</w:t>
      </w:r>
      <w:r>
        <w:rPr>
          <w:rFonts w:hint="eastAsia" w:ascii="宋体" w:hAnsi="宋体"/>
          <w:color w:val="auto"/>
          <w:sz w:val="28"/>
          <w:szCs w:val="28"/>
          <w:highlight w:val="none"/>
        </w:rPr>
        <w:t>竣工日期。龙祈路北侧沿街商服A地块</w:t>
      </w:r>
      <w:r>
        <w:rPr>
          <w:rFonts w:hint="eastAsia"/>
          <w:color w:val="auto"/>
          <w:sz w:val="28"/>
          <w:szCs w:val="28"/>
          <w:highlight w:val="none"/>
        </w:rPr>
        <w:t>约定的竣工日期为2021年12月20日，</w:t>
      </w:r>
      <w:r>
        <w:rPr>
          <w:rFonts w:hint="eastAsia" w:ascii="宋体" w:hAnsi="宋体"/>
          <w:color w:val="auto"/>
          <w:sz w:val="28"/>
          <w:szCs w:val="28"/>
          <w:highlight w:val="none"/>
        </w:rPr>
        <w:t>龙祈路北侧沿街商服B地块</w:t>
      </w:r>
      <w:r>
        <w:rPr>
          <w:rFonts w:hint="eastAsia"/>
          <w:color w:val="auto"/>
          <w:sz w:val="28"/>
          <w:szCs w:val="28"/>
          <w:highlight w:val="none"/>
        </w:rPr>
        <w:t>约定的竣工日期为2023年6月19日，</w:t>
      </w:r>
      <w:r>
        <w:rPr>
          <w:rFonts w:hint="eastAsia" w:ascii="宋体" w:hAnsi="宋体"/>
          <w:color w:val="auto"/>
          <w:sz w:val="28"/>
          <w:szCs w:val="28"/>
          <w:highlight w:val="none"/>
        </w:rPr>
        <w:t>A地块、B地块</w:t>
      </w:r>
      <w:r>
        <w:rPr>
          <w:rFonts w:hint="eastAsia"/>
          <w:color w:val="auto"/>
          <w:sz w:val="28"/>
          <w:szCs w:val="28"/>
          <w:highlight w:val="none"/>
        </w:rPr>
        <w:t>亦存在延期竣工的风险</w:t>
      </w:r>
      <w:r>
        <w:rPr>
          <w:rFonts w:hint="eastAsia" w:ascii="宋体" w:hAnsi="宋体"/>
          <w:color w:val="auto"/>
          <w:sz w:val="28"/>
          <w:szCs w:val="28"/>
          <w:highlight w:val="none"/>
        </w:rPr>
        <w:t>。</w:t>
      </w:r>
      <w:r>
        <w:rPr>
          <w:rFonts w:hint="eastAsia"/>
          <w:color w:val="auto"/>
          <w:sz w:val="28"/>
          <w:szCs w:val="28"/>
          <w:highlight w:val="none"/>
        </w:rPr>
        <w:t>因超过约定的竣工日期竣工而可能产生的费用、违约金等，由受让方自行评估并承担。</w:t>
      </w:r>
    </w:p>
    <w:p>
      <w:pPr>
        <w:widowControl/>
        <w:shd w:val="clear" w:color="auto" w:fill="FFFFFF"/>
        <w:spacing w:line="500" w:lineRule="exact"/>
        <w:ind w:firstLine="560" w:firstLineChars="200"/>
        <w:jc w:val="left"/>
        <w:rPr>
          <w:color w:val="auto"/>
          <w:sz w:val="28"/>
          <w:szCs w:val="28"/>
          <w:highlight w:val="none"/>
        </w:rPr>
      </w:pPr>
      <w:r>
        <w:rPr>
          <w:rFonts w:hint="eastAsia" w:ascii="宋体" w:hAnsi="宋体"/>
          <w:color w:val="auto"/>
          <w:kern w:val="0"/>
          <w:sz w:val="28"/>
          <w:szCs w:val="28"/>
          <w:highlight w:val="none"/>
        </w:rPr>
        <w:t>★</w:t>
      </w:r>
      <w:r>
        <w:rPr>
          <w:rFonts w:hint="eastAsia" w:ascii="宋体" w:hAnsi="宋体" w:cs="宋体"/>
          <w:color w:val="auto"/>
          <w:sz w:val="28"/>
          <w:szCs w:val="28"/>
          <w:highlight w:val="none"/>
        </w:rPr>
        <w:t>在本次产权转让后，如发现在建工程及已完工的不动产存在质量瑕疵致使资产价值贬损的，转让方不承担任何责任，但转让方故意隐瞒转让前已明确发现的质量瑕疵除外。</w:t>
      </w:r>
    </w:p>
    <w:p>
      <w:pPr>
        <w:pBdr>
          <w:top w:val="none" w:color="000000" w:sz="0" w:space="0"/>
          <w:left w:val="none" w:color="000000" w:sz="0" w:space="0"/>
          <w:bottom w:val="none" w:color="000000" w:sz="0" w:space="0"/>
          <w:right w:val="none" w:color="000000" w:sz="0" w:space="0"/>
        </w:pBdr>
        <w:autoSpaceDN w:val="0"/>
        <w:adjustRightInd w:val="0"/>
        <w:snapToGrid w:val="0"/>
        <w:spacing w:line="500" w:lineRule="exact"/>
        <w:ind w:firstLine="560" w:firstLineChars="200"/>
        <w:rPr>
          <w:rFonts w:ascii="宋体" w:hAnsi="宋体" w:cs="宋体"/>
          <w:color w:val="auto"/>
          <w:sz w:val="28"/>
          <w:szCs w:val="28"/>
          <w:highlight w:val="none"/>
        </w:rPr>
      </w:pPr>
      <w:r>
        <w:rPr>
          <w:rFonts w:hint="eastAsia"/>
          <w:color w:val="auto"/>
          <w:sz w:val="28"/>
          <w:szCs w:val="28"/>
          <w:highlight w:val="none"/>
        </w:rPr>
        <w:t>（四）</w:t>
      </w:r>
      <w:r>
        <w:rPr>
          <w:rFonts w:hint="eastAsia" w:ascii="宋体" w:hAnsi="宋体" w:cs="宋体"/>
          <w:color w:val="auto"/>
          <w:sz w:val="28"/>
          <w:szCs w:val="28"/>
          <w:highlight w:val="none"/>
        </w:rPr>
        <w:t>标的公司的资产评估基准日为2021年5月31日，标的公司资产评估后仍在从事正常的经营活动。评估基准日至产权移交日期间标的公司经营活动所产生的盈利或亏损，由受让后的股东享受或承担。</w:t>
      </w:r>
    </w:p>
    <w:p>
      <w:pPr>
        <w:pBdr>
          <w:top w:val="none" w:color="000000" w:sz="0" w:space="0"/>
          <w:left w:val="none" w:color="000000" w:sz="0" w:space="0"/>
          <w:bottom w:val="none" w:color="000000" w:sz="0" w:space="0"/>
          <w:right w:val="none" w:color="000000" w:sz="0" w:space="0"/>
        </w:pBdr>
        <w:autoSpaceDN w:val="0"/>
        <w:adjustRightInd w:val="0"/>
        <w:snapToGrid w:val="0"/>
        <w:spacing w:line="500" w:lineRule="exact"/>
        <w:ind w:firstLine="560" w:firstLineChars="200"/>
        <w:rPr>
          <w:color w:val="auto"/>
          <w:kern w:val="0"/>
          <w:sz w:val="28"/>
          <w:szCs w:val="28"/>
          <w:highlight w:val="none"/>
        </w:rPr>
      </w:pPr>
      <w:r>
        <w:rPr>
          <w:rFonts w:hint="eastAsia" w:ascii="宋体" w:hAnsi="宋体" w:cs="宋体"/>
          <w:color w:val="auto"/>
          <w:sz w:val="28"/>
          <w:szCs w:val="28"/>
          <w:highlight w:val="none"/>
        </w:rPr>
        <w:t>（五）</w:t>
      </w:r>
      <w:r>
        <w:rPr>
          <w:rFonts w:hint="eastAsia"/>
          <w:color w:val="auto"/>
          <w:kern w:val="0"/>
          <w:sz w:val="28"/>
          <w:szCs w:val="28"/>
          <w:highlight w:val="none"/>
        </w:rPr>
        <w:t>产权交易中涉及的税赋、有关费用，按国家有关规定由交易双方各自承担。</w:t>
      </w:r>
    </w:p>
    <w:p>
      <w:pPr>
        <w:pBdr>
          <w:top w:val="none" w:color="000000" w:sz="0" w:space="0"/>
          <w:left w:val="none" w:color="000000" w:sz="0" w:space="0"/>
          <w:bottom w:val="none" w:color="000000" w:sz="0" w:space="0"/>
          <w:right w:val="none" w:color="000000" w:sz="0" w:space="0"/>
        </w:pBdr>
        <w:autoSpaceDN w:val="0"/>
        <w:adjustRightInd w:val="0"/>
        <w:snapToGrid w:val="0"/>
        <w:spacing w:line="500" w:lineRule="exact"/>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（六）标的公司在义乌高和物业服务有限公司有</w:t>
      </w:r>
      <w:r>
        <w:rPr>
          <w:rFonts w:hint="eastAsia" w:ascii="宋体" w:hAnsi="宋体"/>
          <w:color w:val="auto"/>
          <w:kern w:val="0"/>
          <w:sz w:val="28"/>
          <w:szCs w:val="28"/>
          <w:highlight w:val="none"/>
        </w:rPr>
        <w:t>委派一名监事，本次产权转让后，该监事席位由受让方自行委任。</w:t>
      </w:r>
    </w:p>
    <w:p>
      <w:pPr>
        <w:keepNext w:val="0"/>
        <w:keepLines w:val="0"/>
        <w:pageBreakBefore w:val="0"/>
        <w:widowControl w:val="0"/>
        <w:kinsoku/>
        <w:wordWrap/>
        <w:overflowPunct/>
        <w:topLinePunct w:val="0"/>
        <w:autoSpaceDE/>
        <w:autoSpaceDN/>
        <w:bidi w:val="0"/>
        <w:adjustRightInd/>
        <w:snapToGrid/>
        <w:spacing w:before="63" w:beforeLines="20" w:after="63" w:afterLines="20" w:line="500" w:lineRule="exact"/>
        <w:ind w:firstLine="562" w:firstLineChars="200"/>
        <w:textAlignment w:val="auto"/>
        <w:rPr>
          <w:rFonts w:ascii="宋体" w:hAnsi="宋体" w:cs="宋体"/>
          <w:b/>
          <w:bCs/>
          <w:color w:val="auto"/>
          <w:sz w:val="28"/>
          <w:szCs w:val="28"/>
          <w:highlight w:val="none"/>
        </w:rPr>
      </w:pPr>
      <w:r>
        <w:rPr>
          <w:rFonts w:hint="eastAsia" w:ascii="宋体" w:hAnsi="宋体" w:cs="宋体"/>
          <w:b/>
          <w:bCs/>
          <w:color w:val="auto"/>
          <w:sz w:val="28"/>
          <w:szCs w:val="28"/>
          <w:highlight w:val="none"/>
        </w:rPr>
        <w:t>九、其他重要事项</w:t>
      </w:r>
    </w:p>
    <w:p>
      <w:pPr>
        <w:pBdr>
          <w:top w:val="none" w:color="000000" w:sz="0" w:space="0"/>
          <w:left w:val="none" w:color="000000" w:sz="0" w:space="0"/>
          <w:bottom w:val="none" w:color="000000" w:sz="0" w:space="0"/>
          <w:right w:val="none" w:color="000000" w:sz="0" w:space="0"/>
        </w:pBdr>
        <w:autoSpaceDN w:val="0"/>
        <w:adjustRightInd w:val="0"/>
        <w:snapToGrid w:val="0"/>
        <w:spacing w:line="500" w:lineRule="exact"/>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一）标的公司于2018年竞拍获得义乌高新区龙祈路北侧沿街商服A地块的土地使用权（合同编号330782-2018-A21-107），合同出让面积6182.77平方米，不动产权证载面积6155.62平方米，差异为27.15平方米，导致差异的原因是由于该地块红线与浙江欧意智能厨房股份有限公司、义乌市泓溢针织有限公司地块红线重叠，总重叠面积27.15平方米，其中浙江欧意智能厨房股份有限公司重叠面积20.99平方米，义乌市泓溢针织有限公司重叠面积6.16平方米。标的公司声明放弃该部分重叠面积。</w:t>
      </w:r>
    </w:p>
    <w:p>
      <w:pPr>
        <w:pBdr>
          <w:top w:val="none" w:color="000000" w:sz="0" w:space="0"/>
          <w:left w:val="none" w:color="000000" w:sz="0" w:space="0"/>
          <w:bottom w:val="none" w:color="000000" w:sz="0" w:space="0"/>
          <w:right w:val="none" w:color="000000" w:sz="0" w:space="0"/>
        </w:pBdr>
        <w:autoSpaceDN w:val="0"/>
        <w:adjustRightInd w:val="0"/>
        <w:snapToGrid w:val="0"/>
        <w:spacing w:line="500" w:lineRule="exact"/>
        <w:ind w:firstLine="560" w:firstLineChars="200"/>
        <w:rPr>
          <w:rFonts w:ascii="宋体" w:hAnsi="宋体" w:cs="宋体"/>
          <w:color w:val="auto"/>
          <w:sz w:val="28"/>
          <w:szCs w:val="28"/>
          <w:highlight w:val="none"/>
        </w:rPr>
      </w:pPr>
      <w:r>
        <w:rPr>
          <w:rFonts w:hint="eastAsia"/>
          <w:color w:val="auto"/>
          <w:kern w:val="0"/>
          <w:sz w:val="28"/>
          <w:szCs w:val="28"/>
          <w:highlight w:val="none"/>
        </w:rPr>
        <w:t>（二）</w:t>
      </w:r>
      <w:r>
        <w:rPr>
          <w:rFonts w:hint="eastAsia" w:ascii="宋体" w:hAnsi="宋体" w:cs="宋体"/>
          <w:color w:val="auto"/>
          <w:sz w:val="28"/>
          <w:szCs w:val="28"/>
          <w:highlight w:val="none"/>
        </w:rPr>
        <w:t>根据智汇大厦项目规划条件的规定，要求开发商自持建筑须不少于17000</w:t>
      </w:r>
      <w:r>
        <w:rPr>
          <w:rFonts w:hint="eastAsia" w:ascii="宋体" w:hAnsi="宋体"/>
          <w:color w:val="auto"/>
          <w:sz w:val="28"/>
          <w:szCs w:val="28"/>
          <w:highlight w:val="none"/>
        </w:rPr>
        <w:t xml:space="preserve"> m</w:t>
      </w:r>
      <w:r>
        <w:rPr>
          <w:rFonts w:hint="eastAsia" w:ascii="宋体" w:hAnsi="宋体"/>
          <w:color w:val="auto"/>
          <w:sz w:val="28"/>
          <w:szCs w:val="28"/>
          <w:highlight w:val="none"/>
          <w:vertAlign w:val="superscript"/>
        </w:rPr>
        <w:t>2</w:t>
      </w:r>
      <w:r>
        <w:rPr>
          <w:rFonts w:hint="eastAsia"/>
          <w:color w:val="auto"/>
          <w:kern w:val="0"/>
          <w:sz w:val="28"/>
          <w:szCs w:val="28"/>
          <w:highlight w:val="none"/>
        </w:rPr>
        <w:t>。现智汇大厦约83%商业用房为标的公司自持，</w:t>
      </w:r>
      <w:r>
        <w:rPr>
          <w:rFonts w:hint="eastAsia" w:ascii="宋体" w:hAnsi="宋体"/>
          <w:color w:val="auto"/>
          <w:sz w:val="28"/>
          <w:szCs w:val="28"/>
          <w:highlight w:val="none"/>
        </w:rPr>
        <w:t>建筑面积为17734.37m</w:t>
      </w:r>
      <w:r>
        <w:rPr>
          <w:rFonts w:hint="eastAsia" w:ascii="宋体" w:hAnsi="宋体"/>
          <w:color w:val="auto"/>
          <w:sz w:val="28"/>
          <w:szCs w:val="28"/>
          <w:highlight w:val="none"/>
          <w:vertAlign w:val="superscript"/>
        </w:rPr>
        <w:t>2</w:t>
      </w:r>
      <w:r>
        <w:rPr>
          <w:rFonts w:hint="eastAsia" w:ascii="宋体" w:hAnsi="宋体" w:cs="宋体"/>
          <w:color w:val="auto"/>
          <w:sz w:val="28"/>
          <w:szCs w:val="28"/>
          <w:highlight w:val="none"/>
        </w:rPr>
        <w:t>，该部分商业面积须永久自持，不得转让。</w:t>
      </w:r>
    </w:p>
    <w:p>
      <w:pPr>
        <w:pBdr>
          <w:top w:val="none" w:color="000000" w:sz="0" w:space="0"/>
          <w:left w:val="none" w:color="000000" w:sz="0" w:space="0"/>
          <w:bottom w:val="none" w:color="000000" w:sz="0" w:space="0"/>
          <w:right w:val="none" w:color="000000" w:sz="0" w:space="0"/>
        </w:pBdr>
        <w:autoSpaceDN w:val="0"/>
        <w:adjustRightInd w:val="0"/>
        <w:snapToGrid w:val="0"/>
        <w:spacing w:line="500" w:lineRule="exact"/>
        <w:ind w:firstLine="560" w:firstLineChars="200"/>
        <w:rPr>
          <w:rFonts w:ascii="宋体" w:hAnsi="宋体" w:cs="宋体"/>
          <w:color w:val="auto"/>
          <w:sz w:val="28"/>
          <w:szCs w:val="28"/>
          <w:highlight w:val="none"/>
        </w:rPr>
      </w:pPr>
      <w:r>
        <w:rPr>
          <w:rFonts w:hint="eastAsia"/>
          <w:color w:val="auto"/>
          <w:sz w:val="28"/>
          <w:szCs w:val="28"/>
          <w:highlight w:val="none"/>
        </w:rPr>
        <w:t>（三）智汇大厦商业楼已出租，</w:t>
      </w:r>
      <w:r>
        <w:rPr>
          <w:rFonts w:hint="eastAsia" w:ascii="宋体" w:hAnsi="宋体" w:cs="宋体"/>
          <w:color w:val="auto"/>
          <w:sz w:val="28"/>
          <w:szCs w:val="28"/>
          <w:highlight w:val="none"/>
        </w:rPr>
        <w:t>租赁期至2035年12月，承租方系</w:t>
      </w:r>
      <w:r>
        <w:rPr>
          <w:color w:val="auto"/>
          <w:highlight w:val="none"/>
        </w:rPr>
        <w:fldChar w:fldCharType="begin"/>
      </w:r>
      <w:r>
        <w:rPr>
          <w:color w:val="auto"/>
          <w:highlight w:val="none"/>
        </w:rPr>
        <w:instrText xml:space="preserve"> HYPERLINK "https://www.qixin.com/company/9059e2f8-53d9-4449-92fa-b284df05805a" \t "https://www.qixin.com/_blank" \o "点击查看公司详情" </w:instrText>
      </w:r>
      <w:r>
        <w:rPr>
          <w:color w:val="auto"/>
          <w:highlight w:val="none"/>
        </w:rPr>
        <w:fldChar w:fldCharType="separate"/>
      </w:r>
      <w:r>
        <w:rPr>
          <w:rFonts w:hint="eastAsia" w:ascii="宋体" w:hAnsi="宋体" w:cs="宋体"/>
          <w:color w:val="auto"/>
          <w:sz w:val="28"/>
          <w:szCs w:val="28"/>
          <w:highlight w:val="none"/>
        </w:rPr>
        <w:t>义乌市佳庭汇企业管理有限公司</w:t>
      </w:r>
      <w:r>
        <w:rPr>
          <w:rFonts w:hint="eastAsia" w:ascii="宋体" w:hAnsi="宋体" w:cs="宋体"/>
          <w:color w:val="auto"/>
          <w:sz w:val="28"/>
          <w:szCs w:val="28"/>
          <w:highlight w:val="none"/>
        </w:rPr>
        <w:fldChar w:fldCharType="end"/>
      </w:r>
      <w:r>
        <w:rPr>
          <w:rFonts w:hint="eastAsia" w:ascii="宋体" w:hAnsi="宋体" w:cs="宋体"/>
          <w:color w:val="auto"/>
          <w:sz w:val="28"/>
          <w:szCs w:val="28"/>
          <w:highlight w:val="none"/>
        </w:rPr>
        <w:t>。目前，承租方有拖欠标的公司水电费，对标的公司的借款有延期返还和未按期返还情况，经标的公司多次催缴，承租方仍未付清上述款项。对于上述款项催缴事宜，由转让后的标的公司自行与承租方处理。</w:t>
      </w:r>
    </w:p>
    <w:p>
      <w:pPr>
        <w:spacing w:line="500" w:lineRule="exact"/>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四）2019年12月，因智汇大厦项目商业部分亮化需要，承租方向标的公司提出对承租的商业部分进行亮化工程。经承租方介绍，标的公司进行市场比价，决定由黄山申航机电安装工程有限公司（以下简称“申航机电公司”）对智汇大厦项目商业部分进行亮化。当时确定亮化工程合同价格287058.60元，其中：外墙轮廓线条灯安装合同价186,772.00元，外墙七彩渐变点光源合同价为100,286.60元。标的公司提交议题并由转让方过会同意支付该笔28万余元费用。后承租方为追求整体美观，擅自将智汇大厦公寓楼部分一并做了亮化工程，因此产生了额外的10万余元费用，且因工期紧张，38万余元费用由承租方向申航机电公司垫付。后承租方向标的公司索取亮化工程的38万余元费用，因存在分歧，该问题一直未解决，且申航机电公司不同意标的公司提出的先由申航机电公司退还承租方28万元费用，再由标的公司和申航机电公司签订合同支付28万元费用的解决方案。</w:t>
      </w:r>
    </w:p>
    <w:p>
      <w:pPr>
        <w:spacing w:line="500" w:lineRule="exact"/>
        <w:rPr>
          <w:rFonts w:ascii="宋体" w:hAnsi="宋体" w:cs="宋体"/>
          <w:color w:val="auto"/>
          <w:sz w:val="28"/>
          <w:szCs w:val="28"/>
          <w:highlight w:val="none"/>
        </w:rPr>
      </w:pPr>
      <w:r>
        <w:rPr>
          <w:rFonts w:hint="eastAsia" w:ascii="宋体" w:hAnsi="宋体" w:cs="宋体"/>
          <w:color w:val="auto"/>
          <w:sz w:val="28"/>
          <w:szCs w:val="28"/>
          <w:highlight w:val="none"/>
        </w:rPr>
        <w:t>以上问题由受让后的标的公司自行与承租方、申航机电公司解决。</w:t>
      </w:r>
    </w:p>
    <w:p>
      <w:pPr>
        <w:spacing w:line="500" w:lineRule="exact"/>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五）标的公司已建成房产物业情况：智汇大厦由浙江成翔物业服务有限公司运营管理,签约至2021年6月30日。苏华街2#-4#商住楼由义乌高和物业服务有限公司运营管理,合同签约至2021年7月31日。截至本次产权转让正式公告日，物业合同均已到期，未续约。物业合同签订事宜由转让后的标的公司自行与物业公司协商解决。</w:t>
      </w:r>
    </w:p>
    <w:p>
      <w:pPr>
        <w:spacing w:line="500" w:lineRule="exact"/>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（六）受让方在受让该标的后，需按《公司法》规定规范构建法人治理体系，修改经营范围。</w:t>
      </w:r>
    </w:p>
    <w:p>
      <w:pPr>
        <w:adjustRightInd w:val="0"/>
        <w:snapToGrid w:val="0"/>
        <w:spacing w:line="500" w:lineRule="exact"/>
        <w:ind w:firstLine="560" w:firstLineChars="200"/>
        <w:rPr>
          <w:rFonts w:ascii="宋体" w:hAnsi="宋体" w:cs="宋体"/>
          <w:color w:val="auto"/>
          <w:sz w:val="28"/>
          <w:szCs w:val="28"/>
          <w:highlight w:val="none"/>
        </w:rPr>
      </w:pPr>
      <w:r>
        <w:rPr>
          <w:rFonts w:hint="eastAsia"/>
          <w:color w:val="auto"/>
          <w:kern w:val="0"/>
          <w:sz w:val="28"/>
          <w:szCs w:val="28"/>
          <w:highlight w:val="none"/>
        </w:rPr>
        <w:t>（七）本次产权转让不涉及职工安置问题</w:t>
      </w:r>
      <w:r>
        <w:rPr>
          <w:rFonts w:hint="eastAsia" w:ascii="宋体" w:hAnsi="宋体" w:cs="宋体"/>
          <w:color w:val="auto"/>
          <w:sz w:val="28"/>
          <w:szCs w:val="28"/>
          <w:highlight w:val="none"/>
        </w:rPr>
        <w:t>。</w:t>
      </w:r>
    </w:p>
    <w:p>
      <w:pPr>
        <w:spacing w:line="500" w:lineRule="exact"/>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（八）转让方及标的企业管理层不参与本次产权受让。</w:t>
      </w:r>
    </w:p>
    <w:p>
      <w:pPr>
        <w:spacing w:line="500" w:lineRule="exact"/>
        <w:ind w:firstLine="560" w:firstLineChars="200"/>
        <w:rPr>
          <w:rFonts w:ascii="宋体" w:hAnsi="宋体" w:cs="宋体"/>
          <w:color w:val="auto"/>
          <w:sz w:val="28"/>
          <w:szCs w:val="28"/>
          <w:highlight w:val="none"/>
        </w:rPr>
      </w:pPr>
      <w:r>
        <w:rPr>
          <w:rFonts w:ascii="宋体" w:hAnsi="宋体" w:cs="宋体"/>
          <w:color w:val="auto"/>
          <w:sz w:val="28"/>
          <w:szCs w:val="28"/>
          <w:highlight w:val="none"/>
        </w:rPr>
        <w:t>（</w:t>
      </w:r>
      <w:r>
        <w:rPr>
          <w:rFonts w:hint="eastAsia" w:ascii="宋体" w:hAnsi="宋体" w:cs="宋体"/>
          <w:color w:val="auto"/>
          <w:sz w:val="28"/>
          <w:szCs w:val="28"/>
          <w:highlight w:val="none"/>
        </w:rPr>
        <w:t>九</w:t>
      </w:r>
      <w:r>
        <w:rPr>
          <w:rFonts w:ascii="宋体" w:hAnsi="宋体" w:cs="宋体"/>
          <w:color w:val="auto"/>
          <w:sz w:val="28"/>
          <w:szCs w:val="28"/>
          <w:highlight w:val="none"/>
        </w:rPr>
        <w:t>）</w:t>
      </w:r>
      <w:r>
        <w:rPr>
          <w:rFonts w:hint="eastAsia" w:ascii="宋体" w:hAnsi="宋体" w:cs="宋体"/>
          <w:color w:val="auto"/>
          <w:sz w:val="28"/>
          <w:szCs w:val="28"/>
          <w:highlight w:val="none"/>
        </w:rPr>
        <w:t>审计报告和评估报告中的保留意见、重要提示、特别事项说明中涉及转让产权的提示提醒等内容见《审计报告》、《资产评估报告》。</w:t>
      </w:r>
    </w:p>
    <w:p>
      <w:pPr>
        <w:spacing w:line="500" w:lineRule="exact"/>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（十）标的公司财务交接完成后，转让方对财务交接前标的公司因财务处理瑕疵引起的小额损失（单笔5万元以下）不承担责任。</w:t>
      </w:r>
    </w:p>
    <w:p>
      <w:pPr>
        <w:spacing w:line="500" w:lineRule="exact"/>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（十一）标的公司完成交接后，受让方不得以转让方委派人员未尽勤勉义务造成标的公司损</w:t>
      </w:r>
      <w:r>
        <w:rPr>
          <w:rFonts w:hint="eastAsia" w:ascii="宋体" w:hAnsi="宋体" w:cs="宋体"/>
          <w:color w:val="auto"/>
          <w:sz w:val="28"/>
          <w:szCs w:val="28"/>
          <w:highlight w:val="none"/>
          <w:lang w:val="en-US" w:eastAsia="zh-CN"/>
        </w:rPr>
        <w:t>害</w:t>
      </w:r>
      <w:r>
        <w:rPr>
          <w:rFonts w:hint="eastAsia" w:ascii="宋体" w:hAnsi="宋体" w:cs="宋体"/>
          <w:color w:val="auto"/>
          <w:sz w:val="28"/>
          <w:szCs w:val="28"/>
          <w:highlight w:val="none"/>
        </w:rPr>
        <w:t>或者标的公司所签订合同的缺乏合理性为理由要求转让方承担责任，但有恶意损失标的公司利益的情形除外。</w:t>
      </w:r>
    </w:p>
    <w:p>
      <w:pPr>
        <w:spacing w:line="500" w:lineRule="exact"/>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（十二）本次转让如因不可抗力及政策性原因，导致挂牌中止，视为不成交，转让方和交易所不负任何责任。意向受让方不得向转让方、交易所追索竞买保证金利息及其他任何费用与责任。</w:t>
      </w:r>
    </w:p>
    <w:p>
      <w:pPr>
        <w:spacing w:line="500" w:lineRule="exact"/>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（十三）本次所转让的产权的真实性、完整性及有效性由转让方负责，交易所不负任何责任。</w:t>
      </w:r>
    </w:p>
    <w:p>
      <w:pPr>
        <w:spacing w:line="500" w:lineRule="exact"/>
        <w:ind w:firstLine="560" w:firstLineChars="200"/>
        <w:rPr>
          <w:color w:val="auto"/>
          <w:kern w:val="0"/>
          <w:sz w:val="28"/>
          <w:szCs w:val="28"/>
          <w:highlight w:val="none"/>
        </w:rPr>
      </w:pPr>
      <w:r>
        <w:rPr>
          <w:rFonts w:hint="eastAsia" w:ascii="宋体" w:hAnsi="宋体" w:cs="宋体"/>
          <w:color w:val="auto"/>
          <w:sz w:val="28"/>
          <w:szCs w:val="28"/>
          <w:highlight w:val="none"/>
        </w:rPr>
        <w:t>（十四）送达地址确认：意向受让方在报名时按交易所提供的格式书写并确认其邮件地址。意向受让方在报名时所填写的送达地址不得拒收，若拒收，仍视为邮件已送达。意向受让方变更送达地址的，应当及时告知，否则仍视为原地址送达。</w:t>
      </w:r>
    </w:p>
    <w:p>
      <w:pPr>
        <w:keepNext w:val="0"/>
        <w:keepLines w:val="0"/>
        <w:pageBreakBefore w:val="0"/>
        <w:widowControl w:val="0"/>
        <w:kinsoku/>
        <w:wordWrap/>
        <w:overflowPunct/>
        <w:topLinePunct w:val="0"/>
        <w:autoSpaceDE/>
        <w:autoSpaceDN/>
        <w:bidi w:val="0"/>
        <w:adjustRightInd/>
        <w:snapToGrid/>
        <w:spacing w:before="63" w:beforeLines="20" w:after="63" w:afterLines="20" w:line="500" w:lineRule="exact"/>
        <w:ind w:firstLine="562" w:firstLineChars="200"/>
        <w:textAlignment w:val="auto"/>
        <w:rPr>
          <w:rFonts w:ascii="宋体" w:hAnsi="宋体" w:cs="宋体"/>
          <w:b/>
          <w:bCs/>
          <w:color w:val="auto"/>
          <w:sz w:val="28"/>
          <w:szCs w:val="28"/>
          <w:highlight w:val="none"/>
        </w:rPr>
      </w:pPr>
      <w:r>
        <w:rPr>
          <w:rFonts w:hint="eastAsia" w:ascii="宋体" w:hAnsi="宋体" w:cs="宋体"/>
          <w:b/>
          <w:bCs/>
          <w:color w:val="auto"/>
          <w:sz w:val="28"/>
          <w:szCs w:val="28"/>
          <w:highlight w:val="none"/>
        </w:rPr>
        <w:t>十、转让方式、受让对象、义乌公共资源交易平台要求</w:t>
      </w:r>
    </w:p>
    <w:p>
      <w:pPr>
        <w:spacing w:line="500" w:lineRule="exact"/>
        <w:ind w:left="420" w:leftChars="200"/>
        <w:rPr>
          <w:rFonts w:ascii="宋体" w:hAnsi="宋体" w:cs="宋体"/>
          <w:color w:val="auto"/>
          <w:sz w:val="28"/>
          <w:szCs w:val="28"/>
          <w:highlight w:val="none"/>
        </w:rPr>
      </w:pPr>
      <w:r>
        <w:rPr>
          <w:rFonts w:hint="eastAsia" w:ascii="宋体" w:hAnsi="宋体" w:cs="宋体"/>
          <w:color w:val="auto"/>
          <w:sz w:val="28"/>
          <w:szCs w:val="28"/>
          <w:highlight w:val="none"/>
        </w:rPr>
        <w:t>（一）</w:t>
      </w:r>
      <w:r>
        <w:rPr>
          <w:rFonts w:hint="eastAsia" w:ascii="宋体" w:hAnsi="宋体" w:cs="宋体"/>
          <w:b/>
          <w:color w:val="auto"/>
          <w:sz w:val="28"/>
          <w:szCs w:val="28"/>
          <w:highlight w:val="none"/>
        </w:rPr>
        <w:t>转让方式</w:t>
      </w:r>
      <w:r>
        <w:rPr>
          <w:rFonts w:hint="eastAsia" w:ascii="宋体" w:hAnsi="宋体" w:cs="宋体"/>
          <w:color w:val="auto"/>
          <w:sz w:val="28"/>
          <w:szCs w:val="28"/>
          <w:highlight w:val="none"/>
        </w:rPr>
        <w:t>：采用公开挂牌竞价（网络竞价）方式。</w:t>
      </w:r>
      <w:r>
        <w:rPr>
          <w:rFonts w:ascii="宋体" w:hAnsi="宋体" w:cs="宋体"/>
          <w:color w:val="auto"/>
          <w:sz w:val="28"/>
          <w:szCs w:val="28"/>
          <w:highlight w:val="none"/>
        </w:rPr>
        <w:br w:type="textWrapping"/>
      </w:r>
      <w:r>
        <w:rPr>
          <w:rFonts w:ascii="宋体" w:hAnsi="宋体" w:cs="宋体"/>
          <w:color w:val="auto"/>
          <w:sz w:val="28"/>
          <w:szCs w:val="28"/>
          <w:highlight w:val="none"/>
        </w:rPr>
        <w:t>（二）</w:t>
      </w:r>
      <w:r>
        <w:rPr>
          <w:rFonts w:ascii="宋体" w:hAnsi="宋体" w:cs="宋体"/>
          <w:b/>
          <w:color w:val="auto"/>
          <w:sz w:val="28"/>
          <w:szCs w:val="28"/>
          <w:highlight w:val="none"/>
        </w:rPr>
        <w:t>受让对象</w:t>
      </w:r>
      <w:r>
        <w:rPr>
          <w:rFonts w:ascii="宋体" w:hAnsi="宋体" w:cs="宋体"/>
          <w:color w:val="auto"/>
          <w:sz w:val="28"/>
          <w:szCs w:val="28"/>
          <w:highlight w:val="none"/>
        </w:rPr>
        <w:t>：</w:t>
      </w:r>
    </w:p>
    <w:p>
      <w:pPr>
        <w:pStyle w:val="11"/>
        <w:spacing w:line="500" w:lineRule="exact"/>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1.意向受让方应为在中华人民共和国境内合法注册的企业；意向受让方为自然人的，应当具备完全民事行为能力。</w:t>
      </w:r>
    </w:p>
    <w:p>
      <w:pPr>
        <w:pStyle w:val="11"/>
        <w:spacing w:line="500" w:lineRule="exact"/>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2.意向受让方为境外投资者的，应当符合外商投资产业指导目录和负面清单管理要求，以及外商投资安全审查有关规定。</w:t>
      </w:r>
    </w:p>
    <w:p>
      <w:pPr>
        <w:pStyle w:val="11"/>
        <w:spacing w:line="500" w:lineRule="exact"/>
        <w:ind w:firstLine="560" w:firstLineChars="200"/>
        <w:rPr>
          <w:rFonts w:ascii="宋体" w:hAnsi="宋体" w:eastAsia="宋体" w:cs="宋体"/>
          <w:color w:val="auto"/>
          <w:sz w:val="28"/>
          <w:szCs w:val="28"/>
          <w:highlight w:val="none"/>
        </w:rPr>
      </w:pPr>
      <w:r>
        <w:rPr>
          <w:rFonts w:ascii="宋体" w:hAnsi="宋体" w:cs="宋体"/>
          <w:color w:val="auto"/>
          <w:sz w:val="28"/>
          <w:szCs w:val="28"/>
          <w:highlight w:val="none"/>
        </w:rPr>
        <w:t>（</w:t>
      </w:r>
      <w:r>
        <w:rPr>
          <w:rFonts w:hint="eastAsia" w:ascii="宋体" w:hAnsi="宋体" w:eastAsia="宋体" w:cs="宋体"/>
          <w:color w:val="auto"/>
          <w:sz w:val="28"/>
          <w:szCs w:val="28"/>
          <w:highlight w:val="none"/>
        </w:rPr>
        <w:t>三</w:t>
      </w:r>
      <w:r>
        <w:rPr>
          <w:rFonts w:ascii="宋体" w:hAnsi="宋体" w:cs="宋体"/>
          <w:color w:val="auto"/>
          <w:sz w:val="28"/>
          <w:szCs w:val="28"/>
          <w:highlight w:val="none"/>
        </w:rPr>
        <w:t>）</w:t>
      </w:r>
      <w:r>
        <w:rPr>
          <w:rFonts w:hint="eastAsia" w:ascii="宋体" w:hAnsi="宋体" w:eastAsia="宋体" w:cs="宋体"/>
          <w:color w:val="auto"/>
          <w:sz w:val="28"/>
          <w:szCs w:val="28"/>
          <w:highlight w:val="none"/>
        </w:rPr>
        <w:t>义乌市公共资源交易平台要求：</w:t>
      </w:r>
    </w:p>
    <w:p>
      <w:pPr>
        <w:spacing w:line="500" w:lineRule="exact"/>
        <w:ind w:firstLine="560" w:firstLineChars="200"/>
        <w:jc w:val="left"/>
        <w:rPr>
          <w:rFonts w:ascii="宋体" w:hAnsi="宋体"/>
          <w:color w:val="auto"/>
          <w:kern w:val="0"/>
          <w:sz w:val="28"/>
          <w:szCs w:val="28"/>
          <w:highlight w:val="none"/>
        </w:rPr>
      </w:pPr>
      <w:r>
        <w:rPr>
          <w:rFonts w:hint="eastAsia" w:ascii="宋体" w:hAnsi="宋体"/>
          <w:color w:val="auto"/>
          <w:kern w:val="0"/>
          <w:sz w:val="28"/>
          <w:szCs w:val="28"/>
          <w:highlight w:val="none"/>
        </w:rPr>
        <w:t>1.根据《义乌市个人信用管理办法（试行）》（义政办发[2017]112号）、《关于在全市公共资源交易活动中应用信用报告的通知》（义行服管[2017]17号）规定，信用积分在50分以下的个人、信用等级为E类的企业，不得参与项目报名。</w:t>
      </w:r>
    </w:p>
    <w:p>
      <w:pPr>
        <w:spacing w:line="500" w:lineRule="exact"/>
        <w:ind w:firstLine="560" w:firstLineChars="200"/>
        <w:jc w:val="left"/>
        <w:rPr>
          <w:rFonts w:ascii="宋体" w:hAnsi="宋体" w:cs="宋体"/>
          <w:color w:val="auto"/>
          <w:sz w:val="28"/>
          <w:szCs w:val="28"/>
          <w:highlight w:val="none"/>
        </w:rPr>
      </w:pPr>
      <w:r>
        <w:rPr>
          <w:rFonts w:hint="eastAsia" w:ascii="宋体" w:hAnsi="宋体"/>
          <w:color w:val="auto"/>
          <w:kern w:val="0"/>
          <w:sz w:val="28"/>
          <w:szCs w:val="28"/>
          <w:highlight w:val="none"/>
        </w:rPr>
        <w:t>2.根据《关于在全市公共资源交易活动中实施行贿犯罪记录查询的通知》，自2018年1月1日起至成交公告发布日期间，意向受让方须无行贿犯罪记录。</w:t>
      </w:r>
    </w:p>
    <w:p>
      <w:pPr>
        <w:keepNext w:val="0"/>
        <w:keepLines w:val="0"/>
        <w:pageBreakBefore w:val="0"/>
        <w:widowControl w:val="0"/>
        <w:kinsoku/>
        <w:wordWrap/>
        <w:overflowPunct/>
        <w:topLinePunct w:val="0"/>
        <w:autoSpaceDE/>
        <w:autoSpaceDN/>
        <w:bidi w:val="0"/>
        <w:adjustRightInd/>
        <w:snapToGrid/>
        <w:spacing w:before="63" w:beforeLines="20" w:after="63" w:afterLines="20" w:line="500" w:lineRule="exact"/>
        <w:ind w:firstLine="562" w:firstLineChars="200"/>
        <w:textAlignment w:val="auto"/>
        <w:rPr>
          <w:rFonts w:ascii="宋体" w:hAnsi="宋体" w:cs="宋体"/>
          <w:b/>
          <w:bCs/>
          <w:color w:val="auto"/>
          <w:sz w:val="28"/>
          <w:szCs w:val="28"/>
          <w:highlight w:val="none"/>
        </w:rPr>
      </w:pPr>
      <w:r>
        <w:rPr>
          <w:rFonts w:hint="eastAsia" w:ascii="宋体" w:hAnsi="宋体" w:cs="宋体"/>
          <w:b/>
          <w:bCs/>
          <w:color w:val="auto"/>
          <w:sz w:val="28"/>
          <w:szCs w:val="28"/>
          <w:highlight w:val="none"/>
        </w:rPr>
        <w:t>十一、交易机构</w:t>
      </w:r>
    </w:p>
    <w:p>
      <w:pPr>
        <w:spacing w:line="500" w:lineRule="exact"/>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转让方委托义乌产权交易所有限公司（以下简称交易所）作为本次公开挂牌转让的国有产权交易机构。</w:t>
      </w:r>
    </w:p>
    <w:p>
      <w:pPr>
        <w:keepNext w:val="0"/>
        <w:keepLines w:val="0"/>
        <w:pageBreakBefore w:val="0"/>
        <w:widowControl w:val="0"/>
        <w:kinsoku/>
        <w:wordWrap/>
        <w:overflowPunct/>
        <w:topLinePunct w:val="0"/>
        <w:autoSpaceDE/>
        <w:autoSpaceDN/>
        <w:bidi w:val="0"/>
        <w:adjustRightInd/>
        <w:snapToGrid/>
        <w:spacing w:before="63" w:beforeLines="20" w:after="63" w:afterLines="20" w:line="500" w:lineRule="exact"/>
        <w:ind w:firstLine="562" w:firstLineChars="200"/>
        <w:textAlignment w:val="auto"/>
        <w:rPr>
          <w:rFonts w:ascii="宋体" w:hAnsi="宋体" w:cs="宋体"/>
          <w:b/>
          <w:bCs/>
          <w:color w:val="auto"/>
          <w:sz w:val="28"/>
          <w:szCs w:val="28"/>
          <w:highlight w:val="none"/>
        </w:rPr>
      </w:pPr>
      <w:r>
        <w:rPr>
          <w:rFonts w:hint="eastAsia" w:ascii="宋体" w:hAnsi="宋体" w:cs="宋体"/>
          <w:b/>
          <w:bCs/>
          <w:color w:val="auto"/>
          <w:sz w:val="28"/>
          <w:szCs w:val="28"/>
          <w:highlight w:val="none"/>
        </w:rPr>
        <w:t>十二、公开挂牌转让程序</w:t>
      </w:r>
    </w:p>
    <w:p>
      <w:pPr>
        <w:spacing w:line="500" w:lineRule="exact"/>
        <w:ind w:firstLine="560" w:firstLineChars="200"/>
        <w:jc w:val="left"/>
        <w:rPr>
          <w:rFonts w:ascii="宋体" w:hAnsi="宋体" w:cs="宋体"/>
          <w:color w:val="auto"/>
          <w:sz w:val="28"/>
          <w:szCs w:val="28"/>
          <w:highlight w:val="none"/>
        </w:rPr>
      </w:pPr>
      <w:r>
        <w:rPr>
          <w:rFonts w:hint="eastAsia" w:ascii="宋体" w:hAnsi="宋体" w:cs="宋体"/>
          <w:color w:val="auto"/>
          <w:sz w:val="28"/>
          <w:szCs w:val="28"/>
          <w:highlight w:val="none"/>
        </w:rPr>
        <w:t>（一）发布公告：由转让方委托交易所在义乌产权交易所网站</w:t>
      </w:r>
      <w:r>
        <w:rPr>
          <w:rFonts w:ascii="宋体" w:hAnsi="宋体" w:cs="宋体"/>
          <w:color w:val="auto"/>
          <w:sz w:val="28"/>
          <w:szCs w:val="28"/>
          <w:highlight w:val="none"/>
        </w:rPr>
        <w:t>(</w:t>
      </w:r>
      <w:r>
        <w:rPr>
          <w:color w:val="auto"/>
          <w:highlight w:val="none"/>
        </w:rPr>
        <w:fldChar w:fldCharType="begin"/>
      </w:r>
      <w:r>
        <w:rPr>
          <w:color w:val="auto"/>
          <w:highlight w:val="none"/>
        </w:rPr>
        <w:instrText xml:space="preserve"> HYPERLINK "http://www.ywcq.com" </w:instrText>
      </w:r>
      <w:r>
        <w:rPr>
          <w:color w:val="auto"/>
          <w:highlight w:val="none"/>
        </w:rPr>
        <w:fldChar w:fldCharType="separate"/>
      </w:r>
      <w:r>
        <w:rPr>
          <w:rStyle w:val="10"/>
          <w:rFonts w:ascii="宋体" w:hAnsi="宋体" w:cs="宋体"/>
          <w:color w:val="auto"/>
          <w:sz w:val="28"/>
          <w:szCs w:val="28"/>
          <w:highlight w:val="none"/>
          <w:u w:val="none"/>
        </w:rPr>
        <w:t>www.ywcq.com</w:t>
      </w:r>
      <w:r>
        <w:rPr>
          <w:rStyle w:val="10"/>
          <w:rFonts w:ascii="宋体" w:hAnsi="宋体" w:cs="宋体"/>
          <w:color w:val="auto"/>
          <w:sz w:val="28"/>
          <w:szCs w:val="28"/>
          <w:highlight w:val="none"/>
          <w:u w:val="none"/>
        </w:rPr>
        <w:fldChar w:fldCharType="end"/>
      </w:r>
      <w:r>
        <w:rPr>
          <w:rFonts w:ascii="宋体" w:hAnsi="宋体" w:cs="宋体"/>
          <w:color w:val="auto"/>
          <w:sz w:val="28"/>
          <w:szCs w:val="28"/>
          <w:highlight w:val="none"/>
        </w:rPr>
        <w:t>)</w:t>
      </w:r>
      <w:r>
        <w:rPr>
          <w:rFonts w:hint="eastAsia" w:ascii="宋体" w:hAnsi="宋体" w:cs="宋体"/>
          <w:color w:val="auto"/>
          <w:sz w:val="28"/>
          <w:szCs w:val="28"/>
          <w:highlight w:val="none"/>
        </w:rPr>
        <w:t>、义乌产权交易所微信公众号（</w:t>
      </w:r>
      <w:r>
        <w:rPr>
          <w:rFonts w:ascii="宋体" w:hAnsi="宋体" w:cs="宋体"/>
          <w:color w:val="auto"/>
          <w:sz w:val="28"/>
          <w:szCs w:val="28"/>
          <w:highlight w:val="none"/>
        </w:rPr>
        <w:t>ywcqjys）</w:t>
      </w:r>
      <w:r>
        <w:rPr>
          <w:rFonts w:hint="eastAsia" w:ascii="宋体" w:hAnsi="宋体" w:cs="宋体"/>
          <w:color w:val="auto"/>
          <w:sz w:val="28"/>
          <w:szCs w:val="28"/>
          <w:highlight w:val="none"/>
        </w:rPr>
        <w:t>、</w:t>
      </w:r>
      <w:r>
        <w:rPr>
          <w:rFonts w:hint="eastAsia" w:ascii="宋体" w:hAnsi="宋体"/>
          <w:color w:val="auto"/>
          <w:spacing w:val="-6"/>
          <w:sz w:val="28"/>
          <w:szCs w:val="28"/>
          <w:highlight w:val="none"/>
        </w:rPr>
        <w:t>义乌市公共资源交易网（</w:t>
      </w:r>
      <w:r>
        <w:rPr>
          <w:rFonts w:ascii="宋体" w:hAnsi="宋体" w:cs="宋体"/>
          <w:color w:val="auto"/>
          <w:sz w:val="28"/>
          <w:szCs w:val="28"/>
          <w:highlight w:val="none"/>
        </w:rPr>
        <w:t>http://ggfw.ywjypt.yw.gov.cn/index.html</w:t>
      </w:r>
      <w:r>
        <w:rPr>
          <w:rFonts w:ascii="宋体" w:hAnsi="宋体"/>
          <w:color w:val="auto"/>
          <w:spacing w:val="-6"/>
          <w:sz w:val="28"/>
          <w:szCs w:val="28"/>
          <w:highlight w:val="none"/>
        </w:rPr>
        <w:t>）</w:t>
      </w:r>
      <w:r>
        <w:rPr>
          <w:rFonts w:hint="eastAsia" w:ascii="宋体" w:hAnsi="宋体"/>
          <w:color w:val="auto"/>
          <w:spacing w:val="-6"/>
          <w:sz w:val="28"/>
          <w:szCs w:val="28"/>
          <w:highlight w:val="none"/>
        </w:rPr>
        <w:t>及e交易平台（https://www.ejy365.com)、《义乌商报》</w:t>
      </w:r>
      <w:r>
        <w:rPr>
          <w:rFonts w:hint="eastAsia" w:ascii="宋体" w:hAnsi="宋体" w:cs="宋体"/>
          <w:color w:val="auto"/>
          <w:sz w:val="28"/>
          <w:szCs w:val="28"/>
          <w:highlight w:val="none"/>
        </w:rPr>
        <w:t>媒体上发布转让公告。</w:t>
      </w:r>
      <w:r>
        <w:rPr>
          <w:rFonts w:ascii="宋体" w:hAnsi="宋体" w:cs="宋体"/>
          <w:color w:val="auto"/>
          <w:sz w:val="28"/>
          <w:szCs w:val="28"/>
          <w:highlight w:val="none"/>
        </w:rPr>
        <w:br w:type="textWrapping"/>
      </w:r>
      <w:r>
        <w:rPr>
          <w:rFonts w:ascii="宋体" w:hAnsi="宋体" w:cs="宋体"/>
          <w:color w:val="auto"/>
          <w:sz w:val="28"/>
          <w:szCs w:val="28"/>
          <w:highlight w:val="none"/>
        </w:rPr>
        <w:t xml:space="preserve"> （二）</w:t>
      </w:r>
      <w:r>
        <w:rPr>
          <w:rFonts w:hint="eastAsia" w:ascii="宋体" w:hAnsi="宋体" w:cs="宋体"/>
          <w:color w:val="auto"/>
          <w:sz w:val="28"/>
          <w:szCs w:val="28"/>
          <w:highlight w:val="none"/>
        </w:rPr>
        <w:t>咨询及购买挂牌文件：意向受让方对公开挂牌文件仔细阅读。如需购买挂牌文件，应交纳资料费人民币</w:t>
      </w:r>
      <w:r>
        <w:rPr>
          <w:rFonts w:hint="eastAsia" w:ascii="宋体" w:hAnsi="宋体" w:cs="宋体"/>
          <w:color w:val="auto"/>
          <w:sz w:val="28"/>
          <w:szCs w:val="28"/>
          <w:highlight w:val="none"/>
          <w:u w:val="single"/>
        </w:rPr>
        <w:t>2000</w:t>
      </w:r>
      <w:r>
        <w:rPr>
          <w:rFonts w:hint="eastAsia" w:ascii="宋体" w:hAnsi="宋体" w:cs="宋体"/>
          <w:color w:val="auto"/>
          <w:sz w:val="28"/>
          <w:szCs w:val="28"/>
          <w:highlight w:val="none"/>
        </w:rPr>
        <w:t>元。查阅及购买均需签订《保密协议》。若对本次挂牌文件内容及本次产权转让相关的其它问题有疑问的，应及时向交易所咨询。咨询后仍有疑问的，可在现场考察结束前以书面的形式提出。转让方以书面的形式予以答复。</w:t>
      </w:r>
    </w:p>
    <w:p>
      <w:pPr>
        <w:spacing w:line="500" w:lineRule="exact"/>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意向受让方必须在报名截止时间前购买文件、递交相关申请材料，并在规定时间内提出疑问，超过规定时间提交的申请、提疑将不予接收。</w:t>
      </w:r>
    </w:p>
    <w:p>
      <w:pPr>
        <w:spacing w:line="500" w:lineRule="exact"/>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（三）转让方如对挂牌文件有必须澄清或修改的，应及时调整补充披露信息内容，并相应延长信息披露时间。修改公告发布之日后二个工作日内，转让方和交易所应当以书面形式通知所有挂牌文件收受人。</w:t>
      </w:r>
      <w:r>
        <w:rPr>
          <w:rFonts w:ascii="宋体" w:hAnsi="宋体" w:cs="宋体"/>
          <w:color w:val="auto"/>
          <w:sz w:val="28"/>
          <w:szCs w:val="28"/>
          <w:highlight w:val="none"/>
        </w:rPr>
        <w:br w:type="textWrapping"/>
      </w:r>
      <w:r>
        <w:rPr>
          <w:rFonts w:ascii="宋体" w:hAnsi="宋体" w:cs="宋体"/>
          <w:color w:val="auto"/>
          <w:sz w:val="28"/>
          <w:szCs w:val="28"/>
          <w:highlight w:val="none"/>
        </w:rPr>
        <w:t xml:space="preserve">   （四）挂牌公告期间，</w:t>
      </w:r>
      <w:r>
        <w:rPr>
          <w:rFonts w:hint="eastAsia" w:ascii="宋体" w:hAnsi="宋体" w:cs="宋体"/>
          <w:color w:val="auto"/>
          <w:sz w:val="28"/>
          <w:szCs w:val="28"/>
          <w:highlight w:val="none"/>
        </w:rPr>
        <w:t>意向受让方须在公告规定的时间内完成竞买申请手续，并向交易所递交竞买申请材料。在公告规定的挂牌截止时间后提交的竞买申请为无效申请，交易所不予接收。</w:t>
      </w:r>
      <w:r>
        <w:rPr>
          <w:rFonts w:ascii="宋体" w:hAnsi="宋体" w:cs="宋体"/>
          <w:color w:val="auto"/>
          <w:sz w:val="28"/>
          <w:szCs w:val="28"/>
          <w:highlight w:val="none"/>
        </w:rPr>
        <w:br w:type="textWrapping"/>
      </w:r>
      <w:r>
        <w:rPr>
          <w:rFonts w:ascii="宋体" w:hAnsi="宋体" w:cs="宋体"/>
          <w:color w:val="auto"/>
          <w:sz w:val="28"/>
          <w:szCs w:val="28"/>
          <w:highlight w:val="none"/>
        </w:rPr>
        <w:t xml:space="preserve">   （五）</w:t>
      </w:r>
      <w:r>
        <w:rPr>
          <w:rFonts w:hint="eastAsia" w:ascii="宋体" w:hAnsi="宋体" w:cs="宋体"/>
          <w:color w:val="auto"/>
          <w:sz w:val="28"/>
          <w:szCs w:val="28"/>
          <w:highlight w:val="none"/>
        </w:rPr>
        <w:t>通过审核确认的意向受让方在规定的时间内交纳足额竞买保证金。在公告规定的截止时间之后交纳的保证金无效，</w:t>
      </w:r>
      <w:r>
        <w:rPr>
          <w:rFonts w:hint="eastAsia" w:ascii="宋体" w:hAnsi="宋体" w:cs="仿宋_GB2312"/>
          <w:color w:val="auto"/>
          <w:sz w:val="28"/>
          <w:szCs w:val="28"/>
          <w:highlight w:val="none"/>
        </w:rPr>
        <w:t>交易所不予接收</w:t>
      </w:r>
      <w:r>
        <w:rPr>
          <w:rFonts w:hint="eastAsia" w:ascii="宋体" w:hAnsi="宋体" w:cs="宋体"/>
          <w:color w:val="auto"/>
          <w:sz w:val="28"/>
          <w:szCs w:val="28"/>
          <w:highlight w:val="none"/>
        </w:rPr>
        <w:t>。</w:t>
      </w:r>
    </w:p>
    <w:p>
      <w:pPr>
        <w:spacing w:line="500" w:lineRule="exact"/>
        <w:ind w:firstLine="560" w:firstLineChars="200"/>
        <w:rPr>
          <w:color w:val="auto"/>
          <w:sz w:val="28"/>
          <w:szCs w:val="28"/>
          <w:highlight w:val="none"/>
        </w:rPr>
      </w:pPr>
      <w:r>
        <w:rPr>
          <w:rFonts w:hint="eastAsia" w:ascii="宋体" w:hAnsi="宋体" w:cs="宋体"/>
          <w:color w:val="auto"/>
          <w:sz w:val="28"/>
          <w:szCs w:val="28"/>
          <w:highlight w:val="none"/>
        </w:rPr>
        <w:t>（六）竞买人进行报价或竞价：</w:t>
      </w:r>
    </w:p>
    <w:p>
      <w:pPr>
        <w:spacing w:line="500" w:lineRule="exact"/>
        <w:ind w:firstLine="560" w:firstLineChars="200"/>
        <w:rPr>
          <w:rFonts w:ascii="宋体" w:hAnsi="宋体" w:cs="宋体"/>
          <w:color w:val="auto"/>
          <w:sz w:val="28"/>
          <w:szCs w:val="28"/>
          <w:highlight w:val="none"/>
        </w:rPr>
      </w:pPr>
      <w:r>
        <w:rPr>
          <w:rFonts w:hint="eastAsia" w:ascii="宋体" w:hAnsi="宋体" w:cs="宋体"/>
          <w:color w:val="auto"/>
          <w:kern w:val="0"/>
          <w:sz w:val="28"/>
          <w:szCs w:val="28"/>
          <w:highlight w:val="none"/>
        </w:rPr>
        <w:t>挂牌期满，如仅征集到一个符合条件的意向受让方，</w:t>
      </w:r>
      <w:r>
        <w:rPr>
          <w:rFonts w:hint="eastAsia" w:ascii="宋体" w:hAnsi="宋体" w:cs="宋体"/>
          <w:color w:val="auto"/>
          <w:kern w:val="0"/>
          <w:sz w:val="28"/>
          <w:szCs w:val="28"/>
          <w:highlight w:val="none"/>
          <w:lang w:val="en-US" w:eastAsia="zh-CN"/>
        </w:rPr>
        <w:t>2021</w:t>
      </w:r>
      <w:r>
        <w:rPr>
          <w:rFonts w:hint="eastAsia" w:ascii="宋体" w:hAnsi="宋体" w:cs="宋体"/>
          <w:color w:val="auto"/>
          <w:kern w:val="0"/>
          <w:sz w:val="28"/>
          <w:szCs w:val="28"/>
          <w:highlight w:val="none"/>
        </w:rPr>
        <w:t>年</w:t>
      </w:r>
      <w:r>
        <w:rPr>
          <w:rFonts w:hint="eastAsia" w:ascii="宋体" w:hAnsi="宋体" w:cs="宋体"/>
          <w:color w:val="auto"/>
          <w:kern w:val="0"/>
          <w:sz w:val="28"/>
          <w:szCs w:val="28"/>
          <w:highlight w:val="none"/>
          <w:lang w:val="en-US" w:eastAsia="zh-CN"/>
        </w:rPr>
        <w:t>9</w:t>
      </w:r>
      <w:r>
        <w:rPr>
          <w:rFonts w:hint="eastAsia" w:ascii="宋体" w:hAnsi="宋体" w:cs="宋体"/>
          <w:color w:val="auto"/>
          <w:kern w:val="0"/>
          <w:sz w:val="28"/>
          <w:szCs w:val="28"/>
          <w:highlight w:val="none"/>
        </w:rPr>
        <w:t>月</w:t>
      </w:r>
      <w:r>
        <w:rPr>
          <w:rFonts w:hint="eastAsia" w:ascii="宋体" w:hAnsi="宋体" w:cs="宋体"/>
          <w:color w:val="auto"/>
          <w:kern w:val="0"/>
          <w:sz w:val="28"/>
          <w:szCs w:val="28"/>
          <w:highlight w:val="none"/>
          <w:lang w:val="en-US" w:eastAsia="zh-CN"/>
        </w:rPr>
        <w:t>30</w:t>
      </w:r>
      <w:r>
        <w:rPr>
          <w:rFonts w:hint="eastAsia" w:ascii="宋体" w:hAnsi="宋体" w:cs="宋体"/>
          <w:color w:val="auto"/>
          <w:kern w:val="0"/>
          <w:sz w:val="28"/>
          <w:szCs w:val="28"/>
          <w:highlight w:val="none"/>
        </w:rPr>
        <w:t xml:space="preserve">日通过e交易网站报价，竞买人的报价不低于挂牌转让底价的，则该竞买人为受让方；如征集到两个及以上符合条件的意向受让方，  </w:t>
      </w:r>
      <w:r>
        <w:rPr>
          <w:rFonts w:hint="eastAsia" w:ascii="宋体" w:hAnsi="宋体" w:cs="宋体"/>
          <w:color w:val="auto"/>
          <w:kern w:val="0"/>
          <w:sz w:val="28"/>
          <w:szCs w:val="28"/>
          <w:highlight w:val="none"/>
          <w:lang w:val="en-US" w:eastAsia="zh-CN"/>
        </w:rPr>
        <w:t>2021</w:t>
      </w:r>
      <w:r>
        <w:rPr>
          <w:rFonts w:hint="eastAsia" w:ascii="宋体" w:hAnsi="宋体" w:cs="宋体"/>
          <w:color w:val="auto"/>
          <w:kern w:val="0"/>
          <w:sz w:val="28"/>
          <w:szCs w:val="28"/>
          <w:highlight w:val="none"/>
        </w:rPr>
        <w:t>年</w:t>
      </w:r>
      <w:r>
        <w:rPr>
          <w:rFonts w:hint="eastAsia" w:ascii="宋体" w:hAnsi="宋体" w:cs="宋体"/>
          <w:color w:val="auto"/>
          <w:kern w:val="0"/>
          <w:sz w:val="28"/>
          <w:szCs w:val="28"/>
          <w:highlight w:val="none"/>
          <w:lang w:val="en-US" w:eastAsia="zh-CN"/>
        </w:rPr>
        <w:t>9</w:t>
      </w:r>
      <w:r>
        <w:rPr>
          <w:rFonts w:hint="eastAsia" w:ascii="宋体" w:hAnsi="宋体" w:cs="宋体"/>
          <w:color w:val="auto"/>
          <w:kern w:val="0"/>
          <w:sz w:val="28"/>
          <w:szCs w:val="28"/>
          <w:highlight w:val="none"/>
        </w:rPr>
        <w:t>月</w:t>
      </w:r>
      <w:r>
        <w:rPr>
          <w:rFonts w:hint="eastAsia" w:ascii="宋体" w:hAnsi="宋体" w:cs="宋体"/>
          <w:color w:val="auto"/>
          <w:kern w:val="0"/>
          <w:sz w:val="28"/>
          <w:szCs w:val="28"/>
          <w:highlight w:val="none"/>
          <w:lang w:val="en-US" w:eastAsia="zh-CN"/>
        </w:rPr>
        <w:t>30</w:t>
      </w:r>
      <w:r>
        <w:rPr>
          <w:rFonts w:hint="eastAsia" w:ascii="宋体" w:hAnsi="宋体" w:cs="宋体"/>
          <w:color w:val="auto"/>
          <w:kern w:val="0"/>
          <w:sz w:val="28"/>
          <w:szCs w:val="28"/>
          <w:highlight w:val="none"/>
        </w:rPr>
        <w:t>日通过e交易网站进行网络竞价，经竞价确</w:t>
      </w:r>
      <w:r>
        <w:rPr>
          <w:rFonts w:hint="eastAsia" w:ascii="宋体" w:hAnsi="宋体" w:cs="宋体"/>
          <w:color w:val="auto"/>
          <w:sz w:val="28"/>
          <w:szCs w:val="28"/>
          <w:highlight w:val="none"/>
        </w:rPr>
        <w:t>定最后竞得人。</w:t>
      </w:r>
    </w:p>
    <w:p>
      <w:pPr>
        <w:spacing w:line="500" w:lineRule="exact"/>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（七）竞得人在确定成交后2个工作日内</w:t>
      </w:r>
      <w:r>
        <w:rPr>
          <w:rFonts w:hint="eastAsia" w:ascii="宋体" w:hAnsi="宋体" w:cs="仿宋_GB2312"/>
          <w:color w:val="auto"/>
          <w:sz w:val="28"/>
          <w:szCs w:val="28"/>
          <w:highlight w:val="none"/>
        </w:rPr>
        <w:t>签订《成交确认书》。</w:t>
      </w:r>
    </w:p>
    <w:p>
      <w:pPr>
        <w:spacing w:line="500" w:lineRule="exact"/>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（八）在签订《成交确认书》后5个工作日内，受让方与转让方签订本次《国有产权交易合同》。</w:t>
      </w:r>
    </w:p>
    <w:p>
      <w:pPr>
        <w:spacing w:line="500" w:lineRule="exact"/>
        <w:ind w:firstLine="560" w:firstLineChars="200"/>
        <w:rPr>
          <w:rFonts w:ascii="宋体" w:hAnsi="宋体" w:cs="宋体"/>
          <w:color w:val="auto"/>
          <w:sz w:val="28"/>
          <w:szCs w:val="28"/>
          <w:highlight w:val="none"/>
        </w:rPr>
      </w:pPr>
      <w:r>
        <w:rPr>
          <w:rFonts w:ascii="宋体" w:hAnsi="宋体" w:cs="宋体"/>
          <w:color w:val="auto"/>
          <w:sz w:val="28"/>
          <w:szCs w:val="28"/>
          <w:highlight w:val="none"/>
        </w:rPr>
        <w:t>（</w:t>
      </w:r>
      <w:r>
        <w:rPr>
          <w:rFonts w:hint="eastAsia" w:ascii="宋体" w:hAnsi="宋体" w:cs="宋体"/>
          <w:color w:val="auto"/>
          <w:sz w:val="28"/>
          <w:szCs w:val="28"/>
          <w:highlight w:val="none"/>
        </w:rPr>
        <w:t>九</w:t>
      </w:r>
      <w:r>
        <w:rPr>
          <w:rFonts w:ascii="宋体" w:hAnsi="宋体" w:cs="宋体"/>
          <w:color w:val="auto"/>
          <w:sz w:val="28"/>
          <w:szCs w:val="28"/>
          <w:highlight w:val="none"/>
        </w:rPr>
        <w:t>）受让方根据</w:t>
      </w:r>
      <w:r>
        <w:rPr>
          <w:rFonts w:hint="eastAsia" w:ascii="宋体" w:hAnsi="宋体" w:cs="宋体"/>
          <w:color w:val="auto"/>
          <w:sz w:val="28"/>
          <w:szCs w:val="28"/>
          <w:highlight w:val="none"/>
        </w:rPr>
        <w:t>《国有产权交易合同》要求，付清全部交易款项及交易所服务费。</w:t>
      </w:r>
    </w:p>
    <w:p>
      <w:pPr>
        <w:spacing w:line="500" w:lineRule="exact"/>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（十）在受让方付清全部交易款项及服务费后，交易所出具交易凭证。</w:t>
      </w:r>
    </w:p>
    <w:p>
      <w:pPr>
        <w:spacing w:line="500" w:lineRule="exact"/>
        <w:ind w:left="559" w:leftChars="266"/>
        <w:rPr>
          <w:rFonts w:ascii="宋体" w:hAnsi="宋体" w:cs="宋体"/>
          <w:color w:val="auto"/>
          <w:sz w:val="28"/>
          <w:szCs w:val="28"/>
          <w:highlight w:val="none"/>
        </w:rPr>
      </w:pPr>
      <w:r>
        <w:rPr>
          <w:rFonts w:hint="eastAsia" w:ascii="宋体" w:hAnsi="宋体" w:cs="宋体"/>
          <w:color w:val="auto"/>
          <w:sz w:val="28"/>
          <w:szCs w:val="28"/>
          <w:highlight w:val="none"/>
        </w:rPr>
        <w:t>（十一）交易所和转让方进行资金结算。</w:t>
      </w:r>
    </w:p>
    <w:p>
      <w:pPr>
        <w:keepNext w:val="0"/>
        <w:keepLines w:val="0"/>
        <w:pageBreakBefore w:val="0"/>
        <w:widowControl w:val="0"/>
        <w:kinsoku/>
        <w:wordWrap/>
        <w:overflowPunct/>
        <w:topLinePunct w:val="0"/>
        <w:autoSpaceDE/>
        <w:autoSpaceDN/>
        <w:bidi w:val="0"/>
        <w:adjustRightInd/>
        <w:snapToGrid/>
        <w:spacing w:before="63" w:beforeLines="20" w:after="63" w:afterLines="20" w:line="500" w:lineRule="exact"/>
        <w:ind w:firstLine="562" w:firstLineChars="200"/>
        <w:textAlignment w:val="auto"/>
        <w:rPr>
          <w:rFonts w:ascii="宋体" w:hAnsi="宋体" w:cs="宋体"/>
          <w:b/>
          <w:bCs/>
          <w:color w:val="auto"/>
          <w:sz w:val="28"/>
          <w:szCs w:val="28"/>
          <w:highlight w:val="none"/>
        </w:rPr>
      </w:pPr>
      <w:r>
        <w:rPr>
          <w:rFonts w:hint="eastAsia" w:ascii="宋体" w:hAnsi="宋体" w:cs="宋体"/>
          <w:b/>
          <w:bCs/>
          <w:color w:val="auto"/>
          <w:sz w:val="28"/>
          <w:szCs w:val="28"/>
          <w:highlight w:val="none"/>
        </w:rPr>
        <w:t>十三、竞买申请有关事项</w:t>
      </w:r>
    </w:p>
    <w:p>
      <w:pPr>
        <w:spacing w:line="500" w:lineRule="exact"/>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（一）竞买申请办理时间：</w:t>
      </w:r>
    </w:p>
    <w:p>
      <w:pPr>
        <w:spacing w:line="500" w:lineRule="exact"/>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意向人递交竞买申请材料、办理竞买申请手续时间：</w:t>
      </w:r>
      <w:r>
        <w:rPr>
          <w:rFonts w:hint="eastAsia" w:ascii="宋体" w:hAnsi="宋体" w:cs="宋体"/>
          <w:color w:val="auto"/>
          <w:sz w:val="28"/>
          <w:szCs w:val="28"/>
          <w:highlight w:val="none"/>
          <w:lang w:val="en-US" w:eastAsia="zh-CN"/>
        </w:rPr>
        <w:t>2021</w:t>
      </w:r>
      <w:r>
        <w:rPr>
          <w:rFonts w:hint="eastAsia" w:ascii="宋体" w:hAnsi="宋体" w:cs="宋体"/>
          <w:color w:val="auto"/>
          <w:sz w:val="28"/>
          <w:szCs w:val="28"/>
          <w:highlight w:val="none"/>
        </w:rPr>
        <w:t>年</w:t>
      </w:r>
      <w:r>
        <w:rPr>
          <w:rFonts w:hint="eastAsia" w:ascii="宋体" w:hAnsi="宋体" w:cs="宋体"/>
          <w:color w:val="auto"/>
          <w:sz w:val="28"/>
          <w:szCs w:val="28"/>
          <w:highlight w:val="none"/>
          <w:lang w:val="en-US" w:eastAsia="zh-CN"/>
        </w:rPr>
        <w:t>8</w:t>
      </w:r>
      <w:r>
        <w:rPr>
          <w:rFonts w:hint="eastAsia" w:ascii="宋体" w:hAnsi="宋体" w:cs="宋体"/>
          <w:color w:val="auto"/>
          <w:sz w:val="28"/>
          <w:szCs w:val="28"/>
          <w:highlight w:val="none"/>
        </w:rPr>
        <w:t>月</w:t>
      </w:r>
      <w:r>
        <w:rPr>
          <w:rFonts w:hint="eastAsia" w:ascii="宋体" w:hAnsi="宋体" w:cs="宋体"/>
          <w:color w:val="auto"/>
          <w:sz w:val="28"/>
          <w:szCs w:val="28"/>
          <w:highlight w:val="none"/>
          <w:lang w:val="en-US" w:eastAsia="zh-CN"/>
        </w:rPr>
        <w:t>24</w:t>
      </w:r>
      <w:r>
        <w:rPr>
          <w:rFonts w:hint="eastAsia" w:ascii="宋体" w:hAnsi="宋体" w:cs="宋体"/>
          <w:color w:val="auto"/>
          <w:sz w:val="28"/>
          <w:szCs w:val="28"/>
          <w:highlight w:val="none"/>
        </w:rPr>
        <w:t>日</w:t>
      </w:r>
      <w:r>
        <w:rPr>
          <w:rFonts w:ascii="宋体" w:hAnsi="宋体" w:cs="宋体"/>
          <w:color w:val="auto"/>
          <w:sz w:val="28"/>
          <w:szCs w:val="28"/>
          <w:highlight w:val="none"/>
        </w:rPr>
        <w:t>—</w:t>
      </w:r>
      <w:r>
        <w:rPr>
          <w:rFonts w:hint="eastAsia" w:ascii="宋体" w:hAnsi="宋体" w:cs="宋体"/>
          <w:color w:val="auto"/>
          <w:sz w:val="28"/>
          <w:szCs w:val="28"/>
          <w:highlight w:val="none"/>
          <w:lang w:val="en-US" w:eastAsia="zh-CN"/>
        </w:rPr>
        <w:t>2021</w:t>
      </w:r>
      <w:r>
        <w:rPr>
          <w:rFonts w:hint="eastAsia" w:ascii="宋体" w:hAnsi="宋体" w:cs="宋体"/>
          <w:color w:val="auto"/>
          <w:sz w:val="28"/>
          <w:szCs w:val="28"/>
          <w:highlight w:val="none"/>
        </w:rPr>
        <w:t>年</w:t>
      </w:r>
      <w:r>
        <w:rPr>
          <w:rFonts w:hint="eastAsia" w:ascii="宋体" w:hAnsi="宋体" w:cs="宋体"/>
          <w:color w:val="auto"/>
          <w:sz w:val="28"/>
          <w:szCs w:val="28"/>
          <w:highlight w:val="none"/>
          <w:lang w:val="en-US" w:eastAsia="zh-CN"/>
        </w:rPr>
        <w:t>9</w:t>
      </w:r>
      <w:r>
        <w:rPr>
          <w:rFonts w:hint="eastAsia" w:ascii="宋体" w:hAnsi="宋体" w:cs="宋体"/>
          <w:color w:val="auto"/>
          <w:sz w:val="28"/>
          <w:szCs w:val="28"/>
          <w:highlight w:val="none"/>
        </w:rPr>
        <w:t>月</w:t>
      </w:r>
      <w:r>
        <w:rPr>
          <w:rFonts w:hint="eastAsia" w:ascii="宋体" w:hAnsi="宋体" w:cs="宋体"/>
          <w:color w:val="auto"/>
          <w:sz w:val="28"/>
          <w:szCs w:val="28"/>
          <w:highlight w:val="none"/>
          <w:lang w:val="en-US" w:eastAsia="zh-CN"/>
        </w:rPr>
        <w:t>18</w:t>
      </w:r>
      <w:r>
        <w:rPr>
          <w:rFonts w:hint="eastAsia" w:ascii="宋体" w:hAnsi="宋体" w:cs="宋体"/>
          <w:color w:val="auto"/>
          <w:sz w:val="28"/>
          <w:szCs w:val="28"/>
          <w:highlight w:val="none"/>
        </w:rPr>
        <w:t>日</w:t>
      </w:r>
      <w:r>
        <w:rPr>
          <w:rFonts w:ascii="宋体" w:hAnsi="宋体" w:cs="宋体"/>
          <w:color w:val="auto"/>
          <w:sz w:val="28"/>
          <w:szCs w:val="28"/>
          <w:highlight w:val="none"/>
        </w:rPr>
        <w:t>16</w:t>
      </w:r>
      <w:r>
        <w:rPr>
          <w:rFonts w:hint="eastAsia" w:ascii="宋体" w:hAnsi="宋体" w:cs="宋体"/>
          <w:color w:val="auto"/>
          <w:sz w:val="28"/>
          <w:szCs w:val="28"/>
          <w:highlight w:val="none"/>
        </w:rPr>
        <w:t>：00止（节假日除外）。</w:t>
      </w:r>
    </w:p>
    <w:p>
      <w:pPr>
        <w:widowControl/>
        <w:spacing w:line="500" w:lineRule="exact"/>
        <w:ind w:firstLine="560" w:firstLineChars="200"/>
        <w:jc w:val="left"/>
        <w:rPr>
          <w:rFonts w:ascii="宋体" w:hAnsi="宋体" w:cs="宋体"/>
          <w:color w:val="auto"/>
          <w:sz w:val="28"/>
          <w:szCs w:val="28"/>
          <w:highlight w:val="none"/>
        </w:rPr>
      </w:pPr>
      <w:r>
        <w:rPr>
          <w:rFonts w:hint="eastAsia" w:ascii="宋体" w:hAnsi="宋体" w:cs="宋体"/>
          <w:color w:val="auto"/>
          <w:sz w:val="28"/>
          <w:szCs w:val="28"/>
          <w:highlight w:val="none"/>
        </w:rPr>
        <w:t>（二）竞买申请手续：</w:t>
      </w:r>
    </w:p>
    <w:p>
      <w:pPr>
        <w:widowControl/>
        <w:spacing w:line="500" w:lineRule="exact"/>
        <w:ind w:firstLine="504" w:firstLineChars="200"/>
        <w:jc w:val="left"/>
        <w:rPr>
          <w:rFonts w:ascii="宋体" w:hAnsi="宋体" w:cs="宋体"/>
          <w:color w:val="auto"/>
          <w:sz w:val="28"/>
          <w:szCs w:val="28"/>
          <w:highlight w:val="none"/>
        </w:rPr>
      </w:pPr>
      <w:r>
        <w:rPr>
          <w:rFonts w:hint="eastAsia" w:ascii="宋体" w:hAnsi="宋体" w:cs="宋体"/>
          <w:color w:val="auto"/>
          <w:spacing w:val="-14"/>
          <w:kern w:val="0"/>
          <w:sz w:val="28"/>
          <w:szCs w:val="28"/>
          <w:highlight w:val="none"/>
        </w:rPr>
        <w:t>1.注册：登录e交易网（</w:t>
      </w:r>
      <w:r>
        <w:rPr>
          <w:color w:val="auto"/>
          <w:highlight w:val="none"/>
        </w:rPr>
        <w:fldChar w:fldCharType="begin"/>
      </w:r>
      <w:r>
        <w:rPr>
          <w:color w:val="auto"/>
          <w:highlight w:val="none"/>
        </w:rPr>
        <w:instrText xml:space="preserve"> HYPERLINK "http://www.ejy365.com/" </w:instrText>
      </w:r>
      <w:r>
        <w:rPr>
          <w:color w:val="auto"/>
          <w:highlight w:val="none"/>
        </w:rPr>
        <w:fldChar w:fldCharType="separate"/>
      </w:r>
      <w:r>
        <w:rPr>
          <w:rStyle w:val="10"/>
          <w:rFonts w:hint="eastAsia" w:ascii="宋体" w:hAnsi="宋体" w:cs="宋体"/>
          <w:color w:val="auto"/>
          <w:spacing w:val="-14"/>
          <w:sz w:val="28"/>
          <w:szCs w:val="28"/>
          <w:highlight w:val="none"/>
        </w:rPr>
        <w:t>www.ejy365.com</w:t>
      </w:r>
      <w:r>
        <w:rPr>
          <w:rStyle w:val="10"/>
          <w:rFonts w:hint="eastAsia" w:ascii="宋体" w:hAnsi="宋体" w:cs="宋体"/>
          <w:color w:val="auto"/>
          <w:spacing w:val="-14"/>
          <w:sz w:val="28"/>
          <w:szCs w:val="28"/>
          <w:highlight w:val="none"/>
        </w:rPr>
        <w:fldChar w:fldCharType="end"/>
      </w:r>
      <w:r>
        <w:rPr>
          <w:rFonts w:hint="eastAsia" w:ascii="宋体" w:hAnsi="宋体" w:cs="宋体"/>
          <w:color w:val="auto"/>
          <w:kern w:val="0"/>
          <w:sz w:val="28"/>
          <w:szCs w:val="28"/>
          <w:highlight w:val="none"/>
        </w:rPr>
        <w:t>）进行会员注册</w:t>
      </w:r>
      <w:r>
        <w:rPr>
          <w:rFonts w:hint="eastAsia" w:ascii="宋体" w:hAnsi="宋体" w:cs="宋体"/>
          <w:color w:val="auto"/>
          <w:spacing w:val="-14"/>
          <w:kern w:val="0"/>
          <w:sz w:val="28"/>
          <w:szCs w:val="28"/>
          <w:highlight w:val="none"/>
        </w:rPr>
        <w:t>（身份选择“竞买人”），填写完整身份信息，绑定银行账号</w:t>
      </w:r>
      <w:r>
        <w:rPr>
          <w:rFonts w:hint="eastAsia" w:ascii="宋体" w:hAnsi="宋体" w:cs="宋体"/>
          <w:color w:val="auto"/>
          <w:spacing w:val="-14"/>
          <w:kern w:val="0"/>
          <w:sz w:val="28"/>
          <w:szCs w:val="28"/>
          <w:highlight w:val="none"/>
          <w:u w:val="single"/>
        </w:rPr>
        <w:t>（竞买保证金须从该绑定账号汇入保证金专用账号，否则无效）</w:t>
      </w:r>
      <w:r>
        <w:rPr>
          <w:rFonts w:hint="eastAsia" w:ascii="宋体" w:hAnsi="宋体" w:cs="宋体"/>
          <w:color w:val="auto"/>
          <w:spacing w:val="-14"/>
          <w:kern w:val="0"/>
          <w:sz w:val="28"/>
          <w:szCs w:val="28"/>
          <w:highlight w:val="none"/>
        </w:rPr>
        <w:t>。</w:t>
      </w:r>
    </w:p>
    <w:p>
      <w:pPr>
        <w:widowControl/>
        <w:spacing w:line="500" w:lineRule="exact"/>
        <w:ind w:firstLine="504" w:firstLineChars="200"/>
        <w:jc w:val="left"/>
        <w:rPr>
          <w:rFonts w:ascii="宋体" w:hAnsi="宋体" w:cs="宋体"/>
          <w:color w:val="auto"/>
          <w:sz w:val="28"/>
          <w:szCs w:val="28"/>
          <w:highlight w:val="none"/>
        </w:rPr>
      </w:pPr>
      <w:r>
        <w:rPr>
          <w:rFonts w:hint="eastAsia" w:ascii="宋体" w:hAnsi="宋体" w:cs="宋体"/>
          <w:color w:val="auto"/>
          <w:spacing w:val="-14"/>
          <w:kern w:val="0"/>
          <w:sz w:val="28"/>
          <w:szCs w:val="28"/>
          <w:highlight w:val="none"/>
        </w:rPr>
        <w:t>2.通过e交易平台上传下列相应竞买申请材料，并提交审核。竞买申请材料须在挂牌截止前邮递至：</w:t>
      </w:r>
      <w:r>
        <w:rPr>
          <w:rFonts w:hint="eastAsia" w:ascii="宋体" w:hAnsi="宋体" w:cs="宋体"/>
          <w:color w:val="auto"/>
          <w:sz w:val="28"/>
          <w:szCs w:val="28"/>
          <w:highlight w:val="none"/>
        </w:rPr>
        <w:t>义乌市稠州北路</w:t>
      </w:r>
      <w:r>
        <w:rPr>
          <w:rFonts w:ascii="宋体" w:hAnsi="宋体" w:cs="宋体"/>
          <w:color w:val="auto"/>
          <w:sz w:val="28"/>
          <w:szCs w:val="28"/>
          <w:highlight w:val="none"/>
        </w:rPr>
        <w:t>505号6楼610</w:t>
      </w:r>
      <w:r>
        <w:rPr>
          <w:rFonts w:hint="eastAsia" w:ascii="宋体" w:hAnsi="宋体" w:cs="宋体"/>
          <w:color w:val="auto"/>
          <w:sz w:val="28"/>
          <w:szCs w:val="28"/>
          <w:highlight w:val="none"/>
        </w:rPr>
        <w:t>室。</w:t>
      </w:r>
    </w:p>
    <w:p>
      <w:pPr>
        <w:widowControl/>
        <w:spacing w:line="500" w:lineRule="exact"/>
        <w:ind w:firstLine="560" w:firstLineChars="200"/>
        <w:jc w:val="left"/>
        <w:rPr>
          <w:rFonts w:ascii="宋体" w:hAnsi="宋体" w:cs="宋体"/>
          <w:color w:val="auto"/>
          <w:kern w:val="0"/>
          <w:sz w:val="28"/>
          <w:szCs w:val="28"/>
          <w:highlight w:val="none"/>
          <w:shd w:val="clear" w:color="auto" w:fill="FFFFFF"/>
        </w:rPr>
      </w:pPr>
      <w:r>
        <w:rPr>
          <w:rFonts w:hint="eastAsia" w:ascii="宋体" w:hAnsi="宋体" w:cs="宋体"/>
          <w:color w:val="auto"/>
          <w:kern w:val="0"/>
          <w:sz w:val="28"/>
          <w:szCs w:val="28"/>
          <w:highlight w:val="none"/>
          <w:shd w:val="clear" w:color="auto" w:fill="FFFFFF"/>
        </w:rPr>
        <w:t>意向受让方需向义乌产权交易所提供以下材料（企业需加盖公章）：</w:t>
      </w:r>
    </w:p>
    <w:p>
      <w:pPr>
        <w:widowControl/>
        <w:spacing w:line="500" w:lineRule="exact"/>
        <w:ind w:firstLine="560" w:firstLineChars="200"/>
        <w:jc w:val="left"/>
        <w:rPr>
          <w:rFonts w:ascii="宋体" w:hAnsi="宋体" w:cs="宋体"/>
          <w:color w:val="auto"/>
          <w:kern w:val="0"/>
          <w:sz w:val="28"/>
          <w:szCs w:val="28"/>
          <w:highlight w:val="none"/>
          <w:shd w:val="clear" w:color="auto" w:fill="FFFFFF"/>
        </w:rPr>
      </w:pPr>
      <w:r>
        <w:rPr>
          <w:rFonts w:hint="eastAsia" w:ascii="宋体" w:hAnsi="宋体" w:cs="宋体"/>
          <w:color w:val="auto"/>
          <w:kern w:val="0"/>
          <w:sz w:val="28"/>
          <w:szCs w:val="28"/>
          <w:highlight w:val="none"/>
          <w:shd w:val="clear" w:color="auto" w:fill="FFFFFF"/>
        </w:rPr>
        <w:t>（1）主体资格证明文件（企业法人提供营业执照复印件、法定代表人或负责人身份证复印件；自然人提供身份证复印件；其他经济组织提供相应文件复印件）；</w:t>
      </w:r>
    </w:p>
    <w:p>
      <w:pPr>
        <w:widowControl/>
        <w:spacing w:line="500" w:lineRule="exact"/>
        <w:ind w:firstLine="560" w:firstLineChars="200"/>
        <w:jc w:val="left"/>
        <w:rPr>
          <w:rFonts w:ascii="宋体" w:hAnsi="宋体" w:cs="宋体"/>
          <w:color w:val="auto"/>
          <w:kern w:val="0"/>
          <w:sz w:val="28"/>
          <w:szCs w:val="28"/>
          <w:highlight w:val="none"/>
          <w:shd w:val="clear" w:color="auto" w:fill="FFFFFF"/>
        </w:rPr>
      </w:pPr>
      <w:r>
        <w:rPr>
          <w:rFonts w:hint="eastAsia" w:ascii="宋体" w:hAnsi="宋体" w:cs="宋体"/>
          <w:color w:val="auto"/>
          <w:kern w:val="0"/>
          <w:sz w:val="28"/>
          <w:szCs w:val="28"/>
          <w:highlight w:val="none"/>
          <w:shd w:val="clear" w:color="auto" w:fill="FFFFFF"/>
        </w:rPr>
        <w:t>（2）意向受让方的基本情况（原件）；</w:t>
      </w:r>
    </w:p>
    <w:p>
      <w:pPr>
        <w:widowControl/>
        <w:spacing w:line="500" w:lineRule="exact"/>
        <w:ind w:firstLine="560" w:firstLineChars="200"/>
        <w:jc w:val="left"/>
        <w:rPr>
          <w:rFonts w:ascii="宋体" w:hAnsi="宋体" w:cs="宋体"/>
          <w:color w:val="auto"/>
          <w:kern w:val="0"/>
          <w:sz w:val="28"/>
          <w:szCs w:val="28"/>
          <w:highlight w:val="none"/>
          <w:shd w:val="clear" w:color="auto" w:fill="FFFFFF"/>
        </w:rPr>
      </w:pPr>
      <w:r>
        <w:rPr>
          <w:rFonts w:hint="eastAsia" w:ascii="宋体" w:hAnsi="宋体" w:cs="宋体"/>
          <w:color w:val="auto"/>
          <w:kern w:val="0"/>
          <w:sz w:val="28"/>
          <w:szCs w:val="28"/>
          <w:highlight w:val="none"/>
          <w:shd w:val="clear" w:color="auto" w:fill="FFFFFF"/>
        </w:rPr>
        <w:t>（3）现行有效的公司章程或类似组织性文件（法人或其他组织提供，复印件）；</w:t>
      </w:r>
    </w:p>
    <w:p>
      <w:pPr>
        <w:widowControl/>
        <w:spacing w:line="500" w:lineRule="exact"/>
        <w:ind w:firstLine="560" w:firstLineChars="200"/>
        <w:jc w:val="left"/>
        <w:rPr>
          <w:rFonts w:ascii="宋体" w:hAnsi="宋体" w:cs="宋体"/>
          <w:color w:val="auto"/>
          <w:kern w:val="0"/>
          <w:sz w:val="28"/>
          <w:szCs w:val="28"/>
          <w:highlight w:val="none"/>
          <w:shd w:val="clear" w:color="auto" w:fill="FFFFFF"/>
        </w:rPr>
      </w:pPr>
      <w:r>
        <w:rPr>
          <w:rFonts w:hint="eastAsia" w:ascii="宋体" w:hAnsi="宋体" w:cs="宋体"/>
          <w:color w:val="auto"/>
          <w:kern w:val="0"/>
          <w:sz w:val="28"/>
          <w:szCs w:val="28"/>
          <w:highlight w:val="none"/>
          <w:shd w:val="clear" w:color="auto" w:fill="FFFFFF"/>
        </w:rPr>
        <w:t>（4）如办理报名手续的非公司法定代表人或负责人时，应提供授权委托书（原件）及法定代表人或负责人、代理人身份证（复印件）；</w:t>
      </w:r>
    </w:p>
    <w:p>
      <w:pPr>
        <w:widowControl/>
        <w:spacing w:line="500" w:lineRule="exact"/>
        <w:ind w:firstLine="560" w:firstLineChars="200"/>
        <w:jc w:val="left"/>
        <w:rPr>
          <w:rFonts w:ascii="宋体" w:hAnsi="宋体" w:cs="宋体"/>
          <w:color w:val="auto"/>
          <w:kern w:val="0"/>
          <w:sz w:val="28"/>
          <w:szCs w:val="28"/>
          <w:highlight w:val="none"/>
          <w:shd w:val="clear" w:color="auto" w:fill="FFFFFF"/>
        </w:rPr>
      </w:pPr>
      <w:r>
        <w:rPr>
          <w:rFonts w:hint="eastAsia" w:ascii="宋体" w:hAnsi="宋体" w:cs="宋体"/>
          <w:color w:val="auto"/>
          <w:kern w:val="0"/>
          <w:sz w:val="28"/>
          <w:szCs w:val="28"/>
          <w:highlight w:val="none"/>
          <w:shd w:val="clear" w:color="auto" w:fill="FFFFFF"/>
        </w:rPr>
        <w:t>（5）同意受让本标的的内部决策文件（法人或其他组织提供），若为国有企业，应提供有权部门同意受让的批文（原件）；</w:t>
      </w:r>
    </w:p>
    <w:p>
      <w:pPr>
        <w:widowControl/>
        <w:spacing w:line="500" w:lineRule="exact"/>
        <w:ind w:firstLine="560" w:firstLineChars="200"/>
        <w:jc w:val="left"/>
        <w:rPr>
          <w:rFonts w:ascii="宋体" w:hAnsi="宋体" w:cs="宋体"/>
          <w:color w:val="auto"/>
          <w:kern w:val="0"/>
          <w:sz w:val="28"/>
          <w:szCs w:val="28"/>
          <w:highlight w:val="none"/>
          <w:shd w:val="clear" w:color="auto" w:fill="FFFFFF"/>
        </w:rPr>
      </w:pPr>
      <w:r>
        <w:rPr>
          <w:rFonts w:hint="eastAsia" w:ascii="宋体" w:hAnsi="宋体" w:cs="宋体"/>
          <w:color w:val="auto"/>
          <w:kern w:val="0"/>
          <w:sz w:val="28"/>
          <w:szCs w:val="28"/>
          <w:highlight w:val="none"/>
          <w:shd w:val="clear" w:color="auto" w:fill="FFFFFF"/>
        </w:rPr>
        <w:t>（6）《竞买申请书》；</w:t>
      </w:r>
    </w:p>
    <w:p>
      <w:pPr>
        <w:widowControl/>
        <w:spacing w:line="500" w:lineRule="exact"/>
        <w:ind w:firstLine="560" w:firstLineChars="200"/>
        <w:jc w:val="left"/>
        <w:rPr>
          <w:rFonts w:ascii="宋体" w:hAnsi="宋体" w:cs="宋体"/>
          <w:color w:val="auto"/>
          <w:kern w:val="0"/>
          <w:sz w:val="28"/>
          <w:szCs w:val="28"/>
          <w:highlight w:val="none"/>
          <w:shd w:val="clear" w:color="auto" w:fill="FFFFFF"/>
        </w:rPr>
      </w:pPr>
      <w:r>
        <w:rPr>
          <w:rFonts w:hint="eastAsia" w:ascii="宋体" w:hAnsi="宋体" w:cs="宋体"/>
          <w:color w:val="auto"/>
          <w:kern w:val="0"/>
          <w:sz w:val="28"/>
          <w:szCs w:val="28"/>
          <w:highlight w:val="none"/>
          <w:shd w:val="clear" w:color="auto" w:fill="FFFFFF"/>
        </w:rPr>
        <w:t>（7）《竞买人承诺函》；</w:t>
      </w:r>
    </w:p>
    <w:p>
      <w:pPr>
        <w:widowControl/>
        <w:spacing w:line="500" w:lineRule="exact"/>
        <w:ind w:firstLine="560" w:firstLineChars="200"/>
        <w:jc w:val="left"/>
        <w:rPr>
          <w:rFonts w:ascii="宋体" w:hAnsi="宋体" w:cs="宋体"/>
          <w:color w:val="auto"/>
          <w:sz w:val="28"/>
          <w:szCs w:val="28"/>
          <w:highlight w:val="none"/>
        </w:rPr>
      </w:pPr>
      <w:r>
        <w:rPr>
          <w:rFonts w:hint="eastAsia" w:ascii="宋体" w:hAnsi="宋体" w:cs="宋体"/>
          <w:color w:val="auto"/>
          <w:kern w:val="0"/>
          <w:sz w:val="28"/>
          <w:szCs w:val="28"/>
          <w:highlight w:val="none"/>
        </w:rPr>
        <w:t>（8）</w:t>
      </w:r>
      <w:r>
        <w:rPr>
          <w:rFonts w:hint="eastAsia" w:ascii="宋体" w:hAnsi="宋体" w:cs="宋体"/>
          <w:color w:val="auto"/>
          <w:kern w:val="0"/>
          <w:sz w:val="28"/>
          <w:szCs w:val="28"/>
          <w:highlight w:val="none"/>
          <w:shd w:val="clear" w:color="auto" w:fill="FFFFFF"/>
        </w:rPr>
        <w:t>义乌产权交易所要求的其他材料。</w:t>
      </w:r>
    </w:p>
    <w:p>
      <w:pPr>
        <w:spacing w:line="500" w:lineRule="exact"/>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（三）竞买申请文件有下列情况之一的，视为无效申请：</w:t>
      </w:r>
    </w:p>
    <w:p>
      <w:pPr>
        <w:spacing w:line="500" w:lineRule="exact"/>
        <w:ind w:firstLine="560" w:firstLineChars="200"/>
        <w:rPr>
          <w:rFonts w:ascii="宋体" w:hAnsi="宋体" w:cs="宋体"/>
          <w:color w:val="auto"/>
          <w:sz w:val="28"/>
          <w:szCs w:val="28"/>
          <w:highlight w:val="none"/>
        </w:rPr>
      </w:pPr>
      <w:r>
        <w:rPr>
          <w:rFonts w:ascii="宋体" w:hAnsi="宋体" w:cs="宋体"/>
          <w:color w:val="auto"/>
          <w:sz w:val="28"/>
          <w:szCs w:val="28"/>
          <w:highlight w:val="none"/>
        </w:rPr>
        <w:t>1</w:t>
      </w:r>
      <w:r>
        <w:rPr>
          <w:rFonts w:hint="eastAsia" w:ascii="宋体" w:hAnsi="宋体" w:cs="宋体"/>
          <w:color w:val="auto"/>
          <w:sz w:val="28"/>
          <w:szCs w:val="28"/>
          <w:highlight w:val="none"/>
        </w:rPr>
        <w:t>.</w:t>
      </w:r>
      <w:r>
        <w:rPr>
          <w:rFonts w:ascii="宋体" w:hAnsi="宋体" w:cs="宋体"/>
          <w:color w:val="auto"/>
          <w:sz w:val="28"/>
          <w:szCs w:val="28"/>
          <w:highlight w:val="none"/>
        </w:rPr>
        <w:t>竞买人不符合竞买条件的；</w:t>
      </w:r>
      <w:r>
        <w:rPr>
          <w:rFonts w:ascii="宋体" w:hAnsi="宋体" w:cs="宋体"/>
          <w:color w:val="auto"/>
          <w:sz w:val="28"/>
          <w:szCs w:val="28"/>
          <w:highlight w:val="none"/>
        </w:rPr>
        <w:br w:type="textWrapping"/>
      </w:r>
      <w:r>
        <w:rPr>
          <w:rFonts w:ascii="宋体" w:hAnsi="宋体" w:cs="宋体"/>
          <w:color w:val="auto"/>
          <w:sz w:val="28"/>
          <w:szCs w:val="28"/>
          <w:highlight w:val="none"/>
        </w:rPr>
        <w:t xml:space="preserve">    2</w:t>
      </w:r>
      <w:r>
        <w:rPr>
          <w:rFonts w:hint="eastAsia" w:ascii="宋体" w:hAnsi="宋体" w:cs="宋体"/>
          <w:color w:val="auto"/>
          <w:sz w:val="28"/>
          <w:szCs w:val="28"/>
          <w:highlight w:val="none"/>
        </w:rPr>
        <w:t>.</w:t>
      </w:r>
      <w:r>
        <w:rPr>
          <w:rFonts w:ascii="宋体" w:hAnsi="宋体" w:cs="宋体"/>
          <w:color w:val="auto"/>
          <w:sz w:val="28"/>
          <w:szCs w:val="28"/>
          <w:highlight w:val="none"/>
        </w:rPr>
        <w:t>申请文件在申请截止之日后提交的；</w:t>
      </w:r>
      <w:r>
        <w:rPr>
          <w:rFonts w:ascii="宋体" w:hAnsi="宋体" w:cs="宋体"/>
          <w:color w:val="auto"/>
          <w:sz w:val="28"/>
          <w:szCs w:val="28"/>
          <w:highlight w:val="none"/>
        </w:rPr>
        <w:br w:type="textWrapping"/>
      </w:r>
      <w:r>
        <w:rPr>
          <w:rFonts w:ascii="宋体" w:hAnsi="宋体" w:cs="宋体"/>
          <w:color w:val="auto"/>
          <w:sz w:val="28"/>
          <w:szCs w:val="28"/>
          <w:highlight w:val="none"/>
        </w:rPr>
        <w:t xml:space="preserve">    3</w:t>
      </w:r>
      <w:r>
        <w:rPr>
          <w:rFonts w:hint="eastAsia" w:ascii="宋体" w:hAnsi="宋体" w:cs="宋体"/>
          <w:color w:val="auto"/>
          <w:sz w:val="28"/>
          <w:szCs w:val="28"/>
          <w:highlight w:val="none"/>
        </w:rPr>
        <w:t>.</w:t>
      </w:r>
      <w:r>
        <w:rPr>
          <w:rFonts w:ascii="宋体" w:hAnsi="宋体" w:cs="宋体"/>
          <w:color w:val="auto"/>
          <w:sz w:val="28"/>
          <w:szCs w:val="28"/>
          <w:highlight w:val="none"/>
        </w:rPr>
        <w:t>申请文件字迹不清、涂改、未签章或辨认不清的；</w:t>
      </w:r>
      <w:r>
        <w:rPr>
          <w:rFonts w:ascii="宋体" w:hAnsi="宋体" w:cs="宋体"/>
          <w:color w:val="auto"/>
          <w:sz w:val="28"/>
          <w:szCs w:val="28"/>
          <w:highlight w:val="none"/>
        </w:rPr>
        <w:br w:type="textWrapping"/>
      </w:r>
      <w:r>
        <w:rPr>
          <w:rFonts w:ascii="宋体" w:hAnsi="宋体" w:cs="宋体"/>
          <w:color w:val="auto"/>
          <w:sz w:val="28"/>
          <w:szCs w:val="28"/>
          <w:highlight w:val="none"/>
        </w:rPr>
        <w:t xml:space="preserve">    4</w:t>
      </w:r>
      <w:r>
        <w:rPr>
          <w:rFonts w:hint="eastAsia" w:ascii="宋体" w:hAnsi="宋体" w:cs="宋体"/>
          <w:color w:val="auto"/>
          <w:sz w:val="28"/>
          <w:szCs w:val="28"/>
          <w:highlight w:val="none"/>
        </w:rPr>
        <w:t>.</w:t>
      </w:r>
      <w:r>
        <w:rPr>
          <w:rFonts w:ascii="宋体" w:hAnsi="宋体" w:cs="宋体"/>
          <w:color w:val="auto"/>
          <w:sz w:val="28"/>
          <w:szCs w:val="28"/>
          <w:highlight w:val="none"/>
        </w:rPr>
        <w:t>委托他人代理，委托文件不全或不符合上述条款规定的；</w:t>
      </w:r>
      <w:r>
        <w:rPr>
          <w:rFonts w:ascii="宋体" w:hAnsi="宋体" w:cs="宋体"/>
          <w:color w:val="auto"/>
          <w:sz w:val="28"/>
          <w:szCs w:val="28"/>
          <w:highlight w:val="none"/>
        </w:rPr>
        <w:br w:type="textWrapping"/>
      </w:r>
      <w:r>
        <w:rPr>
          <w:rFonts w:ascii="宋体" w:hAnsi="宋体" w:cs="宋体"/>
          <w:color w:val="auto"/>
          <w:sz w:val="28"/>
          <w:szCs w:val="28"/>
          <w:highlight w:val="none"/>
        </w:rPr>
        <w:t xml:space="preserve">    5</w:t>
      </w:r>
      <w:r>
        <w:rPr>
          <w:rFonts w:hint="eastAsia" w:ascii="宋体" w:hAnsi="宋体" w:cs="宋体"/>
          <w:color w:val="auto"/>
          <w:sz w:val="28"/>
          <w:szCs w:val="28"/>
          <w:highlight w:val="none"/>
        </w:rPr>
        <w:t>.</w:t>
      </w:r>
      <w:r>
        <w:rPr>
          <w:rFonts w:ascii="宋体" w:hAnsi="宋体" w:cs="宋体"/>
          <w:color w:val="auto"/>
          <w:sz w:val="28"/>
          <w:szCs w:val="28"/>
          <w:highlight w:val="none"/>
        </w:rPr>
        <w:t>申请文件不齐全或不符合上述条款规定的；</w:t>
      </w:r>
      <w:r>
        <w:rPr>
          <w:rFonts w:ascii="宋体" w:hAnsi="宋体" w:cs="宋体"/>
          <w:color w:val="auto"/>
          <w:sz w:val="28"/>
          <w:szCs w:val="28"/>
          <w:highlight w:val="none"/>
        </w:rPr>
        <w:br w:type="textWrapping"/>
      </w:r>
      <w:r>
        <w:rPr>
          <w:rFonts w:ascii="宋体" w:hAnsi="宋体" w:cs="宋体"/>
          <w:color w:val="auto"/>
          <w:sz w:val="28"/>
          <w:szCs w:val="28"/>
          <w:highlight w:val="none"/>
        </w:rPr>
        <w:t xml:space="preserve">    6</w:t>
      </w:r>
      <w:r>
        <w:rPr>
          <w:rFonts w:hint="eastAsia" w:ascii="宋体" w:hAnsi="宋体" w:cs="宋体"/>
          <w:color w:val="auto"/>
          <w:sz w:val="28"/>
          <w:szCs w:val="28"/>
          <w:highlight w:val="none"/>
        </w:rPr>
        <w:t>.</w:t>
      </w:r>
      <w:r>
        <w:rPr>
          <w:rFonts w:ascii="宋体" w:hAnsi="宋体" w:cs="宋体"/>
          <w:color w:val="auto"/>
          <w:sz w:val="28"/>
          <w:szCs w:val="28"/>
          <w:highlight w:val="none"/>
        </w:rPr>
        <w:t>不按时交纳保证金的。</w:t>
      </w:r>
    </w:p>
    <w:p>
      <w:pPr>
        <w:keepNext w:val="0"/>
        <w:keepLines w:val="0"/>
        <w:pageBreakBefore w:val="0"/>
        <w:widowControl w:val="0"/>
        <w:kinsoku/>
        <w:wordWrap/>
        <w:overflowPunct/>
        <w:topLinePunct w:val="0"/>
        <w:autoSpaceDE/>
        <w:autoSpaceDN/>
        <w:bidi w:val="0"/>
        <w:adjustRightInd/>
        <w:snapToGrid/>
        <w:spacing w:before="63" w:beforeLines="20" w:after="63" w:afterLines="20" w:line="500" w:lineRule="exact"/>
        <w:ind w:firstLine="562" w:firstLineChars="200"/>
        <w:textAlignment w:val="auto"/>
        <w:rPr>
          <w:rFonts w:ascii="宋体" w:hAnsi="宋体" w:cs="宋体"/>
          <w:color w:val="auto"/>
          <w:sz w:val="28"/>
          <w:szCs w:val="28"/>
          <w:highlight w:val="none"/>
        </w:rPr>
      </w:pPr>
      <w:r>
        <w:rPr>
          <w:rFonts w:hint="eastAsia" w:ascii="宋体" w:hAnsi="宋体" w:cs="宋体"/>
          <w:b/>
          <w:bCs/>
          <w:color w:val="auto"/>
          <w:sz w:val="28"/>
          <w:szCs w:val="28"/>
          <w:highlight w:val="none"/>
        </w:rPr>
        <w:t>十四、现场考察及尽职调查</w:t>
      </w:r>
    </w:p>
    <w:p>
      <w:pPr>
        <w:spacing w:line="500" w:lineRule="exact"/>
        <w:ind w:firstLine="560" w:firstLineChars="200"/>
        <w:rPr>
          <w:rFonts w:ascii="宋体" w:hAnsi="宋体" w:cs="宋体"/>
          <w:color w:val="auto"/>
          <w:sz w:val="28"/>
          <w:szCs w:val="28"/>
          <w:highlight w:val="none"/>
        </w:rPr>
      </w:pPr>
      <w:r>
        <w:rPr>
          <w:rFonts w:ascii="宋体" w:hAnsi="宋体" w:cs="宋体"/>
          <w:color w:val="auto"/>
          <w:sz w:val="28"/>
          <w:szCs w:val="28"/>
          <w:highlight w:val="none"/>
        </w:rPr>
        <w:t>1</w:t>
      </w:r>
      <w:r>
        <w:rPr>
          <w:rFonts w:hint="eastAsia" w:ascii="宋体" w:hAnsi="宋体" w:cs="宋体"/>
          <w:color w:val="auto"/>
          <w:sz w:val="28"/>
          <w:szCs w:val="28"/>
          <w:highlight w:val="none"/>
        </w:rPr>
        <w:t>.报名期</w:t>
      </w:r>
      <w:r>
        <w:rPr>
          <w:rFonts w:hint="eastAsia" w:ascii="宋体" w:hAnsi="宋体" w:cs="宋体"/>
          <w:color w:val="auto"/>
          <w:sz w:val="28"/>
          <w:szCs w:val="28"/>
          <w:highlight w:val="none"/>
        </w:rPr>
        <w:t>截止后</w:t>
      </w:r>
      <w:r>
        <w:rPr>
          <w:rFonts w:hint="eastAsia" w:ascii="宋体" w:hAnsi="宋体" w:cs="宋体"/>
          <w:color w:val="auto"/>
          <w:sz w:val="28"/>
          <w:szCs w:val="28"/>
          <w:highlight w:val="none"/>
          <w:lang w:val="en-US" w:eastAsia="zh-CN"/>
        </w:rPr>
        <w:t>2</w:t>
      </w:r>
      <w:r>
        <w:rPr>
          <w:rFonts w:hint="eastAsia" w:ascii="宋体" w:hAnsi="宋体" w:cs="宋体"/>
          <w:color w:val="auto"/>
          <w:sz w:val="28"/>
          <w:szCs w:val="28"/>
          <w:highlight w:val="none"/>
        </w:rPr>
        <w:t>个工</w:t>
      </w:r>
      <w:r>
        <w:rPr>
          <w:rFonts w:hint="eastAsia" w:ascii="宋体" w:hAnsi="宋体" w:cs="宋体"/>
          <w:color w:val="auto"/>
          <w:sz w:val="28"/>
          <w:szCs w:val="28"/>
          <w:highlight w:val="none"/>
        </w:rPr>
        <w:t>作日内，根据报名情况及现场考察意向分批组织意向受让方现场考察。考察内容主要为建成项目情况、在建项目情况以及待建项目等情况。现场考察期间应听从公司相关带队人员安排并遵守相关规定和要求，注意安全。</w:t>
      </w:r>
    </w:p>
    <w:p>
      <w:pPr>
        <w:spacing w:line="500" w:lineRule="exact"/>
        <w:ind w:firstLine="560" w:firstLineChars="200"/>
        <w:rPr>
          <w:rFonts w:ascii="宋体" w:hAnsi="宋体" w:cs="宋体"/>
          <w:color w:val="auto"/>
          <w:sz w:val="28"/>
          <w:szCs w:val="28"/>
          <w:highlight w:val="none"/>
        </w:rPr>
      </w:pPr>
      <w:r>
        <w:rPr>
          <w:rFonts w:ascii="宋体" w:hAnsi="宋体" w:cs="宋体"/>
          <w:color w:val="auto"/>
          <w:sz w:val="28"/>
          <w:szCs w:val="28"/>
          <w:highlight w:val="none"/>
        </w:rPr>
        <w:t>2</w:t>
      </w:r>
      <w:r>
        <w:rPr>
          <w:rFonts w:hint="eastAsia" w:ascii="宋体" w:hAnsi="宋体" w:cs="宋体"/>
          <w:color w:val="auto"/>
          <w:sz w:val="28"/>
          <w:szCs w:val="28"/>
          <w:highlight w:val="none"/>
        </w:rPr>
        <w:t>.有意向的受让方应作好尽职调查。此处所指尽职调查，是指意向受让方了解本次转让项目详细信息的过程。正式挂牌公告后，即进入尽职调查期。意向受让方可以通过媒介、前往交易所购买《挂牌文件》，获取转让项目的相关信息和资料，如审计报告、资产评估报告等。通过阅读、研究项目资料，作出是否参与项目受让的决定。意向受让方一旦交纳保证金，</w:t>
      </w:r>
      <w:r>
        <w:rPr>
          <w:rFonts w:hint="eastAsia" w:asciiTheme="minorEastAsia" w:hAnsiTheme="minorEastAsia" w:eastAsiaTheme="minorEastAsia"/>
          <w:color w:val="auto"/>
          <w:sz w:val="28"/>
          <w:szCs w:val="28"/>
          <w:highlight w:val="none"/>
        </w:rPr>
        <w:t>视为已详细阅读并完全认可本项目所涉及文件内容，已完成对本项目的全部尽职调查，并依据该内容以其独立判断决定自愿全部接受公告、细则、《国有产权交易合同（文本）》之内容。意向受让方若以不了解标的公司现状等为由发生逾期或拒绝签署《国有产权交易合同》、拒付成交款、放弃受让等情形的，即可视为违约，其交易保证金将不予返还，并将本项目重新挂牌，由意向受让方承担相关的全部经济责任与风险。</w:t>
      </w:r>
    </w:p>
    <w:p>
      <w:pPr>
        <w:spacing w:line="500" w:lineRule="exact"/>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意向受让方应充分关注、调查、研究与本次产权转让标的相关的所有事宜、信息、或有风险、不确定因素及可能对转让标的企业资产及企业经营管理造成的影响，转让方及交易所不对转让标的企业是否存在或有风险提供保证。</w:t>
      </w:r>
    </w:p>
    <w:p>
      <w:pPr>
        <w:keepNext w:val="0"/>
        <w:keepLines w:val="0"/>
        <w:pageBreakBefore w:val="0"/>
        <w:widowControl w:val="0"/>
        <w:kinsoku/>
        <w:wordWrap/>
        <w:overflowPunct/>
        <w:topLinePunct w:val="0"/>
        <w:autoSpaceDE/>
        <w:autoSpaceDN/>
        <w:bidi w:val="0"/>
        <w:adjustRightInd/>
        <w:snapToGrid/>
        <w:spacing w:before="63" w:beforeLines="20" w:after="63" w:afterLines="20" w:line="500" w:lineRule="exact"/>
        <w:ind w:firstLine="562" w:firstLineChars="200"/>
        <w:textAlignment w:val="auto"/>
        <w:rPr>
          <w:rFonts w:ascii="宋体" w:hAnsi="宋体" w:cs="宋体"/>
          <w:b/>
          <w:bCs/>
          <w:color w:val="auto"/>
          <w:sz w:val="28"/>
          <w:szCs w:val="28"/>
          <w:highlight w:val="none"/>
        </w:rPr>
      </w:pPr>
      <w:r>
        <w:rPr>
          <w:rFonts w:hint="eastAsia" w:ascii="宋体" w:hAnsi="宋体" w:cs="宋体"/>
          <w:b/>
          <w:bCs/>
          <w:color w:val="auto"/>
          <w:sz w:val="28"/>
          <w:szCs w:val="28"/>
          <w:highlight w:val="none"/>
        </w:rPr>
        <w:t>十五、答疑</w:t>
      </w:r>
    </w:p>
    <w:p>
      <w:pPr>
        <w:spacing w:line="500" w:lineRule="exact"/>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意向受让方若有疑</w:t>
      </w:r>
      <w:r>
        <w:rPr>
          <w:rFonts w:hint="eastAsia" w:ascii="宋体" w:hAnsi="宋体" w:cs="宋体"/>
          <w:color w:val="auto"/>
          <w:sz w:val="28"/>
          <w:szCs w:val="28"/>
          <w:highlight w:val="none"/>
        </w:rPr>
        <w:t>问，须于</w:t>
      </w:r>
      <w:r>
        <w:rPr>
          <w:rFonts w:hint="eastAsia" w:ascii="宋体" w:hAnsi="宋体" w:cs="宋体"/>
          <w:color w:val="auto"/>
          <w:sz w:val="28"/>
          <w:szCs w:val="28"/>
          <w:highlight w:val="none"/>
          <w:lang w:val="en-US" w:eastAsia="zh-CN"/>
        </w:rPr>
        <w:t>2021</w:t>
      </w:r>
      <w:r>
        <w:rPr>
          <w:rFonts w:hint="eastAsia" w:ascii="宋体" w:hAnsi="宋体" w:cs="宋体"/>
          <w:color w:val="auto"/>
          <w:sz w:val="28"/>
          <w:szCs w:val="28"/>
          <w:highlight w:val="none"/>
        </w:rPr>
        <w:t>年</w:t>
      </w:r>
      <w:r>
        <w:rPr>
          <w:rFonts w:hint="eastAsia" w:ascii="宋体" w:hAnsi="宋体" w:cs="宋体"/>
          <w:color w:val="auto"/>
          <w:sz w:val="28"/>
          <w:szCs w:val="28"/>
          <w:highlight w:val="none"/>
          <w:lang w:val="en-US" w:eastAsia="zh-CN"/>
        </w:rPr>
        <w:t>9</w:t>
      </w:r>
      <w:r>
        <w:rPr>
          <w:rFonts w:hint="eastAsia" w:ascii="宋体" w:hAnsi="宋体" w:cs="宋体"/>
          <w:color w:val="auto"/>
          <w:sz w:val="28"/>
          <w:szCs w:val="28"/>
          <w:highlight w:val="none"/>
        </w:rPr>
        <w:t>月</w:t>
      </w:r>
      <w:r>
        <w:rPr>
          <w:rFonts w:hint="eastAsia" w:ascii="宋体" w:hAnsi="宋体" w:cs="宋体"/>
          <w:color w:val="auto"/>
          <w:sz w:val="28"/>
          <w:szCs w:val="28"/>
          <w:highlight w:val="none"/>
          <w:lang w:val="en-US" w:eastAsia="zh-CN"/>
        </w:rPr>
        <w:t>23</w:t>
      </w:r>
      <w:r>
        <w:rPr>
          <w:rFonts w:hint="eastAsia" w:ascii="宋体" w:hAnsi="宋体" w:cs="宋体"/>
          <w:color w:val="auto"/>
          <w:sz w:val="28"/>
          <w:szCs w:val="28"/>
          <w:highlight w:val="none"/>
        </w:rPr>
        <w:t>日</w:t>
      </w:r>
      <w:r>
        <w:rPr>
          <w:rFonts w:hint="eastAsia" w:ascii="宋体" w:hAnsi="宋体" w:cs="宋体"/>
          <w:color w:val="auto"/>
          <w:sz w:val="28"/>
          <w:szCs w:val="28"/>
          <w:highlight w:val="none"/>
          <w:lang w:val="en-US" w:eastAsia="zh-CN"/>
        </w:rPr>
        <w:t>16：00</w:t>
      </w:r>
      <w:r>
        <w:rPr>
          <w:rFonts w:hint="eastAsia" w:ascii="宋体" w:hAnsi="宋体" w:cs="宋体"/>
          <w:color w:val="auto"/>
          <w:sz w:val="28"/>
          <w:szCs w:val="28"/>
          <w:highlight w:val="none"/>
        </w:rPr>
        <w:t>前向交易所递交书面提疑表，于</w:t>
      </w:r>
      <w:r>
        <w:rPr>
          <w:rFonts w:hint="eastAsia" w:ascii="宋体" w:hAnsi="宋体" w:cs="宋体"/>
          <w:color w:val="auto"/>
          <w:sz w:val="28"/>
          <w:szCs w:val="28"/>
          <w:highlight w:val="none"/>
          <w:lang w:val="en-US" w:eastAsia="zh-CN"/>
        </w:rPr>
        <w:t>2021</w:t>
      </w:r>
      <w:r>
        <w:rPr>
          <w:rFonts w:hint="eastAsia" w:ascii="宋体" w:hAnsi="宋体" w:cs="宋体"/>
          <w:color w:val="auto"/>
          <w:sz w:val="28"/>
          <w:szCs w:val="28"/>
          <w:highlight w:val="none"/>
        </w:rPr>
        <w:t>年</w:t>
      </w:r>
      <w:r>
        <w:rPr>
          <w:rFonts w:hint="eastAsia" w:ascii="宋体" w:hAnsi="宋体" w:cs="宋体"/>
          <w:color w:val="auto"/>
          <w:sz w:val="28"/>
          <w:szCs w:val="28"/>
          <w:highlight w:val="none"/>
          <w:lang w:val="en-US" w:eastAsia="zh-CN"/>
        </w:rPr>
        <w:t>9</w:t>
      </w:r>
      <w:r>
        <w:rPr>
          <w:rFonts w:hint="eastAsia" w:ascii="宋体" w:hAnsi="宋体" w:cs="宋体"/>
          <w:color w:val="auto"/>
          <w:sz w:val="28"/>
          <w:szCs w:val="28"/>
          <w:highlight w:val="none"/>
        </w:rPr>
        <w:t>月</w:t>
      </w:r>
      <w:r>
        <w:rPr>
          <w:rFonts w:hint="eastAsia" w:ascii="宋体" w:hAnsi="宋体" w:cs="宋体"/>
          <w:color w:val="auto"/>
          <w:sz w:val="28"/>
          <w:szCs w:val="28"/>
          <w:highlight w:val="none"/>
          <w:lang w:val="en-US" w:eastAsia="zh-CN"/>
        </w:rPr>
        <w:t>26</w:t>
      </w:r>
      <w:r>
        <w:rPr>
          <w:rFonts w:hint="eastAsia" w:ascii="宋体" w:hAnsi="宋体" w:cs="宋体"/>
          <w:color w:val="auto"/>
          <w:sz w:val="28"/>
          <w:szCs w:val="28"/>
          <w:highlight w:val="none"/>
        </w:rPr>
        <w:t>日</w:t>
      </w:r>
      <w:r>
        <w:rPr>
          <w:rFonts w:hint="eastAsia" w:ascii="宋体" w:hAnsi="宋体" w:cs="宋体"/>
          <w:color w:val="auto"/>
          <w:sz w:val="28"/>
          <w:szCs w:val="28"/>
          <w:highlight w:val="none"/>
          <w:lang w:val="en-US" w:eastAsia="zh-CN"/>
        </w:rPr>
        <w:t>16：00</w:t>
      </w:r>
      <w:r>
        <w:rPr>
          <w:rFonts w:hint="eastAsia" w:ascii="宋体" w:hAnsi="宋体" w:cs="宋体"/>
          <w:color w:val="auto"/>
          <w:sz w:val="28"/>
          <w:szCs w:val="28"/>
          <w:highlight w:val="none"/>
        </w:rPr>
        <w:t>前转让方对意向受让方的书面提疑进行书面答复。若未在规定时间内提出疑问，视为无异议，超过规定时间提交的提疑，将不予受理。</w:t>
      </w:r>
    </w:p>
    <w:p>
      <w:pPr>
        <w:keepNext w:val="0"/>
        <w:keepLines w:val="0"/>
        <w:pageBreakBefore w:val="0"/>
        <w:widowControl w:val="0"/>
        <w:kinsoku/>
        <w:wordWrap/>
        <w:overflowPunct/>
        <w:topLinePunct w:val="0"/>
        <w:autoSpaceDE/>
        <w:autoSpaceDN/>
        <w:bidi w:val="0"/>
        <w:adjustRightInd/>
        <w:snapToGrid/>
        <w:spacing w:before="63" w:beforeLines="20" w:after="63" w:afterLines="20" w:line="500" w:lineRule="exact"/>
        <w:ind w:firstLine="562" w:firstLineChars="200"/>
        <w:textAlignment w:val="auto"/>
        <w:rPr>
          <w:rFonts w:ascii="宋体" w:hAnsi="宋体" w:cs="宋体"/>
          <w:b/>
          <w:bCs/>
          <w:color w:val="auto"/>
          <w:sz w:val="28"/>
          <w:szCs w:val="28"/>
          <w:highlight w:val="none"/>
        </w:rPr>
      </w:pPr>
      <w:r>
        <w:rPr>
          <w:rFonts w:hint="eastAsia" w:ascii="宋体" w:hAnsi="宋体" w:cs="宋体"/>
          <w:b/>
          <w:bCs/>
          <w:color w:val="auto"/>
          <w:sz w:val="28"/>
          <w:szCs w:val="28"/>
          <w:highlight w:val="none"/>
        </w:rPr>
        <w:t>十六、申请人资格审核</w:t>
      </w:r>
    </w:p>
    <w:p>
      <w:pPr>
        <w:spacing w:line="500" w:lineRule="exact"/>
        <w:ind w:firstLine="560" w:firstLineChars="200"/>
        <w:rPr>
          <w:rFonts w:ascii="宋体" w:hAnsi="宋体" w:cs="宋体"/>
          <w:color w:val="auto"/>
          <w:sz w:val="28"/>
          <w:szCs w:val="28"/>
          <w:highlight w:val="none"/>
        </w:rPr>
      </w:pPr>
      <w:r>
        <w:rPr>
          <w:rFonts w:ascii="宋体" w:hAnsi="宋体" w:cs="宋体"/>
          <w:color w:val="auto"/>
          <w:sz w:val="28"/>
          <w:szCs w:val="28"/>
          <w:highlight w:val="none"/>
        </w:rPr>
        <w:t>（一）</w:t>
      </w:r>
      <w:r>
        <w:rPr>
          <w:rFonts w:hint="eastAsia" w:ascii="宋体" w:hAnsi="宋体" w:cs="宋体"/>
          <w:color w:val="auto"/>
          <w:sz w:val="28"/>
          <w:szCs w:val="28"/>
          <w:highlight w:val="none"/>
        </w:rPr>
        <w:t>对意向受让方递交的申请材料，交易所</w:t>
      </w:r>
      <w:r>
        <w:rPr>
          <w:rFonts w:hint="eastAsia" w:ascii="宋体" w:hAnsi="宋体" w:cs="宋体"/>
          <w:color w:val="auto"/>
          <w:sz w:val="28"/>
          <w:szCs w:val="28"/>
          <w:highlight w:val="none"/>
          <w:lang w:val="en-US" w:eastAsia="zh-CN"/>
        </w:rPr>
        <w:t>将</w:t>
      </w:r>
      <w:r>
        <w:rPr>
          <w:rFonts w:hint="eastAsia" w:ascii="宋体" w:hAnsi="宋体" w:cs="宋体"/>
          <w:color w:val="auto"/>
          <w:sz w:val="28"/>
          <w:szCs w:val="28"/>
          <w:highlight w:val="none"/>
        </w:rPr>
        <w:t>在</w:t>
      </w:r>
      <w:r>
        <w:rPr>
          <w:rFonts w:hint="eastAsia" w:ascii="宋体" w:hAnsi="宋体" w:cs="宋体"/>
          <w:color w:val="auto"/>
          <w:sz w:val="28"/>
          <w:szCs w:val="28"/>
          <w:highlight w:val="none"/>
          <w:lang w:val="en-US" w:eastAsia="zh-CN"/>
        </w:rPr>
        <w:t>2021年9月24日至2021年9月26日</w:t>
      </w:r>
      <w:r>
        <w:rPr>
          <w:rFonts w:hint="eastAsia" w:ascii="宋体" w:hAnsi="宋体" w:cs="宋体"/>
          <w:color w:val="auto"/>
          <w:sz w:val="28"/>
          <w:szCs w:val="28"/>
          <w:highlight w:val="none"/>
        </w:rPr>
        <w:t>对报名人材料的齐全性、对是否符合受让条件等情况进行审核。</w:t>
      </w:r>
    </w:p>
    <w:p>
      <w:pPr>
        <w:spacing w:line="500" w:lineRule="exact"/>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（二）交易所通知符合资格条件的意向受让方在规定时间内交纳保证金。</w:t>
      </w:r>
    </w:p>
    <w:p>
      <w:pPr>
        <w:keepNext w:val="0"/>
        <w:keepLines w:val="0"/>
        <w:pageBreakBefore w:val="0"/>
        <w:widowControl w:val="0"/>
        <w:kinsoku/>
        <w:wordWrap/>
        <w:overflowPunct/>
        <w:topLinePunct w:val="0"/>
        <w:autoSpaceDE/>
        <w:autoSpaceDN/>
        <w:bidi w:val="0"/>
        <w:adjustRightInd/>
        <w:snapToGrid/>
        <w:spacing w:before="63" w:beforeLines="20" w:after="63" w:afterLines="20" w:line="500" w:lineRule="exact"/>
        <w:ind w:firstLine="562" w:firstLineChars="200"/>
        <w:textAlignment w:val="auto"/>
        <w:rPr>
          <w:rFonts w:ascii="宋体" w:hAnsi="宋体" w:cs="宋体"/>
          <w:b/>
          <w:bCs/>
          <w:color w:val="auto"/>
          <w:sz w:val="28"/>
          <w:szCs w:val="28"/>
          <w:highlight w:val="none"/>
        </w:rPr>
      </w:pPr>
      <w:r>
        <w:rPr>
          <w:rFonts w:hint="eastAsia" w:ascii="宋体" w:hAnsi="宋体" w:cs="宋体"/>
          <w:b/>
          <w:bCs/>
          <w:color w:val="auto"/>
          <w:sz w:val="28"/>
          <w:szCs w:val="28"/>
          <w:highlight w:val="none"/>
        </w:rPr>
        <w:t>十七、保证金交纳及竞买资格确认</w:t>
      </w:r>
    </w:p>
    <w:p>
      <w:pPr>
        <w:spacing w:line="500" w:lineRule="exact"/>
        <w:ind w:firstLine="560" w:firstLineChars="200"/>
        <w:rPr>
          <w:rFonts w:ascii="宋体" w:hAnsi="宋体" w:cs="宋体"/>
          <w:color w:val="auto"/>
          <w:sz w:val="28"/>
          <w:szCs w:val="28"/>
          <w:highlight w:val="none"/>
        </w:rPr>
      </w:pPr>
      <w:r>
        <w:rPr>
          <w:rFonts w:ascii="宋体" w:hAnsi="宋体" w:cs="宋体"/>
          <w:color w:val="auto"/>
          <w:sz w:val="28"/>
          <w:szCs w:val="28"/>
          <w:highlight w:val="none"/>
        </w:rPr>
        <w:t>（</w:t>
      </w:r>
      <w:r>
        <w:rPr>
          <w:rFonts w:hint="eastAsia" w:ascii="宋体" w:hAnsi="宋体" w:cs="宋体"/>
          <w:color w:val="auto"/>
          <w:sz w:val="28"/>
          <w:szCs w:val="28"/>
          <w:highlight w:val="none"/>
        </w:rPr>
        <w:t>一</w:t>
      </w:r>
      <w:r>
        <w:rPr>
          <w:rFonts w:ascii="宋体" w:hAnsi="宋体" w:cs="宋体"/>
          <w:color w:val="auto"/>
          <w:sz w:val="28"/>
          <w:szCs w:val="28"/>
          <w:highlight w:val="none"/>
        </w:rPr>
        <w:t>）</w:t>
      </w:r>
      <w:r>
        <w:rPr>
          <w:rFonts w:hint="eastAsia" w:ascii="宋体" w:hAnsi="宋体" w:cs="宋体"/>
          <w:color w:val="auto"/>
          <w:sz w:val="28"/>
          <w:szCs w:val="28"/>
          <w:highlight w:val="none"/>
        </w:rPr>
        <w:t>交纳竞买保证金</w:t>
      </w:r>
      <w:r>
        <w:rPr>
          <w:rFonts w:hint="eastAsia" w:ascii="宋体" w:hAnsi="宋体" w:cs="宋体"/>
          <w:b/>
          <w:color w:val="auto"/>
          <w:sz w:val="28"/>
          <w:szCs w:val="28"/>
          <w:highlight w:val="none"/>
        </w:rPr>
        <w:t>时间</w:t>
      </w:r>
      <w:r>
        <w:rPr>
          <w:rFonts w:hint="eastAsia" w:ascii="宋体" w:hAnsi="宋体" w:cs="宋体"/>
          <w:color w:val="auto"/>
          <w:sz w:val="28"/>
          <w:szCs w:val="28"/>
          <w:highlight w:val="none"/>
        </w:rPr>
        <w:t>：</w:t>
      </w:r>
      <w:r>
        <w:rPr>
          <w:rFonts w:hint="eastAsia" w:ascii="宋体" w:hAnsi="宋体" w:cs="宋体"/>
          <w:color w:val="auto"/>
          <w:sz w:val="28"/>
          <w:szCs w:val="28"/>
          <w:highlight w:val="none"/>
          <w:lang w:val="en-US" w:eastAsia="zh-CN"/>
        </w:rPr>
        <w:t>2021</w:t>
      </w:r>
      <w:r>
        <w:rPr>
          <w:rFonts w:ascii="宋体" w:hAnsi="宋体" w:cs="宋体"/>
          <w:color w:val="auto"/>
          <w:sz w:val="28"/>
          <w:szCs w:val="28"/>
          <w:highlight w:val="none"/>
        </w:rPr>
        <w:t>年</w:t>
      </w:r>
      <w:r>
        <w:rPr>
          <w:rFonts w:hint="eastAsia" w:ascii="宋体" w:hAnsi="宋体" w:cs="宋体"/>
          <w:color w:val="auto"/>
          <w:sz w:val="28"/>
          <w:szCs w:val="28"/>
          <w:highlight w:val="none"/>
          <w:lang w:val="en-US" w:eastAsia="zh-CN"/>
        </w:rPr>
        <w:t>9</w:t>
      </w:r>
      <w:r>
        <w:rPr>
          <w:rFonts w:hint="eastAsia" w:ascii="宋体" w:hAnsi="宋体" w:cs="宋体"/>
          <w:color w:val="auto"/>
          <w:sz w:val="28"/>
          <w:szCs w:val="28"/>
          <w:highlight w:val="none"/>
        </w:rPr>
        <w:t>月</w:t>
      </w:r>
      <w:r>
        <w:rPr>
          <w:rFonts w:hint="eastAsia" w:ascii="宋体" w:hAnsi="宋体" w:cs="宋体"/>
          <w:color w:val="auto"/>
          <w:sz w:val="28"/>
          <w:szCs w:val="28"/>
          <w:highlight w:val="none"/>
          <w:lang w:val="en-US" w:eastAsia="zh-CN"/>
        </w:rPr>
        <w:t>27</w:t>
      </w:r>
      <w:r>
        <w:rPr>
          <w:rFonts w:hint="eastAsia" w:ascii="宋体" w:hAnsi="宋体" w:cs="宋体"/>
          <w:color w:val="auto"/>
          <w:sz w:val="28"/>
          <w:szCs w:val="28"/>
          <w:highlight w:val="none"/>
        </w:rPr>
        <w:t>日至</w:t>
      </w:r>
      <w:r>
        <w:rPr>
          <w:rFonts w:hint="eastAsia" w:ascii="宋体" w:hAnsi="宋体" w:cs="宋体"/>
          <w:color w:val="auto"/>
          <w:sz w:val="28"/>
          <w:szCs w:val="28"/>
          <w:highlight w:val="none"/>
          <w:lang w:val="en-US" w:eastAsia="zh-CN"/>
        </w:rPr>
        <w:t>2021</w:t>
      </w:r>
      <w:r>
        <w:rPr>
          <w:rFonts w:ascii="宋体" w:hAnsi="宋体" w:cs="宋体"/>
          <w:color w:val="auto"/>
          <w:sz w:val="28"/>
          <w:szCs w:val="28"/>
          <w:highlight w:val="none"/>
        </w:rPr>
        <w:t>年</w:t>
      </w:r>
      <w:r>
        <w:rPr>
          <w:rFonts w:hint="eastAsia" w:ascii="宋体" w:hAnsi="宋体" w:cs="宋体"/>
          <w:color w:val="auto"/>
          <w:sz w:val="28"/>
          <w:szCs w:val="28"/>
          <w:highlight w:val="none"/>
          <w:lang w:val="en-US" w:eastAsia="zh-CN"/>
        </w:rPr>
        <w:t>9</w:t>
      </w:r>
      <w:r>
        <w:rPr>
          <w:rFonts w:hint="eastAsia" w:ascii="宋体" w:hAnsi="宋体" w:cs="宋体"/>
          <w:color w:val="auto"/>
          <w:sz w:val="28"/>
          <w:szCs w:val="28"/>
          <w:highlight w:val="none"/>
        </w:rPr>
        <w:t>月</w:t>
      </w:r>
      <w:r>
        <w:rPr>
          <w:rFonts w:hint="eastAsia" w:ascii="宋体" w:hAnsi="宋体" w:cs="宋体"/>
          <w:color w:val="auto"/>
          <w:sz w:val="28"/>
          <w:szCs w:val="28"/>
          <w:highlight w:val="none"/>
          <w:lang w:val="en-US" w:eastAsia="zh-CN"/>
        </w:rPr>
        <w:t>29</w:t>
      </w:r>
      <w:r>
        <w:rPr>
          <w:rFonts w:hint="eastAsia" w:ascii="宋体" w:hAnsi="宋体" w:cs="宋体"/>
          <w:color w:val="auto"/>
          <w:sz w:val="28"/>
          <w:szCs w:val="28"/>
          <w:highlight w:val="none"/>
        </w:rPr>
        <w:t>日</w:t>
      </w:r>
      <w:r>
        <w:rPr>
          <w:rFonts w:ascii="宋体" w:hAnsi="宋体" w:cs="宋体"/>
          <w:color w:val="auto"/>
          <w:sz w:val="28"/>
          <w:szCs w:val="28"/>
          <w:highlight w:val="none"/>
        </w:rPr>
        <w:t>16：00前</w:t>
      </w:r>
      <w:r>
        <w:rPr>
          <w:rFonts w:hint="eastAsia" w:ascii="宋体" w:hAnsi="宋体" w:cs="宋体"/>
          <w:color w:val="auto"/>
          <w:sz w:val="28"/>
          <w:szCs w:val="28"/>
          <w:highlight w:val="none"/>
        </w:rPr>
        <w:t>（以银行到账时间为准）；</w:t>
      </w:r>
    </w:p>
    <w:p>
      <w:pPr>
        <w:spacing w:line="500" w:lineRule="exact"/>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竞买保证金</w:t>
      </w:r>
      <w:r>
        <w:rPr>
          <w:rFonts w:hint="eastAsia" w:ascii="宋体" w:hAnsi="宋体" w:cs="宋体"/>
          <w:b/>
          <w:color w:val="auto"/>
          <w:sz w:val="28"/>
          <w:szCs w:val="28"/>
          <w:highlight w:val="none"/>
        </w:rPr>
        <w:t>数额</w:t>
      </w:r>
      <w:r>
        <w:rPr>
          <w:rFonts w:hint="eastAsia" w:ascii="宋体" w:hAnsi="宋体" w:cs="宋体"/>
          <w:color w:val="auto"/>
          <w:sz w:val="28"/>
          <w:szCs w:val="28"/>
          <w:highlight w:val="none"/>
        </w:rPr>
        <w:t>：人民</w:t>
      </w:r>
      <w:r>
        <w:rPr>
          <w:rFonts w:hint="eastAsia" w:ascii="宋体" w:hAnsi="宋体" w:cs="宋体"/>
          <w:color w:val="auto"/>
          <w:sz w:val="28"/>
          <w:szCs w:val="28"/>
          <w:highlight w:val="none"/>
        </w:rPr>
        <w:t>币</w:t>
      </w:r>
      <w:r>
        <w:rPr>
          <w:rFonts w:hint="eastAsia" w:ascii="宋体" w:hAnsi="宋体" w:cs="宋体"/>
          <w:color w:val="auto"/>
          <w:sz w:val="28"/>
          <w:szCs w:val="28"/>
          <w:highlight w:val="none"/>
          <w:lang w:val="en-US" w:eastAsia="zh-CN"/>
        </w:rPr>
        <w:t>12600万</w:t>
      </w:r>
      <w:r>
        <w:rPr>
          <w:rFonts w:hint="eastAsia" w:ascii="宋体" w:hAnsi="宋体" w:cs="宋体"/>
          <w:color w:val="auto"/>
          <w:sz w:val="28"/>
          <w:szCs w:val="28"/>
          <w:highlight w:val="none"/>
        </w:rPr>
        <w:t>元；</w:t>
      </w:r>
    </w:p>
    <w:p>
      <w:pPr>
        <w:widowControl/>
        <w:spacing w:line="500" w:lineRule="exact"/>
        <w:ind w:firstLine="560" w:firstLineChars="200"/>
        <w:jc w:val="left"/>
        <w:rPr>
          <w:rFonts w:ascii="宋体" w:hAnsi="宋体" w:cs="宋体"/>
          <w:color w:val="auto"/>
          <w:sz w:val="28"/>
          <w:szCs w:val="28"/>
          <w:highlight w:val="none"/>
        </w:rPr>
      </w:pPr>
      <w:r>
        <w:rPr>
          <w:rFonts w:hint="eastAsia" w:ascii="宋体" w:hAnsi="宋体" w:cs="宋体"/>
          <w:color w:val="auto"/>
          <w:sz w:val="28"/>
          <w:szCs w:val="28"/>
          <w:highlight w:val="none"/>
        </w:rPr>
        <w:t>竞买保证金的</w:t>
      </w:r>
      <w:r>
        <w:rPr>
          <w:rFonts w:hint="eastAsia" w:ascii="宋体" w:hAnsi="宋体" w:cs="宋体"/>
          <w:b/>
          <w:color w:val="auto"/>
          <w:sz w:val="28"/>
          <w:szCs w:val="28"/>
          <w:highlight w:val="none"/>
        </w:rPr>
        <w:t>交纳</w:t>
      </w:r>
      <w:r>
        <w:rPr>
          <w:rFonts w:hint="eastAsia" w:ascii="宋体" w:hAnsi="宋体" w:cs="宋体"/>
          <w:color w:val="auto"/>
          <w:sz w:val="28"/>
          <w:szCs w:val="28"/>
          <w:highlight w:val="none"/>
        </w:rPr>
        <w:t>：</w:t>
      </w:r>
      <w:r>
        <w:rPr>
          <w:rFonts w:hint="eastAsia" w:ascii="宋体" w:hAnsi="宋体" w:cs="宋体"/>
          <w:color w:val="auto"/>
          <w:spacing w:val="-14"/>
          <w:kern w:val="0"/>
          <w:sz w:val="28"/>
          <w:szCs w:val="28"/>
          <w:highlight w:val="none"/>
        </w:rPr>
        <w:t>报名人与转款人名称必须一致</w:t>
      </w:r>
      <w:r>
        <w:rPr>
          <w:rFonts w:hint="eastAsia" w:ascii="宋体" w:hAnsi="宋体" w:cs="宋体"/>
          <w:color w:val="auto"/>
          <w:spacing w:val="-14"/>
          <w:kern w:val="0"/>
          <w:sz w:val="28"/>
          <w:szCs w:val="28"/>
          <w:highlight w:val="none"/>
          <w:u w:val="single"/>
        </w:rPr>
        <w:t>（不允许代交，代交保证金无效），</w:t>
      </w:r>
      <w:r>
        <w:rPr>
          <w:rFonts w:hint="eastAsia" w:ascii="宋体" w:hAnsi="宋体" w:cs="宋体"/>
          <w:color w:val="auto"/>
          <w:spacing w:val="-14"/>
          <w:kern w:val="0"/>
          <w:sz w:val="28"/>
          <w:szCs w:val="28"/>
          <w:highlight w:val="none"/>
        </w:rPr>
        <w:t>转款时须注明参与项目名称,例如：“八都项目”。保证金、成交款项交款专用账号（此账号专人专用）：</w:t>
      </w:r>
    </w:p>
    <w:p>
      <w:pPr>
        <w:widowControl/>
        <w:spacing w:line="500" w:lineRule="exact"/>
        <w:ind w:firstLine="504" w:firstLineChars="200"/>
        <w:jc w:val="left"/>
        <w:rPr>
          <w:rFonts w:ascii="宋体" w:hAnsi="宋体" w:cs="宋体"/>
          <w:color w:val="auto"/>
          <w:sz w:val="28"/>
          <w:szCs w:val="28"/>
          <w:highlight w:val="none"/>
        </w:rPr>
      </w:pPr>
      <w:r>
        <w:rPr>
          <w:rFonts w:hint="eastAsia" w:ascii="宋体" w:hAnsi="宋体" w:cs="宋体"/>
          <w:color w:val="auto"/>
          <w:spacing w:val="-14"/>
          <w:kern w:val="0"/>
          <w:sz w:val="28"/>
          <w:szCs w:val="28"/>
          <w:highlight w:val="none"/>
        </w:rPr>
        <w:t>户  名：义乌产权交易所有限公司</w:t>
      </w:r>
    </w:p>
    <w:p>
      <w:pPr>
        <w:widowControl/>
        <w:spacing w:line="500" w:lineRule="exact"/>
        <w:ind w:firstLine="504" w:firstLineChars="200"/>
        <w:jc w:val="left"/>
        <w:rPr>
          <w:rFonts w:ascii="宋体" w:hAnsi="宋体" w:cs="宋体"/>
          <w:color w:val="auto"/>
          <w:sz w:val="28"/>
          <w:szCs w:val="28"/>
          <w:highlight w:val="none"/>
        </w:rPr>
      </w:pPr>
      <w:r>
        <w:rPr>
          <w:rFonts w:hint="eastAsia" w:ascii="宋体" w:hAnsi="宋体" w:cs="宋体"/>
          <w:color w:val="auto"/>
          <w:spacing w:val="-14"/>
          <w:kern w:val="0"/>
          <w:sz w:val="28"/>
          <w:szCs w:val="28"/>
          <w:highlight w:val="none"/>
        </w:rPr>
        <w:t>开户行：工商银行义乌词林支行</w:t>
      </w:r>
    </w:p>
    <w:p>
      <w:pPr>
        <w:widowControl/>
        <w:spacing w:line="500" w:lineRule="exact"/>
        <w:ind w:firstLine="504" w:firstLineChars="200"/>
        <w:jc w:val="left"/>
        <w:rPr>
          <w:rFonts w:ascii="宋体" w:hAnsi="宋体" w:cs="宋体"/>
          <w:color w:val="auto"/>
          <w:sz w:val="28"/>
          <w:szCs w:val="28"/>
          <w:highlight w:val="none"/>
        </w:rPr>
      </w:pPr>
      <w:r>
        <w:rPr>
          <w:rFonts w:hint="eastAsia" w:ascii="宋体" w:hAnsi="宋体" w:cs="宋体"/>
          <w:color w:val="auto"/>
          <w:spacing w:val="-14"/>
          <w:kern w:val="0"/>
          <w:sz w:val="28"/>
          <w:szCs w:val="28"/>
          <w:highlight w:val="none"/>
        </w:rPr>
        <w:t>账  号：e交易竞价系统短信发送的专用账号（仅作为交纳竞买保证金、成交款项的临时账号）</w:t>
      </w:r>
    </w:p>
    <w:p>
      <w:pPr>
        <w:spacing w:line="500" w:lineRule="exact"/>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（二）竞买人交纳的保证金均不计利息，未竞得人的保证金于竞价结束三个工作日内退还，竞得人的竞买保证金可抵交转让款。</w:t>
      </w:r>
    </w:p>
    <w:p>
      <w:pPr>
        <w:spacing w:line="500" w:lineRule="exact"/>
        <w:ind w:firstLine="560" w:firstLineChars="200"/>
        <w:rPr>
          <w:rFonts w:ascii="宋体" w:hAnsi="宋体" w:cs="仿宋_GB2312"/>
          <w:color w:val="auto"/>
          <w:sz w:val="28"/>
          <w:szCs w:val="28"/>
          <w:highlight w:val="none"/>
        </w:rPr>
      </w:pPr>
      <w:r>
        <w:rPr>
          <w:rFonts w:hint="eastAsia" w:ascii="宋体" w:hAnsi="宋体" w:cs="宋体"/>
          <w:color w:val="auto"/>
          <w:sz w:val="28"/>
          <w:szCs w:val="28"/>
          <w:highlight w:val="none"/>
        </w:rPr>
        <w:t>★</w:t>
      </w:r>
      <w:r>
        <w:rPr>
          <w:rFonts w:hint="eastAsia" w:ascii="宋体" w:hAnsi="宋体" w:cs="宋体"/>
          <w:b/>
          <w:color w:val="auto"/>
          <w:sz w:val="28"/>
          <w:szCs w:val="28"/>
          <w:highlight w:val="none"/>
        </w:rPr>
        <w:t>注意事项：</w:t>
      </w:r>
      <w:r>
        <w:rPr>
          <w:rFonts w:hint="eastAsia" w:ascii="宋体" w:hAnsi="宋体" w:cs="仿宋_GB2312"/>
          <w:b/>
          <w:color w:val="auto"/>
          <w:sz w:val="28"/>
          <w:szCs w:val="28"/>
          <w:highlight w:val="none"/>
        </w:rPr>
        <w:t>意向受让方一旦通过资格确认且交纳保证金，即视为对本细则及相关挂牌文件内容予以认可，已无任何异议，同时其竞买受让申请将不可撤回</w:t>
      </w:r>
      <w:r>
        <w:rPr>
          <w:rFonts w:hint="eastAsia" w:ascii="宋体" w:hAnsi="宋体" w:cs="仿宋_GB2312"/>
          <w:color w:val="auto"/>
          <w:sz w:val="28"/>
          <w:szCs w:val="28"/>
          <w:highlight w:val="none"/>
        </w:rPr>
        <w:t>。</w:t>
      </w:r>
    </w:p>
    <w:p>
      <w:pPr>
        <w:keepNext w:val="0"/>
        <w:keepLines w:val="0"/>
        <w:pageBreakBefore w:val="0"/>
        <w:widowControl w:val="0"/>
        <w:kinsoku/>
        <w:wordWrap/>
        <w:overflowPunct/>
        <w:topLinePunct w:val="0"/>
        <w:autoSpaceDE/>
        <w:autoSpaceDN/>
        <w:bidi w:val="0"/>
        <w:adjustRightInd/>
        <w:snapToGrid/>
        <w:spacing w:before="63" w:beforeLines="20" w:after="63" w:afterLines="20" w:line="500" w:lineRule="exact"/>
        <w:ind w:firstLine="562" w:firstLineChars="200"/>
        <w:textAlignment w:val="auto"/>
        <w:rPr>
          <w:rFonts w:ascii="宋体" w:hAnsi="宋体" w:cs="宋体"/>
          <w:b/>
          <w:color w:val="auto"/>
          <w:sz w:val="28"/>
          <w:szCs w:val="28"/>
          <w:highlight w:val="none"/>
        </w:rPr>
      </w:pPr>
      <w:r>
        <w:rPr>
          <w:rFonts w:hint="eastAsia" w:ascii="宋体" w:hAnsi="宋体" w:cs="宋体"/>
          <w:b/>
          <w:color w:val="auto"/>
          <w:sz w:val="28"/>
          <w:szCs w:val="28"/>
          <w:highlight w:val="none"/>
        </w:rPr>
        <w:t>十八、网络报价、竞价</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宋体" w:hAnsi="宋体" w:cs="宋体"/>
          <w:color w:val="auto"/>
          <w:sz w:val="28"/>
          <w:szCs w:val="28"/>
          <w:highlight w:val="none"/>
        </w:rPr>
      </w:pPr>
      <w:r>
        <w:rPr>
          <w:rFonts w:hint="eastAsia" w:ascii="宋体" w:hAnsi="宋体" w:cs="宋体"/>
          <w:color w:val="auto"/>
          <w:sz w:val="28"/>
          <w:szCs w:val="28"/>
          <w:highlight w:val="none"/>
        </w:rPr>
        <w:t>（一）仅有一个有效竞买人的情形：</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宋体" w:hAnsi="宋体" w:cs="宋体"/>
          <w:color w:val="auto"/>
          <w:sz w:val="28"/>
          <w:szCs w:val="28"/>
          <w:highlight w:val="none"/>
        </w:rPr>
      </w:pPr>
      <w:r>
        <w:rPr>
          <w:rFonts w:hint="eastAsia" w:ascii="宋体" w:hAnsi="宋体" w:cs="宋体"/>
          <w:color w:val="auto"/>
          <w:sz w:val="28"/>
          <w:szCs w:val="28"/>
          <w:highlight w:val="none"/>
        </w:rPr>
        <w:t>保证金交纳时间截止后，仅有一个竞买人通过资格审核，且足额交纳保证金的</w:t>
      </w:r>
      <w:r>
        <w:rPr>
          <w:rFonts w:hint="eastAsia" w:ascii="宋体" w:hAnsi="宋体" w:cs="宋体"/>
          <w:color w:val="auto"/>
          <w:sz w:val="28"/>
          <w:szCs w:val="28"/>
          <w:highlight w:val="none"/>
        </w:rPr>
        <w:t>，</w:t>
      </w:r>
      <w:r>
        <w:rPr>
          <w:rFonts w:hint="eastAsia" w:ascii="宋体" w:hAnsi="宋体" w:cs="宋体"/>
          <w:color w:val="auto"/>
          <w:sz w:val="28"/>
          <w:szCs w:val="28"/>
          <w:highlight w:val="none"/>
          <w:lang w:val="en-US" w:eastAsia="zh-CN"/>
        </w:rPr>
        <w:t>2021</w:t>
      </w:r>
      <w:r>
        <w:rPr>
          <w:rFonts w:hint="eastAsia" w:ascii="宋体" w:hAnsi="宋体" w:cs="宋体"/>
          <w:color w:val="auto"/>
          <w:sz w:val="28"/>
          <w:szCs w:val="28"/>
          <w:highlight w:val="none"/>
        </w:rPr>
        <w:t>年</w:t>
      </w:r>
      <w:r>
        <w:rPr>
          <w:rFonts w:hint="eastAsia" w:ascii="宋体" w:hAnsi="宋体" w:cs="宋体"/>
          <w:color w:val="auto"/>
          <w:sz w:val="28"/>
          <w:szCs w:val="28"/>
          <w:highlight w:val="none"/>
          <w:lang w:val="en-US" w:eastAsia="zh-CN"/>
        </w:rPr>
        <w:t>9</w:t>
      </w:r>
      <w:r>
        <w:rPr>
          <w:rFonts w:hint="eastAsia" w:ascii="宋体" w:hAnsi="宋体" w:cs="宋体"/>
          <w:color w:val="auto"/>
          <w:sz w:val="28"/>
          <w:szCs w:val="28"/>
          <w:highlight w:val="none"/>
        </w:rPr>
        <w:t>月</w:t>
      </w:r>
      <w:r>
        <w:rPr>
          <w:rFonts w:hint="eastAsia" w:ascii="宋体" w:hAnsi="宋体" w:cs="宋体"/>
          <w:color w:val="auto"/>
          <w:sz w:val="28"/>
          <w:szCs w:val="28"/>
          <w:highlight w:val="none"/>
          <w:lang w:val="en-US" w:eastAsia="zh-CN"/>
        </w:rPr>
        <w:t>30</w:t>
      </w:r>
      <w:r>
        <w:rPr>
          <w:rFonts w:hint="eastAsia" w:ascii="宋体" w:hAnsi="宋体" w:cs="宋体"/>
          <w:color w:val="auto"/>
          <w:sz w:val="28"/>
          <w:szCs w:val="28"/>
          <w:highlight w:val="none"/>
        </w:rPr>
        <w:t>日通过e交易网站</w:t>
      </w:r>
      <w:r>
        <w:rPr>
          <w:rFonts w:hint="eastAsia" w:ascii="宋体" w:hAnsi="宋体" w:cs="宋体"/>
          <w:color w:val="auto"/>
          <w:kern w:val="0"/>
          <w:sz w:val="28"/>
          <w:szCs w:val="28"/>
          <w:highlight w:val="none"/>
        </w:rPr>
        <w:t>（</w:t>
      </w:r>
      <w:r>
        <w:rPr>
          <w:color w:val="auto"/>
          <w:highlight w:val="none"/>
        </w:rPr>
        <w:fldChar w:fldCharType="begin"/>
      </w:r>
      <w:r>
        <w:rPr>
          <w:color w:val="auto"/>
          <w:highlight w:val="none"/>
        </w:rPr>
        <w:instrText xml:space="preserve"> HYPERLINK "http://www.ejy365.com/" \t "http://www.e-jy.com.cn/ejyzx/eWebEditor/_blank" </w:instrText>
      </w:r>
      <w:r>
        <w:rPr>
          <w:color w:val="auto"/>
          <w:highlight w:val="none"/>
        </w:rPr>
        <w:fldChar w:fldCharType="separate"/>
      </w:r>
      <w:r>
        <w:rPr>
          <w:rStyle w:val="10"/>
          <w:rFonts w:hint="eastAsia" w:ascii="宋体" w:hAnsi="宋体" w:cs="宋体"/>
          <w:color w:val="auto"/>
          <w:sz w:val="28"/>
          <w:szCs w:val="28"/>
          <w:highlight w:val="none"/>
        </w:rPr>
        <w:t>www.ejy365.com</w:t>
      </w:r>
      <w:r>
        <w:rPr>
          <w:rStyle w:val="10"/>
          <w:rFonts w:hint="eastAsia" w:ascii="宋体" w:hAnsi="宋体" w:cs="宋体"/>
          <w:color w:val="auto"/>
          <w:sz w:val="28"/>
          <w:szCs w:val="28"/>
          <w:highlight w:val="none"/>
        </w:rPr>
        <w:fldChar w:fldCharType="end"/>
      </w:r>
      <w:r>
        <w:rPr>
          <w:rFonts w:hint="eastAsia" w:ascii="宋体" w:hAnsi="宋体" w:cs="宋体"/>
          <w:color w:val="auto"/>
          <w:kern w:val="0"/>
          <w:sz w:val="28"/>
          <w:szCs w:val="28"/>
          <w:highlight w:val="none"/>
        </w:rPr>
        <w:t>）</w:t>
      </w:r>
      <w:r>
        <w:rPr>
          <w:rFonts w:hint="eastAsia" w:ascii="宋体" w:hAnsi="宋体" w:cs="宋体"/>
          <w:color w:val="auto"/>
          <w:sz w:val="28"/>
          <w:szCs w:val="28"/>
          <w:highlight w:val="none"/>
        </w:rPr>
        <w:t>报价，竞买人报价不得低于挂牌转让底价。</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宋体" w:hAnsi="宋体" w:cs="宋体"/>
          <w:color w:val="auto"/>
          <w:sz w:val="28"/>
          <w:szCs w:val="28"/>
          <w:highlight w:val="none"/>
        </w:rPr>
      </w:pPr>
      <w:r>
        <w:rPr>
          <w:rFonts w:hint="eastAsia" w:ascii="宋体" w:hAnsi="宋体" w:cs="宋体"/>
          <w:color w:val="auto"/>
          <w:sz w:val="28"/>
          <w:szCs w:val="28"/>
          <w:highlight w:val="none"/>
        </w:rPr>
        <w:t>（二）有两个及以上有效竞买人的情形：</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宋体" w:hAnsi="宋体" w:cs="宋体"/>
          <w:color w:val="auto"/>
          <w:sz w:val="28"/>
          <w:szCs w:val="28"/>
          <w:highlight w:val="none"/>
        </w:rPr>
      </w:pPr>
      <w:r>
        <w:rPr>
          <w:rFonts w:hint="eastAsia" w:ascii="宋体" w:hAnsi="宋体" w:cs="宋体"/>
          <w:color w:val="auto"/>
          <w:sz w:val="28"/>
          <w:szCs w:val="28"/>
          <w:highlight w:val="none"/>
        </w:rPr>
        <w:t>保证金交纳时间截止后，有两个及以上竞买人的通过资格审核，且足额交纳保证金的，</w:t>
      </w:r>
      <w:r>
        <w:rPr>
          <w:rFonts w:hint="eastAsia" w:ascii="宋体" w:hAnsi="宋体" w:cs="宋体"/>
          <w:color w:val="auto"/>
          <w:sz w:val="28"/>
          <w:szCs w:val="28"/>
          <w:highlight w:val="none"/>
          <w:lang w:val="en-US" w:eastAsia="zh-CN"/>
        </w:rPr>
        <w:t>2021</w:t>
      </w:r>
      <w:r>
        <w:rPr>
          <w:rFonts w:hint="eastAsia" w:ascii="宋体" w:hAnsi="宋体" w:cs="宋体"/>
          <w:color w:val="auto"/>
          <w:sz w:val="28"/>
          <w:szCs w:val="28"/>
          <w:highlight w:val="none"/>
        </w:rPr>
        <w:t>年</w:t>
      </w:r>
      <w:r>
        <w:rPr>
          <w:rFonts w:hint="eastAsia" w:ascii="宋体" w:hAnsi="宋体" w:cs="宋体"/>
          <w:color w:val="auto"/>
          <w:sz w:val="28"/>
          <w:szCs w:val="28"/>
          <w:highlight w:val="none"/>
          <w:lang w:val="en-US" w:eastAsia="zh-CN"/>
        </w:rPr>
        <w:t>9</w:t>
      </w:r>
      <w:r>
        <w:rPr>
          <w:rFonts w:hint="eastAsia" w:ascii="宋体" w:hAnsi="宋体" w:cs="宋体"/>
          <w:color w:val="auto"/>
          <w:sz w:val="28"/>
          <w:szCs w:val="28"/>
          <w:highlight w:val="none"/>
        </w:rPr>
        <w:t>月</w:t>
      </w:r>
      <w:r>
        <w:rPr>
          <w:rFonts w:hint="eastAsia" w:ascii="宋体" w:hAnsi="宋体" w:cs="宋体"/>
          <w:color w:val="auto"/>
          <w:sz w:val="28"/>
          <w:szCs w:val="28"/>
          <w:highlight w:val="none"/>
          <w:lang w:val="en-US" w:eastAsia="zh-CN"/>
        </w:rPr>
        <w:t>30</w:t>
      </w:r>
      <w:r>
        <w:rPr>
          <w:rFonts w:hint="eastAsia" w:ascii="宋体" w:hAnsi="宋体" w:cs="宋体"/>
          <w:color w:val="auto"/>
          <w:sz w:val="28"/>
          <w:szCs w:val="28"/>
          <w:highlight w:val="none"/>
        </w:rPr>
        <w:t>日进行</w:t>
      </w:r>
      <w:r>
        <w:rPr>
          <w:rFonts w:hint="eastAsia" w:ascii="宋体" w:hAnsi="宋体" w:cs="宋体"/>
          <w:color w:val="auto"/>
          <w:sz w:val="28"/>
          <w:szCs w:val="28"/>
          <w:highlight w:val="none"/>
        </w:rPr>
        <w:t>网络竞价，竞买人需按以下事项进行报价：</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宋体" w:hAnsi="宋体" w:cs="宋体"/>
          <w:color w:val="auto"/>
          <w:sz w:val="28"/>
          <w:szCs w:val="28"/>
          <w:highlight w:val="none"/>
        </w:rPr>
      </w:pPr>
      <w:r>
        <w:rPr>
          <w:rFonts w:hint="eastAsia" w:ascii="宋体" w:hAnsi="宋体" w:cs="宋体"/>
          <w:color w:val="auto"/>
          <w:sz w:val="28"/>
          <w:szCs w:val="28"/>
          <w:highlight w:val="none"/>
        </w:rPr>
        <w:t>1.本次转让网络竞价采取多</w:t>
      </w:r>
      <w:r>
        <w:rPr>
          <w:rFonts w:ascii="宋体" w:hAnsi="宋体" w:cs="宋体"/>
          <w:color w:val="auto"/>
          <w:sz w:val="28"/>
          <w:szCs w:val="28"/>
          <w:highlight w:val="none"/>
        </w:rPr>
        <w:t>次报价</w:t>
      </w:r>
      <w:r>
        <w:rPr>
          <w:rFonts w:hint="eastAsia" w:ascii="宋体" w:hAnsi="宋体" w:cs="宋体"/>
          <w:color w:val="auto"/>
          <w:sz w:val="28"/>
          <w:szCs w:val="28"/>
          <w:highlight w:val="none"/>
        </w:rPr>
        <w:t>方式；</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宋体" w:hAnsi="宋体" w:cs="宋体"/>
          <w:color w:val="auto"/>
          <w:sz w:val="28"/>
          <w:szCs w:val="28"/>
          <w:highlight w:val="none"/>
        </w:rPr>
      </w:pPr>
      <w:r>
        <w:rPr>
          <w:rFonts w:hint="eastAsia" w:ascii="宋体" w:hAnsi="宋体" w:cs="宋体"/>
          <w:color w:val="auto"/>
          <w:sz w:val="28"/>
          <w:szCs w:val="28"/>
          <w:highlight w:val="none"/>
        </w:rPr>
        <w:t>2.竞价网站：由各竞买人登录</w:t>
      </w:r>
      <w:r>
        <w:rPr>
          <w:rFonts w:hint="eastAsia" w:ascii="宋体" w:hAnsi="宋体" w:cs="宋体"/>
          <w:color w:val="auto"/>
          <w:kern w:val="0"/>
          <w:sz w:val="28"/>
          <w:szCs w:val="28"/>
          <w:highlight w:val="none"/>
        </w:rPr>
        <w:t>e交易平台进行报价。竞买人可通过</w:t>
      </w:r>
      <w:r>
        <w:rPr>
          <w:rFonts w:hint="eastAsia" w:ascii="宋体" w:hAnsi="宋体" w:cs="宋体"/>
          <w:color w:val="auto"/>
          <w:sz w:val="28"/>
          <w:szCs w:val="28"/>
          <w:highlight w:val="none"/>
        </w:rPr>
        <w:t>系统分发的竞价子账号或注册的e交易账户进入竞价页面，进行报价；</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宋体" w:hAnsi="宋体" w:cs="宋体"/>
          <w:color w:val="auto"/>
          <w:sz w:val="28"/>
          <w:szCs w:val="28"/>
          <w:highlight w:val="none"/>
        </w:rPr>
      </w:pPr>
      <w:r>
        <w:rPr>
          <w:rFonts w:hint="eastAsia" w:ascii="宋体" w:hAnsi="宋体" w:cs="宋体"/>
          <w:color w:val="auto"/>
          <w:sz w:val="28"/>
          <w:szCs w:val="28"/>
          <w:highlight w:val="none"/>
        </w:rPr>
        <w:t>3.进入网络报价页面，了解加价幅度、应价时间等信息；</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宋体" w:hAnsi="宋体" w:cs="宋体"/>
          <w:color w:val="auto"/>
          <w:sz w:val="28"/>
          <w:szCs w:val="28"/>
          <w:highlight w:val="none"/>
        </w:rPr>
      </w:pPr>
      <w:r>
        <w:rPr>
          <w:rFonts w:hint="eastAsia" w:ascii="宋体" w:hAnsi="宋体" w:cs="宋体"/>
          <w:color w:val="auto"/>
          <w:sz w:val="28"/>
          <w:szCs w:val="28"/>
          <w:highlight w:val="none"/>
        </w:rPr>
        <w:t>4.网络报价从底价开始，竞买人可点击加价倍数进行报价，有效报价须大于当前报价；</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宋体" w:hAnsi="宋体" w:cs="宋体"/>
          <w:color w:val="auto"/>
          <w:sz w:val="28"/>
          <w:szCs w:val="28"/>
          <w:highlight w:val="none"/>
        </w:rPr>
      </w:pPr>
      <w:r>
        <w:rPr>
          <w:rFonts w:hint="eastAsia" w:ascii="宋体" w:hAnsi="宋体" w:cs="宋体"/>
          <w:color w:val="auto"/>
          <w:sz w:val="28"/>
          <w:szCs w:val="28"/>
          <w:highlight w:val="none"/>
        </w:rPr>
        <w:t>5.网络竞价分为两个阶段：第一阶段为自由竞价阶段，竞买人可在此阶段任意时间报价。第二阶段为延时竞价阶段，延时竞价周期为</w:t>
      </w:r>
      <w:r>
        <w:rPr>
          <w:rFonts w:hint="eastAsia" w:ascii="宋体" w:hAnsi="宋体" w:cs="宋体"/>
          <w:color w:val="auto"/>
          <w:sz w:val="28"/>
          <w:szCs w:val="28"/>
          <w:highlight w:val="none"/>
          <w:lang w:val="en-US" w:eastAsia="zh-CN"/>
        </w:rPr>
        <w:t>300</w:t>
      </w:r>
      <w:r>
        <w:rPr>
          <w:rFonts w:hint="eastAsia" w:ascii="宋体" w:hAnsi="宋体" w:cs="宋体"/>
          <w:color w:val="auto"/>
          <w:sz w:val="28"/>
          <w:szCs w:val="28"/>
          <w:highlight w:val="none"/>
        </w:rPr>
        <w:t>秒，竞买人须在规定应价时间段内进行有效报价，若在应价时间段内出现新报价，系统自动延续</w:t>
      </w:r>
      <w:r>
        <w:rPr>
          <w:rFonts w:hint="eastAsia" w:ascii="宋体" w:hAnsi="宋体" w:cs="宋体"/>
          <w:color w:val="auto"/>
          <w:sz w:val="28"/>
          <w:szCs w:val="28"/>
          <w:highlight w:val="none"/>
          <w:lang w:val="en-US" w:eastAsia="zh-CN"/>
        </w:rPr>
        <w:t>300</w:t>
      </w:r>
      <w:r>
        <w:rPr>
          <w:rFonts w:hint="eastAsia" w:ascii="宋体" w:hAnsi="宋体" w:cs="宋体"/>
          <w:color w:val="auto"/>
          <w:sz w:val="28"/>
          <w:szCs w:val="28"/>
          <w:highlight w:val="none"/>
        </w:rPr>
        <w:t>秒，直至应价计时结束，没有出现新的报价；</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宋体" w:hAnsi="宋体" w:cs="宋体"/>
          <w:color w:val="auto"/>
          <w:kern w:val="0"/>
          <w:sz w:val="28"/>
          <w:szCs w:val="28"/>
          <w:highlight w:val="none"/>
        </w:rPr>
      </w:pPr>
      <w:r>
        <w:rPr>
          <w:rFonts w:hint="eastAsia" w:ascii="宋体" w:hAnsi="宋体" w:cs="宋体"/>
          <w:color w:val="auto"/>
          <w:kern w:val="0"/>
          <w:sz w:val="28"/>
          <w:szCs w:val="28"/>
          <w:highlight w:val="none"/>
        </w:rPr>
        <w:t>（三）竞买人在竞价前请详细了解并严格遵守e交易平台（</w:t>
      </w:r>
      <w:r>
        <w:rPr>
          <w:color w:val="auto"/>
          <w:highlight w:val="none"/>
        </w:rPr>
        <w:fldChar w:fldCharType="begin"/>
      </w:r>
      <w:r>
        <w:rPr>
          <w:color w:val="auto"/>
          <w:highlight w:val="none"/>
        </w:rPr>
        <w:instrText xml:space="preserve"> HYPERLINK "http://www.ejy365.com/" \t "http://www.e-jy.com.cn/ejyzx/eWebEditor/_blank" </w:instrText>
      </w:r>
      <w:r>
        <w:rPr>
          <w:color w:val="auto"/>
          <w:highlight w:val="none"/>
        </w:rPr>
        <w:fldChar w:fldCharType="separate"/>
      </w:r>
      <w:r>
        <w:rPr>
          <w:rStyle w:val="10"/>
          <w:rFonts w:hint="eastAsia" w:ascii="宋体" w:hAnsi="宋体" w:cs="宋体"/>
          <w:color w:val="auto"/>
          <w:sz w:val="28"/>
          <w:szCs w:val="28"/>
          <w:highlight w:val="none"/>
        </w:rPr>
        <w:t>www.ejy365.com</w:t>
      </w:r>
      <w:r>
        <w:rPr>
          <w:rStyle w:val="10"/>
          <w:rFonts w:hint="eastAsia" w:ascii="宋体" w:hAnsi="宋体" w:cs="宋体"/>
          <w:color w:val="auto"/>
          <w:sz w:val="28"/>
          <w:szCs w:val="28"/>
          <w:highlight w:val="none"/>
        </w:rPr>
        <w:fldChar w:fldCharType="end"/>
      </w:r>
      <w:r>
        <w:rPr>
          <w:rFonts w:hint="eastAsia" w:ascii="宋体" w:hAnsi="宋体" w:cs="宋体"/>
          <w:color w:val="auto"/>
          <w:kern w:val="0"/>
          <w:sz w:val="28"/>
          <w:szCs w:val="28"/>
          <w:highlight w:val="none"/>
        </w:rPr>
        <w:t>）的 《</w:t>
      </w:r>
      <w:r>
        <w:rPr>
          <w:color w:val="auto"/>
          <w:highlight w:val="none"/>
        </w:rPr>
        <w:fldChar w:fldCharType="begin"/>
      </w:r>
      <w:r>
        <w:rPr>
          <w:color w:val="auto"/>
          <w:highlight w:val="none"/>
        </w:rPr>
        <w:instrText xml:space="preserve"> HYPERLINK "http://www.ejy365.com/newsinfo?infoid=fd28532d-0ae8-43f8-a482-2497e6f7f9f6" \t "http://www.e-jy.com.cn/ejyzx/eWebEditor/_blank" </w:instrText>
      </w:r>
      <w:r>
        <w:rPr>
          <w:color w:val="auto"/>
          <w:highlight w:val="none"/>
        </w:rPr>
        <w:fldChar w:fldCharType="separate"/>
      </w:r>
      <w:r>
        <w:rPr>
          <w:rStyle w:val="10"/>
          <w:rFonts w:hint="eastAsia" w:ascii="宋体" w:hAnsi="宋体" w:cs="宋体"/>
          <w:color w:val="auto"/>
          <w:sz w:val="28"/>
          <w:szCs w:val="28"/>
          <w:highlight w:val="none"/>
        </w:rPr>
        <w:t>e交易平台竞价交易规则</w:t>
      </w:r>
      <w:r>
        <w:rPr>
          <w:rStyle w:val="10"/>
          <w:rFonts w:hint="eastAsia" w:ascii="宋体" w:hAnsi="宋体" w:cs="宋体"/>
          <w:color w:val="auto"/>
          <w:sz w:val="28"/>
          <w:szCs w:val="28"/>
          <w:highlight w:val="none"/>
        </w:rPr>
        <w:fldChar w:fldCharType="end"/>
      </w:r>
      <w:r>
        <w:rPr>
          <w:rFonts w:hint="eastAsia" w:ascii="宋体" w:hAnsi="宋体" w:cs="宋体"/>
          <w:color w:val="auto"/>
          <w:kern w:val="0"/>
          <w:sz w:val="28"/>
          <w:szCs w:val="28"/>
          <w:highlight w:val="none"/>
        </w:rPr>
        <w:t>》、 《</w:t>
      </w:r>
      <w:r>
        <w:rPr>
          <w:color w:val="auto"/>
          <w:highlight w:val="none"/>
        </w:rPr>
        <w:fldChar w:fldCharType="begin"/>
      </w:r>
      <w:r>
        <w:rPr>
          <w:color w:val="auto"/>
          <w:highlight w:val="none"/>
        </w:rPr>
        <w:instrText xml:space="preserve"> HYPERLINK "http://www.ejy365.com/newsinfo?infoid=b74cf4d8-845e-42c0-9ed5-0720ab0d086e" \t "http://www.e-jy.com.cn/ejyzx/eWebEditor/_blank" </w:instrText>
      </w:r>
      <w:r>
        <w:rPr>
          <w:color w:val="auto"/>
          <w:highlight w:val="none"/>
        </w:rPr>
        <w:fldChar w:fldCharType="separate"/>
      </w:r>
      <w:r>
        <w:rPr>
          <w:rStyle w:val="10"/>
          <w:rFonts w:hint="eastAsia" w:ascii="宋体" w:hAnsi="宋体" w:cs="宋体"/>
          <w:color w:val="auto"/>
          <w:sz w:val="28"/>
          <w:szCs w:val="28"/>
          <w:highlight w:val="none"/>
        </w:rPr>
        <w:t>e交易平台产权交易操作指南</w:t>
      </w:r>
      <w:r>
        <w:rPr>
          <w:rStyle w:val="10"/>
          <w:rFonts w:hint="eastAsia" w:ascii="宋体" w:hAnsi="宋体" w:cs="宋体"/>
          <w:color w:val="auto"/>
          <w:sz w:val="28"/>
          <w:szCs w:val="28"/>
          <w:highlight w:val="none"/>
        </w:rPr>
        <w:fldChar w:fldCharType="end"/>
      </w:r>
      <w:r>
        <w:rPr>
          <w:rFonts w:hint="eastAsia" w:ascii="宋体" w:hAnsi="宋体" w:cs="宋体"/>
          <w:color w:val="auto"/>
          <w:kern w:val="0"/>
          <w:sz w:val="28"/>
          <w:szCs w:val="28"/>
          <w:highlight w:val="none"/>
        </w:rPr>
        <w:t>》等要求。</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宋体" w:hAnsi="宋体" w:cs="宋体"/>
          <w:color w:val="auto"/>
          <w:sz w:val="28"/>
          <w:szCs w:val="28"/>
          <w:highlight w:val="none"/>
        </w:rPr>
      </w:pPr>
      <w:r>
        <w:rPr>
          <w:rFonts w:ascii="宋体" w:hAnsi="宋体" w:cs="宋体"/>
          <w:color w:val="auto"/>
          <w:sz w:val="28"/>
          <w:szCs w:val="28"/>
          <w:highlight w:val="none"/>
        </w:rPr>
        <w:t>★</w:t>
      </w:r>
      <w:r>
        <w:rPr>
          <w:rFonts w:hint="eastAsia" w:ascii="宋体" w:hAnsi="宋体" w:cs="宋体"/>
          <w:color w:val="auto"/>
          <w:sz w:val="28"/>
          <w:szCs w:val="28"/>
          <w:highlight w:val="none"/>
        </w:rPr>
        <w:t>竞买人不得相互串通报价。发现串通报价者，经查实的，按有关法规的规定处罚。</w:t>
      </w:r>
    </w:p>
    <w:p>
      <w:pPr>
        <w:spacing w:line="500" w:lineRule="exact"/>
        <w:ind w:firstLine="560" w:firstLineChars="200"/>
        <w:rPr>
          <w:rFonts w:ascii="宋体" w:hAnsi="宋体" w:cs="仿宋_GB2312"/>
          <w:color w:val="auto"/>
          <w:sz w:val="28"/>
          <w:szCs w:val="28"/>
          <w:highlight w:val="none"/>
        </w:rPr>
      </w:pPr>
      <w:r>
        <w:rPr>
          <w:rFonts w:hint="eastAsia" w:ascii="宋体" w:hAnsi="宋体" w:cs="仿宋_GB2312"/>
          <w:color w:val="auto"/>
          <w:sz w:val="28"/>
          <w:szCs w:val="28"/>
          <w:highlight w:val="none"/>
        </w:rPr>
        <w:t>★在挂牌竞价过程中，有下列情况之一，转让无效：</w:t>
      </w:r>
      <w:r>
        <w:rPr>
          <w:rFonts w:ascii="宋体" w:hAnsi="宋体" w:cs="仿宋_GB2312"/>
          <w:color w:val="auto"/>
          <w:sz w:val="28"/>
          <w:szCs w:val="28"/>
          <w:highlight w:val="none"/>
        </w:rPr>
        <w:br w:type="textWrapping"/>
      </w:r>
      <w:r>
        <w:rPr>
          <w:rFonts w:ascii="宋体" w:hAnsi="宋体" w:cs="仿宋_GB2312"/>
          <w:color w:val="auto"/>
          <w:sz w:val="28"/>
          <w:szCs w:val="28"/>
          <w:highlight w:val="none"/>
        </w:rPr>
        <w:t xml:space="preserve">    1</w:t>
      </w:r>
      <w:r>
        <w:rPr>
          <w:rFonts w:hint="eastAsia" w:ascii="宋体" w:hAnsi="宋体" w:cs="仿宋_GB2312"/>
          <w:color w:val="auto"/>
          <w:sz w:val="28"/>
          <w:szCs w:val="28"/>
          <w:highlight w:val="none"/>
        </w:rPr>
        <w:t>.</w:t>
      </w:r>
      <w:r>
        <w:rPr>
          <w:rFonts w:ascii="宋体" w:hAnsi="宋体" w:cs="仿宋_GB2312"/>
          <w:color w:val="auto"/>
          <w:sz w:val="28"/>
          <w:szCs w:val="28"/>
          <w:highlight w:val="none"/>
        </w:rPr>
        <w:t>竞买人在竞价</w:t>
      </w:r>
      <w:r>
        <w:rPr>
          <w:rFonts w:hint="eastAsia" w:ascii="宋体" w:hAnsi="宋体" w:cs="仿宋_GB2312"/>
          <w:color w:val="auto"/>
          <w:sz w:val="28"/>
          <w:szCs w:val="28"/>
          <w:highlight w:val="none"/>
        </w:rPr>
        <w:t>过程</w:t>
      </w:r>
      <w:r>
        <w:rPr>
          <w:rFonts w:ascii="宋体" w:hAnsi="宋体" w:cs="仿宋_GB2312"/>
          <w:color w:val="auto"/>
          <w:sz w:val="28"/>
          <w:szCs w:val="28"/>
          <w:highlight w:val="none"/>
        </w:rPr>
        <w:t>中，恶意串通压低价格的；</w:t>
      </w:r>
      <w:r>
        <w:rPr>
          <w:rFonts w:ascii="宋体" w:hAnsi="宋体" w:cs="仿宋_GB2312"/>
          <w:color w:val="auto"/>
          <w:sz w:val="28"/>
          <w:szCs w:val="28"/>
          <w:highlight w:val="none"/>
        </w:rPr>
        <w:br w:type="textWrapping"/>
      </w:r>
      <w:r>
        <w:rPr>
          <w:rFonts w:ascii="宋体" w:hAnsi="宋体" w:cs="仿宋_GB2312"/>
          <w:color w:val="auto"/>
          <w:sz w:val="28"/>
          <w:szCs w:val="28"/>
          <w:highlight w:val="none"/>
        </w:rPr>
        <w:t xml:space="preserve">    2</w:t>
      </w:r>
      <w:r>
        <w:rPr>
          <w:rFonts w:hint="eastAsia" w:ascii="宋体" w:hAnsi="宋体" w:cs="仿宋_GB2312"/>
          <w:color w:val="auto"/>
          <w:sz w:val="28"/>
          <w:szCs w:val="28"/>
          <w:highlight w:val="none"/>
        </w:rPr>
        <w:t>.</w:t>
      </w:r>
      <w:r>
        <w:rPr>
          <w:rFonts w:ascii="宋体" w:hAnsi="宋体" w:cs="仿宋_GB2312"/>
          <w:color w:val="auto"/>
          <w:sz w:val="28"/>
          <w:szCs w:val="28"/>
          <w:highlight w:val="none"/>
        </w:rPr>
        <w:t>竞买人采取欺诈、隐瞒等手段骗取受让资格；</w:t>
      </w:r>
      <w:r>
        <w:rPr>
          <w:rFonts w:ascii="宋体" w:hAnsi="宋体" w:cs="仿宋_GB2312"/>
          <w:color w:val="auto"/>
          <w:sz w:val="28"/>
          <w:szCs w:val="28"/>
          <w:highlight w:val="none"/>
        </w:rPr>
        <w:br w:type="textWrapping"/>
      </w:r>
      <w:r>
        <w:rPr>
          <w:rFonts w:ascii="宋体" w:hAnsi="宋体" w:cs="仿宋_GB2312"/>
          <w:color w:val="auto"/>
          <w:sz w:val="28"/>
          <w:szCs w:val="28"/>
          <w:highlight w:val="none"/>
        </w:rPr>
        <w:t xml:space="preserve">    3</w:t>
      </w:r>
      <w:r>
        <w:rPr>
          <w:rFonts w:hint="eastAsia" w:ascii="宋体" w:hAnsi="宋体" w:cs="仿宋_GB2312"/>
          <w:color w:val="auto"/>
          <w:sz w:val="28"/>
          <w:szCs w:val="28"/>
          <w:highlight w:val="none"/>
        </w:rPr>
        <w:t>.</w:t>
      </w:r>
      <w:r>
        <w:rPr>
          <w:rFonts w:ascii="宋体" w:hAnsi="宋体" w:cs="仿宋_GB2312"/>
          <w:color w:val="auto"/>
          <w:sz w:val="28"/>
          <w:szCs w:val="28"/>
          <w:highlight w:val="none"/>
        </w:rPr>
        <w:t xml:space="preserve">出现其他违反法律法规的行为。 </w:t>
      </w:r>
    </w:p>
    <w:p>
      <w:pPr>
        <w:keepNext w:val="0"/>
        <w:keepLines w:val="0"/>
        <w:pageBreakBefore w:val="0"/>
        <w:widowControl w:val="0"/>
        <w:kinsoku/>
        <w:wordWrap/>
        <w:overflowPunct/>
        <w:topLinePunct w:val="0"/>
        <w:autoSpaceDE/>
        <w:autoSpaceDN/>
        <w:bidi w:val="0"/>
        <w:adjustRightInd/>
        <w:snapToGrid/>
        <w:spacing w:before="63" w:beforeLines="20" w:after="63" w:afterLines="20" w:line="500" w:lineRule="exact"/>
        <w:ind w:firstLine="562" w:firstLineChars="200"/>
        <w:textAlignment w:val="auto"/>
        <w:rPr>
          <w:rFonts w:ascii="宋体" w:hAnsi="宋体" w:cs="宋体"/>
          <w:b/>
          <w:bCs/>
          <w:color w:val="auto"/>
          <w:sz w:val="28"/>
          <w:szCs w:val="28"/>
          <w:highlight w:val="none"/>
        </w:rPr>
      </w:pPr>
      <w:r>
        <w:rPr>
          <w:rFonts w:hint="eastAsia" w:ascii="宋体" w:hAnsi="宋体" w:cs="宋体"/>
          <w:b/>
          <w:bCs/>
          <w:color w:val="auto"/>
          <w:sz w:val="28"/>
          <w:szCs w:val="28"/>
          <w:highlight w:val="none"/>
        </w:rPr>
        <w:t>十九、受让方的确定</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宋体" w:hAnsi="宋体" w:cs="宋体"/>
          <w:color w:val="auto"/>
          <w:sz w:val="28"/>
          <w:szCs w:val="28"/>
          <w:highlight w:val="none"/>
        </w:rPr>
      </w:pPr>
      <w:r>
        <w:rPr>
          <w:rFonts w:hint="eastAsia" w:ascii="宋体" w:hAnsi="宋体" w:cs="宋体"/>
          <w:color w:val="auto"/>
          <w:sz w:val="28"/>
          <w:szCs w:val="28"/>
          <w:highlight w:val="none"/>
        </w:rPr>
        <w:t>按下列规定确定受让方：</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宋体" w:hAnsi="宋体" w:cs="宋体"/>
          <w:color w:val="auto"/>
          <w:sz w:val="28"/>
          <w:szCs w:val="28"/>
          <w:highlight w:val="none"/>
        </w:rPr>
      </w:pPr>
      <w:r>
        <w:rPr>
          <w:rFonts w:hint="eastAsia" w:ascii="宋体" w:hAnsi="宋体" w:cs="宋体"/>
          <w:color w:val="auto"/>
          <w:sz w:val="28"/>
          <w:szCs w:val="28"/>
          <w:highlight w:val="none"/>
        </w:rPr>
        <w:t>（一）在保证金交纳时间截止后，未征集到有效竞买人或有效竞买人未报价的，则本项目不成交。</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b/>
          <w:color w:val="auto"/>
          <w:sz w:val="28"/>
          <w:szCs w:val="28"/>
          <w:highlight w:val="none"/>
        </w:rPr>
      </w:pPr>
      <w:r>
        <w:rPr>
          <w:rFonts w:hint="eastAsia" w:ascii="宋体" w:hAnsi="宋体" w:cs="宋体"/>
          <w:color w:val="auto"/>
          <w:sz w:val="28"/>
          <w:szCs w:val="28"/>
          <w:highlight w:val="none"/>
        </w:rPr>
        <w:t>（二）在保证金交纳时间截止后，仅征集到一个有效竞买人且该竞买人报价不低于挂牌转让底价的，</w:t>
      </w:r>
      <w:r>
        <w:rPr>
          <w:rFonts w:hint="eastAsia"/>
          <w:color w:val="auto"/>
          <w:sz w:val="28"/>
          <w:szCs w:val="28"/>
          <w:highlight w:val="none"/>
        </w:rPr>
        <w:t>该竞买人为受让方。</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宋体" w:hAnsi="宋体" w:cs="宋体"/>
          <w:color w:val="auto"/>
          <w:sz w:val="28"/>
          <w:szCs w:val="28"/>
          <w:highlight w:val="none"/>
        </w:rPr>
      </w:pPr>
      <w:r>
        <w:rPr>
          <w:rFonts w:hint="eastAsia" w:ascii="宋体" w:hAnsi="宋体" w:cs="宋体"/>
          <w:color w:val="auto"/>
          <w:sz w:val="28"/>
          <w:szCs w:val="28"/>
          <w:highlight w:val="none"/>
        </w:rPr>
        <w:t>（三）在保证金交纳时间截止后，有2个及以上竞买人通过资格审核并足额交纳保证金的，进行网络竞价，</w:t>
      </w:r>
      <w:r>
        <w:rPr>
          <w:rFonts w:hint="eastAsia" w:ascii="宋体" w:hAnsi="宋体" w:cs="仿宋_GB2312"/>
          <w:color w:val="auto"/>
          <w:sz w:val="28"/>
          <w:szCs w:val="28"/>
          <w:highlight w:val="none"/>
        </w:rPr>
        <w:t>以报价最高者为最终竞得人。</w:t>
      </w:r>
    </w:p>
    <w:p>
      <w:pPr>
        <w:keepNext w:val="0"/>
        <w:keepLines w:val="0"/>
        <w:pageBreakBefore w:val="0"/>
        <w:widowControl w:val="0"/>
        <w:kinsoku/>
        <w:wordWrap/>
        <w:overflowPunct/>
        <w:topLinePunct w:val="0"/>
        <w:autoSpaceDE/>
        <w:autoSpaceDN/>
        <w:bidi w:val="0"/>
        <w:adjustRightInd/>
        <w:snapToGrid/>
        <w:spacing w:before="63" w:beforeLines="20" w:after="63" w:afterLines="20" w:line="500" w:lineRule="exact"/>
        <w:ind w:firstLine="562" w:firstLineChars="200"/>
        <w:textAlignment w:val="auto"/>
        <w:rPr>
          <w:rFonts w:ascii="宋体" w:hAnsi="宋体" w:cs="宋体"/>
          <w:b/>
          <w:bCs/>
          <w:color w:val="auto"/>
          <w:sz w:val="28"/>
          <w:szCs w:val="28"/>
          <w:highlight w:val="none"/>
        </w:rPr>
      </w:pPr>
      <w:r>
        <w:rPr>
          <w:rFonts w:hint="eastAsia" w:ascii="宋体" w:hAnsi="宋体" w:cs="宋体"/>
          <w:b/>
          <w:bCs/>
          <w:color w:val="auto"/>
          <w:sz w:val="28"/>
          <w:szCs w:val="28"/>
          <w:highlight w:val="none"/>
        </w:rPr>
        <w:t>二十</w:t>
      </w:r>
      <w:bookmarkStart w:id="1" w:name="_GoBack"/>
      <w:r>
        <w:rPr>
          <w:rFonts w:hint="eastAsia" w:ascii="宋体" w:hAnsi="宋体" w:cs="宋体"/>
          <w:b/>
          <w:bCs/>
          <w:color w:val="auto"/>
          <w:sz w:val="28"/>
          <w:szCs w:val="28"/>
          <w:highlight w:val="none"/>
        </w:rPr>
        <w:t>、签订《成交确认书》</w:t>
      </w:r>
    </w:p>
    <w:p>
      <w:pPr>
        <w:spacing w:line="500" w:lineRule="exact"/>
        <w:ind w:firstLine="560" w:firstLineChars="200"/>
        <w:rPr>
          <w:rFonts w:ascii="宋体" w:hAnsi="宋体" w:cs="仿宋_GB2312"/>
          <w:color w:val="auto"/>
          <w:sz w:val="28"/>
          <w:szCs w:val="28"/>
          <w:highlight w:val="none"/>
        </w:rPr>
      </w:pPr>
      <w:r>
        <w:rPr>
          <w:rFonts w:hint="eastAsia" w:ascii="宋体" w:hAnsi="宋体" w:cs="仿宋_GB2312"/>
          <w:color w:val="auto"/>
          <w:sz w:val="28"/>
          <w:szCs w:val="28"/>
          <w:highlight w:val="none"/>
        </w:rPr>
        <w:t>在本项目在确定成交后</w:t>
      </w:r>
      <w:r>
        <w:rPr>
          <w:rFonts w:ascii="宋体" w:hAnsi="宋体" w:cs="仿宋_GB2312"/>
          <w:color w:val="auto"/>
          <w:sz w:val="28"/>
          <w:szCs w:val="28"/>
          <w:highlight w:val="none"/>
        </w:rPr>
        <w:t>2个工作日内</w:t>
      </w:r>
      <w:r>
        <w:rPr>
          <w:rFonts w:hint="eastAsia" w:ascii="宋体" w:hAnsi="宋体" w:cs="仿宋_GB2312"/>
          <w:color w:val="auto"/>
          <w:sz w:val="28"/>
          <w:szCs w:val="28"/>
          <w:highlight w:val="none"/>
        </w:rPr>
        <w:t>（</w:t>
      </w:r>
      <w:r>
        <w:rPr>
          <w:rFonts w:hint="eastAsia" w:ascii="宋体" w:hAnsi="宋体" w:cs="仿宋_GB2312"/>
          <w:color w:val="auto"/>
          <w:sz w:val="28"/>
          <w:szCs w:val="28"/>
          <w:highlight w:val="none"/>
          <w:lang w:val="en-US" w:eastAsia="zh-CN"/>
        </w:rPr>
        <w:t>2021</w:t>
      </w:r>
      <w:r>
        <w:rPr>
          <w:rFonts w:hint="eastAsia" w:ascii="宋体" w:hAnsi="宋体" w:cs="仿宋_GB2312"/>
          <w:color w:val="auto"/>
          <w:sz w:val="28"/>
          <w:szCs w:val="28"/>
          <w:highlight w:val="none"/>
        </w:rPr>
        <w:t>年</w:t>
      </w:r>
      <w:r>
        <w:rPr>
          <w:rFonts w:hint="eastAsia" w:ascii="宋体" w:hAnsi="宋体" w:cs="仿宋_GB2312"/>
          <w:color w:val="auto"/>
          <w:sz w:val="28"/>
          <w:szCs w:val="28"/>
          <w:highlight w:val="none"/>
          <w:lang w:val="en-US" w:eastAsia="zh-CN"/>
        </w:rPr>
        <w:t>10</w:t>
      </w:r>
      <w:r>
        <w:rPr>
          <w:rFonts w:hint="eastAsia" w:ascii="宋体" w:hAnsi="宋体" w:cs="仿宋_GB2312"/>
          <w:color w:val="auto"/>
          <w:sz w:val="28"/>
          <w:szCs w:val="28"/>
          <w:highlight w:val="none"/>
        </w:rPr>
        <w:t>月</w:t>
      </w:r>
      <w:r>
        <w:rPr>
          <w:rFonts w:hint="eastAsia" w:ascii="宋体" w:hAnsi="宋体" w:cs="仿宋_GB2312"/>
          <w:color w:val="auto"/>
          <w:sz w:val="28"/>
          <w:szCs w:val="28"/>
          <w:highlight w:val="none"/>
          <w:lang w:val="en-US" w:eastAsia="zh-CN"/>
        </w:rPr>
        <w:t>9</w:t>
      </w:r>
      <w:r>
        <w:rPr>
          <w:rFonts w:hint="eastAsia" w:ascii="宋体" w:hAnsi="宋体" w:cs="仿宋_GB2312"/>
          <w:color w:val="auto"/>
          <w:sz w:val="28"/>
          <w:szCs w:val="28"/>
          <w:highlight w:val="none"/>
        </w:rPr>
        <w:t>日前），竞得人须与交易所签订《成交确认书》。</w:t>
      </w:r>
    </w:p>
    <w:p>
      <w:pPr>
        <w:keepNext w:val="0"/>
        <w:keepLines w:val="0"/>
        <w:pageBreakBefore w:val="0"/>
        <w:widowControl w:val="0"/>
        <w:kinsoku/>
        <w:wordWrap/>
        <w:overflowPunct/>
        <w:topLinePunct w:val="0"/>
        <w:autoSpaceDE/>
        <w:autoSpaceDN/>
        <w:bidi w:val="0"/>
        <w:adjustRightInd/>
        <w:snapToGrid/>
        <w:spacing w:before="63" w:beforeLines="20" w:after="63" w:afterLines="20" w:line="500" w:lineRule="exact"/>
        <w:ind w:firstLine="562" w:firstLineChars="200"/>
        <w:textAlignment w:val="auto"/>
        <w:rPr>
          <w:rFonts w:ascii="宋体" w:hAnsi="宋体" w:cs="宋体"/>
          <w:b/>
          <w:bCs/>
          <w:color w:val="auto"/>
          <w:sz w:val="28"/>
          <w:szCs w:val="28"/>
          <w:highlight w:val="none"/>
        </w:rPr>
      </w:pPr>
      <w:r>
        <w:rPr>
          <w:rFonts w:hint="eastAsia" w:ascii="宋体" w:hAnsi="宋体" w:cs="宋体"/>
          <w:b/>
          <w:bCs/>
          <w:color w:val="auto"/>
          <w:sz w:val="28"/>
          <w:szCs w:val="28"/>
          <w:highlight w:val="none"/>
        </w:rPr>
        <w:t>二十一、本次挂牌转让涉及受让方服务费</w:t>
      </w:r>
    </w:p>
    <w:bookmarkEnd w:id="1"/>
    <w:p>
      <w:pPr>
        <w:spacing w:line="500" w:lineRule="exact"/>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本项目挂牌转让成交后，受让方需向交易所支付如下标准的服务费：</w:t>
      </w:r>
    </w:p>
    <w:tbl>
      <w:tblPr>
        <w:tblStyle w:val="5"/>
        <w:tblW w:w="0" w:type="auto"/>
        <w:tblInd w:w="817" w:type="dxa"/>
        <w:tblLayout w:type="fixed"/>
        <w:tblCellMar>
          <w:top w:w="0" w:type="dxa"/>
          <w:left w:w="108" w:type="dxa"/>
          <w:bottom w:w="0" w:type="dxa"/>
          <w:right w:w="108" w:type="dxa"/>
        </w:tblCellMar>
      </w:tblPr>
      <w:tblGrid>
        <w:gridCol w:w="3260"/>
        <w:gridCol w:w="3686"/>
      </w:tblGrid>
      <w:tr>
        <w:tblPrEx>
          <w:tblCellMar>
            <w:top w:w="0" w:type="dxa"/>
            <w:left w:w="108" w:type="dxa"/>
            <w:bottom w:w="0" w:type="dxa"/>
            <w:right w:w="108" w:type="dxa"/>
          </w:tblCellMar>
        </w:tblPrEx>
        <w:trPr>
          <w:trHeight w:val="550" w:hRule="atLeast"/>
        </w:trPr>
        <w:tc>
          <w:tcPr>
            <w:tcW w:w="3260" w:type="dxa"/>
            <w:tcBorders>
              <w:top w:val="single" w:color="000000" w:sz="4" w:space="0"/>
              <w:left w:val="single" w:color="000000" w:sz="4" w:space="0"/>
              <w:bottom w:val="single" w:color="000000" w:sz="4" w:space="0"/>
              <w:right w:val="single" w:color="000000" w:sz="4" w:space="0"/>
            </w:tcBorders>
            <w:vAlign w:val="center"/>
          </w:tcPr>
          <w:p>
            <w:pPr>
              <w:autoSpaceDN w:val="0"/>
              <w:spacing w:line="420" w:lineRule="exact"/>
              <w:jc w:val="center"/>
              <w:textAlignment w:val="center"/>
              <w:rPr>
                <w:rFonts w:ascii="宋体"/>
                <w:b/>
                <w:bCs/>
                <w:color w:val="auto"/>
                <w:sz w:val="24"/>
                <w:highlight w:val="none"/>
              </w:rPr>
            </w:pPr>
            <w:r>
              <w:rPr>
                <w:rFonts w:hint="eastAsia" w:ascii="宋体" w:hAnsi="宋体"/>
                <w:b/>
                <w:bCs/>
                <w:color w:val="auto"/>
                <w:sz w:val="24"/>
                <w:highlight w:val="none"/>
              </w:rPr>
              <w:t>成交总额（万元）</w:t>
            </w:r>
          </w:p>
        </w:tc>
        <w:tc>
          <w:tcPr>
            <w:tcW w:w="3686" w:type="dxa"/>
            <w:tcBorders>
              <w:top w:val="single" w:color="000000" w:sz="4" w:space="0"/>
              <w:left w:val="single" w:color="000000" w:sz="4" w:space="0"/>
              <w:bottom w:val="single" w:color="000000" w:sz="4" w:space="0"/>
              <w:right w:val="single" w:color="000000" w:sz="4" w:space="0"/>
            </w:tcBorders>
            <w:vAlign w:val="center"/>
          </w:tcPr>
          <w:p>
            <w:pPr>
              <w:autoSpaceDN w:val="0"/>
              <w:spacing w:line="420" w:lineRule="exact"/>
              <w:jc w:val="center"/>
              <w:textAlignment w:val="center"/>
              <w:rPr>
                <w:rFonts w:ascii="宋体"/>
                <w:b/>
                <w:bCs/>
                <w:color w:val="auto"/>
                <w:sz w:val="24"/>
                <w:highlight w:val="none"/>
              </w:rPr>
            </w:pPr>
            <w:r>
              <w:rPr>
                <w:rFonts w:hint="eastAsia" w:ascii="宋体" w:hAnsi="宋体"/>
                <w:b/>
                <w:bCs/>
                <w:color w:val="auto"/>
                <w:sz w:val="24"/>
                <w:highlight w:val="none"/>
              </w:rPr>
              <w:t>差额计费率（按总成交额计算）</w:t>
            </w:r>
          </w:p>
        </w:tc>
      </w:tr>
      <w:tr>
        <w:tblPrEx>
          <w:tblCellMar>
            <w:top w:w="0" w:type="dxa"/>
            <w:left w:w="108" w:type="dxa"/>
            <w:bottom w:w="0" w:type="dxa"/>
            <w:right w:w="108" w:type="dxa"/>
          </w:tblCellMar>
        </w:tblPrEx>
        <w:trPr>
          <w:trHeight w:val="475" w:hRule="atLeast"/>
        </w:trPr>
        <w:tc>
          <w:tcPr>
            <w:tcW w:w="3260" w:type="dxa"/>
            <w:tcBorders>
              <w:top w:val="single" w:color="000000" w:sz="4" w:space="0"/>
              <w:left w:val="single" w:color="000000" w:sz="4" w:space="0"/>
              <w:bottom w:val="single" w:color="000000" w:sz="4" w:space="0"/>
              <w:right w:val="single" w:color="000000" w:sz="4" w:space="0"/>
            </w:tcBorders>
            <w:vAlign w:val="center"/>
          </w:tcPr>
          <w:p>
            <w:pPr>
              <w:autoSpaceDN w:val="0"/>
              <w:spacing w:line="420" w:lineRule="exact"/>
              <w:jc w:val="center"/>
              <w:textAlignment w:val="center"/>
              <w:rPr>
                <w:rFonts w:ascii="宋体"/>
                <w:color w:val="auto"/>
                <w:sz w:val="24"/>
                <w:highlight w:val="none"/>
              </w:rPr>
            </w:pPr>
            <w:r>
              <w:rPr>
                <w:rFonts w:ascii="宋体" w:hAnsi="宋体"/>
                <w:color w:val="auto"/>
                <w:sz w:val="24"/>
                <w:highlight w:val="none"/>
              </w:rPr>
              <w:t>1000</w:t>
            </w:r>
            <w:r>
              <w:rPr>
                <w:rFonts w:hint="eastAsia" w:ascii="宋体" w:hAnsi="宋体"/>
                <w:color w:val="auto"/>
                <w:sz w:val="24"/>
                <w:highlight w:val="none"/>
              </w:rPr>
              <w:t>以下（含</w:t>
            </w:r>
            <w:r>
              <w:rPr>
                <w:rFonts w:ascii="宋体" w:hAnsi="宋体"/>
                <w:color w:val="auto"/>
                <w:sz w:val="24"/>
                <w:highlight w:val="none"/>
              </w:rPr>
              <w:t>1000</w:t>
            </w:r>
            <w:r>
              <w:rPr>
                <w:rFonts w:hint="eastAsia" w:ascii="宋体" w:hAnsi="宋体"/>
                <w:color w:val="auto"/>
                <w:sz w:val="24"/>
                <w:highlight w:val="none"/>
              </w:rPr>
              <w:t>）</w:t>
            </w:r>
          </w:p>
        </w:tc>
        <w:tc>
          <w:tcPr>
            <w:tcW w:w="3686" w:type="dxa"/>
            <w:tcBorders>
              <w:top w:val="single" w:color="000000" w:sz="4" w:space="0"/>
              <w:left w:val="single" w:color="000000" w:sz="4" w:space="0"/>
              <w:bottom w:val="single" w:color="000000" w:sz="4" w:space="0"/>
              <w:right w:val="single" w:color="000000" w:sz="4" w:space="0"/>
            </w:tcBorders>
            <w:vAlign w:val="center"/>
          </w:tcPr>
          <w:p>
            <w:pPr>
              <w:autoSpaceDN w:val="0"/>
              <w:spacing w:line="420" w:lineRule="exact"/>
              <w:jc w:val="center"/>
              <w:textAlignment w:val="center"/>
              <w:rPr>
                <w:rFonts w:ascii="宋体" w:hAnsi="宋体"/>
                <w:color w:val="auto"/>
                <w:sz w:val="24"/>
                <w:highlight w:val="none"/>
              </w:rPr>
            </w:pPr>
            <w:r>
              <w:rPr>
                <w:rFonts w:ascii="宋体" w:hAnsi="宋体"/>
                <w:color w:val="auto"/>
                <w:sz w:val="24"/>
                <w:highlight w:val="none"/>
              </w:rPr>
              <w:t>2</w:t>
            </w:r>
            <w:r>
              <w:rPr>
                <w:rFonts w:ascii="宋体"/>
                <w:color w:val="auto"/>
                <w:sz w:val="24"/>
                <w:highlight w:val="none"/>
              </w:rPr>
              <w:t>.00</w:t>
            </w:r>
            <w:r>
              <w:rPr>
                <w:rFonts w:ascii="宋体" w:hAnsi="宋体"/>
                <w:color w:val="auto"/>
                <w:sz w:val="24"/>
                <w:highlight w:val="none"/>
              </w:rPr>
              <w:t>%</w:t>
            </w:r>
          </w:p>
        </w:tc>
      </w:tr>
      <w:tr>
        <w:tblPrEx>
          <w:tblCellMar>
            <w:top w:w="0" w:type="dxa"/>
            <w:left w:w="108" w:type="dxa"/>
            <w:bottom w:w="0" w:type="dxa"/>
            <w:right w:w="108" w:type="dxa"/>
          </w:tblCellMar>
        </w:tblPrEx>
        <w:trPr>
          <w:trHeight w:val="416" w:hRule="atLeast"/>
        </w:trPr>
        <w:tc>
          <w:tcPr>
            <w:tcW w:w="3260" w:type="dxa"/>
            <w:tcBorders>
              <w:top w:val="single" w:color="000000" w:sz="4" w:space="0"/>
              <w:left w:val="single" w:color="000000" w:sz="4" w:space="0"/>
              <w:bottom w:val="single" w:color="000000" w:sz="4" w:space="0"/>
              <w:right w:val="single" w:color="000000" w:sz="4" w:space="0"/>
            </w:tcBorders>
            <w:vAlign w:val="center"/>
          </w:tcPr>
          <w:p>
            <w:pPr>
              <w:autoSpaceDN w:val="0"/>
              <w:spacing w:line="420" w:lineRule="exact"/>
              <w:jc w:val="center"/>
              <w:textAlignment w:val="center"/>
              <w:rPr>
                <w:rFonts w:ascii="宋体" w:hAnsi="宋体"/>
                <w:color w:val="auto"/>
                <w:sz w:val="24"/>
                <w:highlight w:val="none"/>
              </w:rPr>
            </w:pPr>
            <w:r>
              <w:rPr>
                <w:rFonts w:ascii="宋体" w:hAnsi="宋体"/>
                <w:color w:val="auto"/>
                <w:sz w:val="24"/>
                <w:highlight w:val="none"/>
              </w:rPr>
              <w:t>1000</w:t>
            </w:r>
            <w:r>
              <w:rPr>
                <w:rFonts w:hint="eastAsia" w:ascii="宋体" w:hAnsi="宋体"/>
                <w:color w:val="auto"/>
                <w:sz w:val="24"/>
                <w:highlight w:val="none"/>
              </w:rPr>
              <w:t>以上</w:t>
            </w:r>
            <w:r>
              <w:rPr>
                <w:rFonts w:ascii="宋体" w:hAnsi="宋体"/>
                <w:color w:val="auto"/>
                <w:sz w:val="24"/>
                <w:highlight w:val="none"/>
              </w:rPr>
              <w:t>--2000</w:t>
            </w:r>
          </w:p>
        </w:tc>
        <w:tc>
          <w:tcPr>
            <w:tcW w:w="3686" w:type="dxa"/>
            <w:tcBorders>
              <w:top w:val="single" w:color="000000" w:sz="4" w:space="0"/>
              <w:left w:val="single" w:color="000000" w:sz="4" w:space="0"/>
              <w:bottom w:val="single" w:color="000000" w:sz="4" w:space="0"/>
              <w:right w:val="single" w:color="000000" w:sz="4" w:space="0"/>
            </w:tcBorders>
            <w:vAlign w:val="center"/>
          </w:tcPr>
          <w:p>
            <w:pPr>
              <w:autoSpaceDN w:val="0"/>
              <w:spacing w:line="420" w:lineRule="exact"/>
              <w:jc w:val="center"/>
              <w:textAlignment w:val="center"/>
              <w:rPr>
                <w:rFonts w:ascii="宋体" w:hAnsi="宋体"/>
                <w:color w:val="auto"/>
                <w:sz w:val="24"/>
                <w:highlight w:val="none"/>
              </w:rPr>
            </w:pPr>
            <w:r>
              <w:rPr>
                <w:rFonts w:ascii="宋体" w:hAnsi="宋体"/>
                <w:color w:val="auto"/>
                <w:sz w:val="24"/>
                <w:highlight w:val="none"/>
              </w:rPr>
              <w:t>1.50%</w:t>
            </w:r>
          </w:p>
        </w:tc>
      </w:tr>
      <w:tr>
        <w:tblPrEx>
          <w:tblCellMar>
            <w:top w:w="0" w:type="dxa"/>
            <w:left w:w="108" w:type="dxa"/>
            <w:bottom w:w="0" w:type="dxa"/>
            <w:right w:w="108" w:type="dxa"/>
          </w:tblCellMar>
        </w:tblPrEx>
        <w:trPr>
          <w:trHeight w:val="280" w:hRule="atLeast"/>
        </w:trPr>
        <w:tc>
          <w:tcPr>
            <w:tcW w:w="3260" w:type="dxa"/>
            <w:tcBorders>
              <w:top w:val="single" w:color="000000" w:sz="4" w:space="0"/>
              <w:left w:val="single" w:color="000000" w:sz="4" w:space="0"/>
              <w:bottom w:val="single" w:color="000000" w:sz="4" w:space="0"/>
              <w:right w:val="single" w:color="000000" w:sz="4" w:space="0"/>
            </w:tcBorders>
            <w:vAlign w:val="center"/>
          </w:tcPr>
          <w:p>
            <w:pPr>
              <w:autoSpaceDN w:val="0"/>
              <w:spacing w:line="420" w:lineRule="exact"/>
              <w:jc w:val="center"/>
              <w:textAlignment w:val="center"/>
              <w:rPr>
                <w:rFonts w:ascii="宋体" w:hAnsi="宋体"/>
                <w:color w:val="auto"/>
                <w:sz w:val="24"/>
                <w:highlight w:val="none"/>
              </w:rPr>
            </w:pPr>
            <w:r>
              <w:rPr>
                <w:rFonts w:ascii="宋体" w:hAnsi="宋体"/>
                <w:color w:val="auto"/>
                <w:sz w:val="24"/>
                <w:highlight w:val="none"/>
              </w:rPr>
              <w:t>2000</w:t>
            </w:r>
            <w:r>
              <w:rPr>
                <w:rFonts w:hint="eastAsia" w:ascii="宋体" w:hAnsi="宋体"/>
                <w:color w:val="auto"/>
                <w:sz w:val="24"/>
                <w:highlight w:val="none"/>
              </w:rPr>
              <w:t>以上</w:t>
            </w:r>
            <w:r>
              <w:rPr>
                <w:rFonts w:ascii="宋体" w:hAnsi="宋体"/>
                <w:color w:val="auto"/>
                <w:sz w:val="24"/>
                <w:highlight w:val="none"/>
              </w:rPr>
              <w:t>--5000</w:t>
            </w:r>
          </w:p>
        </w:tc>
        <w:tc>
          <w:tcPr>
            <w:tcW w:w="3686" w:type="dxa"/>
            <w:tcBorders>
              <w:top w:val="single" w:color="000000" w:sz="4" w:space="0"/>
              <w:left w:val="single" w:color="000000" w:sz="4" w:space="0"/>
              <w:bottom w:val="single" w:color="000000" w:sz="4" w:space="0"/>
              <w:right w:val="single" w:color="000000" w:sz="4" w:space="0"/>
            </w:tcBorders>
            <w:vAlign w:val="center"/>
          </w:tcPr>
          <w:p>
            <w:pPr>
              <w:autoSpaceDN w:val="0"/>
              <w:spacing w:line="420" w:lineRule="exact"/>
              <w:jc w:val="center"/>
              <w:textAlignment w:val="center"/>
              <w:rPr>
                <w:rFonts w:ascii="宋体" w:hAnsi="宋体"/>
                <w:color w:val="auto"/>
                <w:sz w:val="24"/>
                <w:highlight w:val="none"/>
              </w:rPr>
            </w:pPr>
            <w:r>
              <w:rPr>
                <w:rFonts w:ascii="宋体" w:hAnsi="宋体"/>
                <w:color w:val="auto"/>
                <w:sz w:val="24"/>
                <w:highlight w:val="none"/>
              </w:rPr>
              <w:t>1</w:t>
            </w:r>
            <w:r>
              <w:rPr>
                <w:rFonts w:ascii="宋体"/>
                <w:color w:val="auto"/>
                <w:sz w:val="24"/>
                <w:highlight w:val="none"/>
              </w:rPr>
              <w:t>.00</w:t>
            </w:r>
            <w:r>
              <w:rPr>
                <w:rFonts w:ascii="宋体" w:hAnsi="宋体"/>
                <w:color w:val="auto"/>
                <w:sz w:val="24"/>
                <w:highlight w:val="none"/>
              </w:rPr>
              <w:t>%</w:t>
            </w:r>
          </w:p>
        </w:tc>
      </w:tr>
      <w:tr>
        <w:tblPrEx>
          <w:tblCellMar>
            <w:top w:w="0" w:type="dxa"/>
            <w:left w:w="108" w:type="dxa"/>
            <w:bottom w:w="0" w:type="dxa"/>
            <w:right w:w="108" w:type="dxa"/>
          </w:tblCellMar>
        </w:tblPrEx>
        <w:trPr>
          <w:trHeight w:val="370" w:hRule="atLeast"/>
        </w:trPr>
        <w:tc>
          <w:tcPr>
            <w:tcW w:w="3260" w:type="dxa"/>
            <w:tcBorders>
              <w:top w:val="single" w:color="000000" w:sz="4" w:space="0"/>
              <w:left w:val="single" w:color="000000" w:sz="4" w:space="0"/>
              <w:bottom w:val="single" w:color="000000" w:sz="4" w:space="0"/>
              <w:right w:val="single" w:color="000000" w:sz="4" w:space="0"/>
            </w:tcBorders>
            <w:vAlign w:val="center"/>
          </w:tcPr>
          <w:p>
            <w:pPr>
              <w:autoSpaceDN w:val="0"/>
              <w:spacing w:line="420" w:lineRule="exact"/>
              <w:jc w:val="center"/>
              <w:textAlignment w:val="center"/>
              <w:rPr>
                <w:rFonts w:ascii="宋体" w:hAnsi="宋体"/>
                <w:color w:val="auto"/>
                <w:sz w:val="24"/>
                <w:highlight w:val="none"/>
              </w:rPr>
            </w:pPr>
            <w:r>
              <w:rPr>
                <w:rFonts w:ascii="宋体" w:hAnsi="宋体"/>
                <w:color w:val="auto"/>
                <w:sz w:val="24"/>
                <w:highlight w:val="none"/>
              </w:rPr>
              <w:t>5000</w:t>
            </w:r>
            <w:r>
              <w:rPr>
                <w:rFonts w:hint="eastAsia" w:ascii="宋体" w:hAnsi="宋体"/>
                <w:color w:val="auto"/>
                <w:sz w:val="24"/>
                <w:highlight w:val="none"/>
              </w:rPr>
              <w:t>以上</w:t>
            </w:r>
            <w:r>
              <w:rPr>
                <w:rFonts w:ascii="宋体" w:hAnsi="宋体"/>
                <w:color w:val="auto"/>
                <w:sz w:val="24"/>
                <w:highlight w:val="none"/>
              </w:rPr>
              <w:t>--10000</w:t>
            </w:r>
          </w:p>
        </w:tc>
        <w:tc>
          <w:tcPr>
            <w:tcW w:w="3686" w:type="dxa"/>
            <w:tcBorders>
              <w:top w:val="single" w:color="000000" w:sz="4" w:space="0"/>
              <w:left w:val="single" w:color="000000" w:sz="4" w:space="0"/>
              <w:bottom w:val="single" w:color="000000" w:sz="4" w:space="0"/>
              <w:right w:val="single" w:color="000000" w:sz="4" w:space="0"/>
            </w:tcBorders>
            <w:vAlign w:val="center"/>
          </w:tcPr>
          <w:p>
            <w:pPr>
              <w:autoSpaceDN w:val="0"/>
              <w:spacing w:line="420" w:lineRule="exact"/>
              <w:jc w:val="center"/>
              <w:textAlignment w:val="center"/>
              <w:rPr>
                <w:rFonts w:ascii="宋体" w:hAnsi="宋体"/>
                <w:color w:val="auto"/>
                <w:sz w:val="24"/>
                <w:highlight w:val="none"/>
              </w:rPr>
            </w:pPr>
            <w:r>
              <w:rPr>
                <w:rFonts w:ascii="宋体" w:hAnsi="宋体"/>
                <w:color w:val="auto"/>
                <w:sz w:val="24"/>
                <w:highlight w:val="none"/>
              </w:rPr>
              <w:t>0.50%</w:t>
            </w:r>
          </w:p>
        </w:tc>
      </w:tr>
      <w:tr>
        <w:tblPrEx>
          <w:tblCellMar>
            <w:top w:w="0" w:type="dxa"/>
            <w:left w:w="108" w:type="dxa"/>
            <w:bottom w:w="0" w:type="dxa"/>
            <w:right w:w="108" w:type="dxa"/>
          </w:tblCellMar>
        </w:tblPrEx>
        <w:trPr>
          <w:trHeight w:val="262" w:hRule="atLeast"/>
        </w:trPr>
        <w:tc>
          <w:tcPr>
            <w:tcW w:w="3260" w:type="dxa"/>
            <w:tcBorders>
              <w:top w:val="single" w:color="000000" w:sz="4" w:space="0"/>
              <w:left w:val="single" w:color="000000" w:sz="4" w:space="0"/>
              <w:bottom w:val="single" w:color="000000" w:sz="4" w:space="0"/>
              <w:right w:val="single" w:color="000000" w:sz="4" w:space="0"/>
            </w:tcBorders>
            <w:vAlign w:val="center"/>
          </w:tcPr>
          <w:p>
            <w:pPr>
              <w:autoSpaceDN w:val="0"/>
              <w:spacing w:line="420" w:lineRule="exact"/>
              <w:jc w:val="center"/>
              <w:textAlignment w:val="center"/>
              <w:rPr>
                <w:rFonts w:ascii="宋体" w:hAnsi="宋体"/>
                <w:color w:val="auto"/>
                <w:sz w:val="24"/>
                <w:highlight w:val="none"/>
              </w:rPr>
            </w:pPr>
            <w:r>
              <w:rPr>
                <w:rFonts w:ascii="宋体" w:hAnsi="宋体"/>
                <w:color w:val="auto"/>
                <w:sz w:val="24"/>
                <w:highlight w:val="none"/>
              </w:rPr>
              <w:t>10000</w:t>
            </w:r>
            <w:r>
              <w:rPr>
                <w:rFonts w:hint="eastAsia" w:ascii="宋体" w:hAnsi="宋体"/>
                <w:color w:val="auto"/>
                <w:sz w:val="24"/>
                <w:highlight w:val="none"/>
              </w:rPr>
              <w:t>以上</w:t>
            </w:r>
            <w:r>
              <w:rPr>
                <w:rFonts w:ascii="宋体" w:hAnsi="宋体"/>
                <w:color w:val="auto"/>
                <w:sz w:val="24"/>
                <w:highlight w:val="none"/>
              </w:rPr>
              <w:t>--50000</w:t>
            </w:r>
          </w:p>
        </w:tc>
        <w:tc>
          <w:tcPr>
            <w:tcW w:w="3686" w:type="dxa"/>
            <w:tcBorders>
              <w:top w:val="single" w:color="000000" w:sz="4" w:space="0"/>
              <w:left w:val="single" w:color="000000" w:sz="4" w:space="0"/>
              <w:bottom w:val="single" w:color="000000" w:sz="4" w:space="0"/>
              <w:right w:val="single" w:color="000000" w:sz="4" w:space="0"/>
            </w:tcBorders>
            <w:vAlign w:val="center"/>
          </w:tcPr>
          <w:p>
            <w:pPr>
              <w:autoSpaceDN w:val="0"/>
              <w:spacing w:line="420" w:lineRule="exact"/>
              <w:jc w:val="center"/>
              <w:textAlignment w:val="center"/>
              <w:rPr>
                <w:rFonts w:ascii="宋体" w:hAnsi="宋体"/>
                <w:color w:val="auto"/>
                <w:sz w:val="24"/>
                <w:highlight w:val="none"/>
              </w:rPr>
            </w:pPr>
            <w:r>
              <w:rPr>
                <w:rFonts w:ascii="宋体" w:hAnsi="宋体"/>
                <w:color w:val="auto"/>
                <w:sz w:val="24"/>
                <w:highlight w:val="none"/>
              </w:rPr>
              <w:t>0.30%</w:t>
            </w:r>
          </w:p>
        </w:tc>
      </w:tr>
      <w:tr>
        <w:tblPrEx>
          <w:tblCellMar>
            <w:top w:w="0" w:type="dxa"/>
            <w:left w:w="108" w:type="dxa"/>
            <w:bottom w:w="0" w:type="dxa"/>
            <w:right w:w="108" w:type="dxa"/>
          </w:tblCellMar>
        </w:tblPrEx>
        <w:trPr>
          <w:trHeight w:val="365" w:hRule="atLeast"/>
        </w:trPr>
        <w:tc>
          <w:tcPr>
            <w:tcW w:w="3260" w:type="dxa"/>
            <w:tcBorders>
              <w:top w:val="single" w:color="000000" w:sz="4" w:space="0"/>
              <w:left w:val="single" w:color="000000" w:sz="4" w:space="0"/>
              <w:bottom w:val="single" w:color="000000" w:sz="4" w:space="0"/>
              <w:right w:val="single" w:color="000000" w:sz="4" w:space="0"/>
            </w:tcBorders>
            <w:vAlign w:val="center"/>
          </w:tcPr>
          <w:p>
            <w:pPr>
              <w:autoSpaceDN w:val="0"/>
              <w:spacing w:line="420" w:lineRule="exact"/>
              <w:jc w:val="center"/>
              <w:textAlignment w:val="center"/>
              <w:rPr>
                <w:rFonts w:ascii="宋体"/>
                <w:color w:val="auto"/>
                <w:sz w:val="24"/>
                <w:highlight w:val="none"/>
              </w:rPr>
            </w:pPr>
            <w:r>
              <w:rPr>
                <w:rFonts w:ascii="宋体" w:hAnsi="宋体"/>
                <w:color w:val="auto"/>
                <w:sz w:val="24"/>
                <w:highlight w:val="none"/>
              </w:rPr>
              <w:t>50000</w:t>
            </w:r>
            <w:r>
              <w:rPr>
                <w:rFonts w:hint="eastAsia" w:ascii="宋体" w:hAnsi="宋体"/>
                <w:color w:val="auto"/>
                <w:sz w:val="24"/>
                <w:highlight w:val="none"/>
              </w:rPr>
              <w:t>以上</w:t>
            </w:r>
          </w:p>
        </w:tc>
        <w:tc>
          <w:tcPr>
            <w:tcW w:w="3686" w:type="dxa"/>
            <w:tcBorders>
              <w:top w:val="single" w:color="000000" w:sz="4" w:space="0"/>
              <w:left w:val="single" w:color="000000" w:sz="4" w:space="0"/>
              <w:bottom w:val="single" w:color="000000" w:sz="4" w:space="0"/>
              <w:right w:val="single" w:color="000000" w:sz="4" w:space="0"/>
            </w:tcBorders>
            <w:vAlign w:val="center"/>
          </w:tcPr>
          <w:p>
            <w:pPr>
              <w:autoSpaceDN w:val="0"/>
              <w:spacing w:line="420" w:lineRule="exact"/>
              <w:jc w:val="center"/>
              <w:textAlignment w:val="center"/>
              <w:rPr>
                <w:rFonts w:ascii="宋体"/>
                <w:color w:val="auto"/>
                <w:sz w:val="24"/>
                <w:highlight w:val="none"/>
              </w:rPr>
            </w:pPr>
            <w:r>
              <w:rPr>
                <w:rFonts w:ascii="宋体" w:hAnsi="宋体"/>
                <w:color w:val="auto"/>
                <w:sz w:val="24"/>
                <w:highlight w:val="none"/>
              </w:rPr>
              <w:t>0.20%</w:t>
            </w:r>
          </w:p>
        </w:tc>
      </w:tr>
    </w:tbl>
    <w:p>
      <w:pPr>
        <w:spacing w:line="500" w:lineRule="exact"/>
        <w:ind w:firstLine="562" w:firstLineChars="200"/>
        <w:rPr>
          <w:rFonts w:ascii="宋体" w:hAnsi="宋体" w:cs="宋体"/>
          <w:b/>
          <w:bCs/>
          <w:color w:val="auto"/>
          <w:sz w:val="28"/>
          <w:szCs w:val="28"/>
          <w:highlight w:val="none"/>
        </w:rPr>
      </w:pPr>
      <w:r>
        <w:rPr>
          <w:rFonts w:hint="eastAsia"/>
          <w:b/>
          <w:bCs/>
          <w:color w:val="auto"/>
          <w:sz w:val="28"/>
          <w:szCs w:val="28"/>
          <w:highlight w:val="none"/>
        </w:rPr>
        <w:t>本收费标准以“分档递减累加”作为费率形式。</w:t>
      </w:r>
    </w:p>
    <w:p>
      <w:pPr>
        <w:keepNext w:val="0"/>
        <w:keepLines w:val="0"/>
        <w:pageBreakBefore w:val="0"/>
        <w:widowControl w:val="0"/>
        <w:kinsoku/>
        <w:wordWrap/>
        <w:overflowPunct/>
        <w:topLinePunct w:val="0"/>
        <w:autoSpaceDE/>
        <w:autoSpaceDN/>
        <w:bidi w:val="0"/>
        <w:adjustRightInd/>
        <w:snapToGrid/>
        <w:spacing w:before="63" w:beforeLines="20" w:after="63" w:afterLines="20" w:line="500" w:lineRule="exact"/>
        <w:ind w:firstLine="562" w:firstLineChars="200"/>
        <w:textAlignment w:val="auto"/>
        <w:rPr>
          <w:rFonts w:ascii="宋体" w:hAnsi="宋体" w:cs="宋体"/>
          <w:b/>
          <w:bCs/>
          <w:color w:val="auto"/>
          <w:sz w:val="28"/>
          <w:szCs w:val="28"/>
          <w:highlight w:val="none"/>
        </w:rPr>
      </w:pPr>
      <w:r>
        <w:rPr>
          <w:rFonts w:hint="eastAsia" w:ascii="宋体" w:hAnsi="宋体" w:cs="宋体"/>
          <w:b/>
          <w:bCs/>
          <w:color w:val="auto"/>
          <w:sz w:val="28"/>
          <w:szCs w:val="28"/>
          <w:highlight w:val="none"/>
        </w:rPr>
        <w:t>二十二、国有产权交易合同签订、款项支付及产权交接</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宋体" w:hAnsi="宋体" w:cs="宋体"/>
          <w:color w:val="auto"/>
          <w:sz w:val="28"/>
          <w:szCs w:val="28"/>
          <w:highlight w:val="none"/>
        </w:rPr>
      </w:pPr>
      <w:r>
        <w:rPr>
          <w:rFonts w:hint="eastAsia" w:ascii="宋体" w:hAnsi="宋体" w:cs="宋体"/>
          <w:color w:val="auto"/>
          <w:sz w:val="28"/>
          <w:szCs w:val="28"/>
          <w:highlight w:val="none"/>
        </w:rPr>
        <w:t>（一）签订《成交确认书》后5</w:t>
      </w:r>
      <w:r>
        <w:rPr>
          <w:rFonts w:ascii="宋体" w:hAnsi="宋体" w:cs="宋体"/>
          <w:color w:val="auto"/>
          <w:sz w:val="28"/>
          <w:szCs w:val="28"/>
          <w:highlight w:val="none"/>
        </w:rPr>
        <w:t>个工作日内</w:t>
      </w:r>
      <w:r>
        <w:rPr>
          <w:rFonts w:hint="eastAsia" w:ascii="宋体" w:hAnsi="宋体" w:cs="宋体"/>
          <w:color w:val="auto"/>
          <w:sz w:val="28"/>
          <w:szCs w:val="28"/>
          <w:highlight w:val="none"/>
        </w:rPr>
        <w:t>，受让方与转让方签订相关《国有产权交易合同》。受让方按本细则的规定以及《国有产权交易合同》的约定</w:t>
      </w:r>
      <w:r>
        <w:rPr>
          <w:rFonts w:ascii="宋体" w:hAnsi="宋体" w:cs="宋体"/>
          <w:color w:val="auto"/>
          <w:sz w:val="28"/>
          <w:szCs w:val="28"/>
          <w:highlight w:val="none"/>
        </w:rPr>
        <w:t>将</w:t>
      </w:r>
      <w:r>
        <w:rPr>
          <w:rFonts w:hint="eastAsia" w:ascii="宋体" w:hAnsi="宋体" w:cs="宋体"/>
          <w:color w:val="auto"/>
          <w:sz w:val="28"/>
          <w:szCs w:val="28"/>
          <w:highlight w:val="none"/>
        </w:rPr>
        <w:t>转让价款、其他交易款项及交易服务费汇入交易所指定账户。</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宋体" w:hAnsi="宋体" w:cs="宋体"/>
          <w:color w:val="auto"/>
          <w:sz w:val="28"/>
          <w:szCs w:val="28"/>
          <w:highlight w:val="none"/>
        </w:rPr>
      </w:pPr>
      <w:r>
        <w:rPr>
          <w:rFonts w:hint="eastAsia" w:ascii="宋体" w:hAnsi="宋体" w:cs="宋体"/>
          <w:color w:val="auto"/>
          <w:sz w:val="28"/>
          <w:szCs w:val="28"/>
          <w:highlight w:val="none"/>
        </w:rPr>
        <w:t>（二）受让方交易款项支付方式：</w:t>
      </w:r>
      <w:r>
        <w:rPr>
          <w:rFonts w:ascii="宋体" w:hAnsi="宋体" w:cs="宋体"/>
          <w:color w:val="auto"/>
          <w:sz w:val="28"/>
          <w:szCs w:val="28"/>
          <w:highlight w:val="none"/>
        </w:rPr>
        <w:t>一次性付款方式</w:t>
      </w:r>
      <w:r>
        <w:rPr>
          <w:rFonts w:hint="eastAsia" w:ascii="宋体" w:hAnsi="宋体" w:cs="宋体"/>
          <w:color w:val="auto"/>
          <w:sz w:val="28"/>
          <w:szCs w:val="28"/>
          <w:highlight w:val="none"/>
        </w:rPr>
        <w:t>。</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宋体" w:hAnsi="宋体" w:cs="宋体"/>
          <w:color w:val="auto"/>
          <w:sz w:val="28"/>
          <w:szCs w:val="28"/>
          <w:highlight w:val="none"/>
        </w:rPr>
      </w:pPr>
      <w:r>
        <w:rPr>
          <w:rFonts w:hint="eastAsia" w:ascii="宋体" w:hAnsi="宋体" w:cs="宋体"/>
          <w:color w:val="auto"/>
          <w:sz w:val="28"/>
          <w:szCs w:val="28"/>
          <w:highlight w:val="none"/>
        </w:rPr>
        <w:t>交易中涉及全部款项及交易服务费自合同生效之日起</w:t>
      </w:r>
      <w:r>
        <w:rPr>
          <w:rFonts w:ascii="宋体" w:hAnsi="宋体" w:cs="宋体"/>
          <w:color w:val="auto"/>
          <w:sz w:val="28"/>
          <w:szCs w:val="28"/>
          <w:highlight w:val="none"/>
        </w:rPr>
        <w:t>5个工作日内一次性付清</w:t>
      </w:r>
      <w:r>
        <w:rPr>
          <w:rFonts w:hint="eastAsia" w:ascii="宋体" w:hAnsi="宋体" w:cs="宋体"/>
          <w:color w:val="auto"/>
          <w:sz w:val="28"/>
          <w:szCs w:val="28"/>
          <w:highlight w:val="none"/>
        </w:rPr>
        <w:t>，汇入交易所指定账户。</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宋体" w:hAnsi="宋体" w:cs="宋体"/>
          <w:color w:val="auto"/>
          <w:sz w:val="28"/>
          <w:szCs w:val="28"/>
          <w:highlight w:val="none"/>
        </w:rPr>
      </w:pPr>
      <w:r>
        <w:rPr>
          <w:rFonts w:hint="eastAsia" w:ascii="宋体" w:hAnsi="宋体" w:cs="宋体"/>
          <w:color w:val="auto"/>
          <w:sz w:val="28"/>
          <w:szCs w:val="28"/>
          <w:highlight w:val="none"/>
        </w:rPr>
        <w:t>（三）在《国有产权交易合同》生效后25个工作日内完成工商变更登记。</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宋体" w:hAnsi="宋体" w:cs="宋体"/>
          <w:color w:val="auto"/>
          <w:sz w:val="28"/>
          <w:szCs w:val="28"/>
          <w:highlight w:val="none"/>
        </w:rPr>
      </w:pPr>
      <w:r>
        <w:rPr>
          <w:rFonts w:hint="eastAsia" w:ascii="宋体" w:hAnsi="宋体" w:cs="宋体"/>
          <w:color w:val="auto"/>
          <w:sz w:val="28"/>
          <w:szCs w:val="28"/>
          <w:highlight w:val="none"/>
        </w:rPr>
        <w:t>公司变更登记前，转让方和受让方应当完成以下手续：</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宋体" w:hAnsi="宋体" w:cs="宋体"/>
          <w:color w:val="auto"/>
          <w:sz w:val="28"/>
          <w:szCs w:val="28"/>
          <w:highlight w:val="none"/>
        </w:rPr>
      </w:pPr>
      <w:r>
        <w:rPr>
          <w:rFonts w:hint="eastAsia" w:ascii="宋体" w:hAnsi="宋体" w:cs="宋体"/>
          <w:color w:val="auto"/>
          <w:sz w:val="28"/>
          <w:szCs w:val="28"/>
          <w:highlight w:val="none"/>
        </w:rPr>
        <w:t>标的公司召开股东会会议并作出决议或者直接作出股东决定，解除原董事、监事和经理的职务，选举（或任命）新的董事、监事和经理，并修改章程。</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宋体" w:hAnsi="宋体" w:cs="宋体"/>
          <w:color w:val="auto"/>
          <w:sz w:val="28"/>
          <w:szCs w:val="28"/>
          <w:highlight w:val="none"/>
        </w:rPr>
      </w:pPr>
      <w:r>
        <w:rPr>
          <w:rFonts w:hint="eastAsia" w:ascii="宋体" w:hAnsi="宋体" w:cs="宋体"/>
          <w:color w:val="auto"/>
          <w:sz w:val="28"/>
          <w:szCs w:val="28"/>
          <w:highlight w:val="none"/>
        </w:rPr>
        <w:t>（四）在工商变更完成后25个工作日内完成产权移交手续。产权移交手续包括但不限于：</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宋体" w:hAnsi="宋体" w:cs="宋体"/>
          <w:color w:val="auto"/>
          <w:sz w:val="28"/>
          <w:szCs w:val="28"/>
          <w:highlight w:val="none"/>
        </w:rPr>
      </w:pPr>
      <w:r>
        <w:rPr>
          <w:rFonts w:hint="eastAsia" w:ascii="宋体" w:hAnsi="宋体" w:cs="宋体"/>
          <w:color w:val="auto"/>
          <w:sz w:val="28"/>
          <w:szCs w:val="28"/>
          <w:highlight w:val="none"/>
        </w:rPr>
        <w:t>1.标的公司的各项证照、印章（公章、合同章、财务专用立章、法定代表人印鉴等）的交接；</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宋体" w:hAnsi="宋体" w:cs="宋体"/>
          <w:color w:val="auto"/>
          <w:sz w:val="28"/>
          <w:szCs w:val="28"/>
          <w:highlight w:val="none"/>
        </w:rPr>
      </w:pPr>
      <w:r>
        <w:rPr>
          <w:rFonts w:hint="eastAsia" w:ascii="宋体" w:hAnsi="宋体" w:cs="宋体"/>
          <w:color w:val="auto"/>
          <w:sz w:val="28"/>
          <w:szCs w:val="28"/>
          <w:highlight w:val="none"/>
        </w:rPr>
        <w:t>2.标的公司的各项文件（包括但不限于公司章程、股东决定、管理制度、合同文本、往来函件等）的交接；</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宋体" w:hAnsi="宋体" w:cs="宋体"/>
          <w:color w:val="auto"/>
          <w:sz w:val="28"/>
          <w:szCs w:val="28"/>
          <w:highlight w:val="none"/>
        </w:rPr>
      </w:pPr>
      <w:r>
        <w:rPr>
          <w:rFonts w:hint="eastAsia" w:ascii="宋体" w:hAnsi="宋体" w:cs="宋体"/>
          <w:color w:val="auto"/>
          <w:sz w:val="28"/>
          <w:szCs w:val="28"/>
          <w:highlight w:val="none"/>
        </w:rPr>
        <w:t>3.标的公司除不动产外的重大资产（价值5万元以上）的交接；</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宋体" w:hAnsi="宋体" w:cs="宋体"/>
          <w:color w:val="auto"/>
          <w:sz w:val="28"/>
          <w:szCs w:val="28"/>
          <w:highlight w:val="none"/>
        </w:rPr>
      </w:pPr>
      <w:r>
        <w:rPr>
          <w:rFonts w:hint="eastAsia" w:ascii="宋体" w:hAnsi="宋体" w:cs="宋体"/>
          <w:color w:val="auto"/>
          <w:sz w:val="28"/>
          <w:szCs w:val="28"/>
          <w:highlight w:val="none"/>
        </w:rPr>
        <w:t>4.标的公司在建工程的交接（包括但于限于在建工程的档案及技术资料交接、现场管理岗位交接、建设方供应及控制的物料交接等）；</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宋体" w:hAnsi="宋体" w:cs="宋体"/>
          <w:color w:val="auto"/>
          <w:sz w:val="28"/>
          <w:szCs w:val="28"/>
          <w:highlight w:val="none"/>
        </w:rPr>
      </w:pPr>
      <w:r>
        <w:rPr>
          <w:rFonts w:hint="eastAsia" w:ascii="宋体" w:hAnsi="宋体" w:cs="宋体"/>
          <w:color w:val="auto"/>
          <w:sz w:val="28"/>
          <w:szCs w:val="28"/>
          <w:highlight w:val="none"/>
        </w:rPr>
        <w:t>5.标的公司的财务交接，包括财务资料（财务报表、账簿、记账凭证、财务印鉴等）交接和银行账户交接（在银行变更印鉴、移交U盾等）；</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宋体" w:hAnsi="宋体" w:cs="宋体"/>
          <w:color w:val="auto"/>
          <w:sz w:val="28"/>
          <w:szCs w:val="28"/>
          <w:highlight w:val="none"/>
        </w:rPr>
      </w:pPr>
      <w:r>
        <w:rPr>
          <w:rFonts w:hint="eastAsia" w:ascii="宋体" w:hAnsi="宋体" w:cs="宋体"/>
          <w:color w:val="auto"/>
          <w:sz w:val="28"/>
          <w:szCs w:val="28"/>
          <w:highlight w:val="none"/>
        </w:rPr>
        <w:t>6.其他重要项目的交接。</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宋体" w:hAnsi="宋体" w:cs="宋体"/>
          <w:color w:val="auto"/>
          <w:sz w:val="28"/>
          <w:szCs w:val="28"/>
          <w:highlight w:val="none"/>
        </w:rPr>
      </w:pPr>
      <w:r>
        <w:rPr>
          <w:rFonts w:hint="eastAsia" w:ascii="宋体" w:hAnsi="宋体" w:cs="宋体"/>
          <w:color w:val="auto"/>
          <w:sz w:val="28"/>
          <w:szCs w:val="28"/>
          <w:highlight w:val="none"/>
        </w:rPr>
        <w:t>交接时应制作交接清单，详细记载交接物的名称、规格、数量，双方签署后即视为交接完毕。</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宋体" w:hAnsi="宋体" w:cs="宋体"/>
          <w:color w:val="auto"/>
          <w:sz w:val="28"/>
          <w:szCs w:val="28"/>
          <w:highlight w:val="none"/>
        </w:rPr>
      </w:pPr>
      <w:r>
        <w:rPr>
          <w:rFonts w:hint="eastAsia" w:ascii="宋体" w:hAnsi="宋体" w:cs="宋体"/>
          <w:color w:val="auto"/>
          <w:sz w:val="28"/>
          <w:szCs w:val="28"/>
          <w:highlight w:val="none"/>
        </w:rPr>
        <w:t>个别项目无法在上述约定的期限内完成交接的，双方可以协商确定合理的延长期限。</w:t>
      </w:r>
    </w:p>
    <w:p>
      <w:pPr>
        <w:keepNext w:val="0"/>
        <w:keepLines w:val="0"/>
        <w:pageBreakBefore w:val="0"/>
        <w:widowControl w:val="0"/>
        <w:kinsoku/>
        <w:wordWrap/>
        <w:overflowPunct/>
        <w:topLinePunct w:val="0"/>
        <w:autoSpaceDE/>
        <w:autoSpaceDN/>
        <w:bidi w:val="0"/>
        <w:adjustRightInd/>
        <w:snapToGrid/>
        <w:spacing w:before="63" w:beforeLines="20" w:after="63" w:afterLines="20" w:line="500" w:lineRule="exact"/>
        <w:ind w:firstLine="562" w:firstLineChars="200"/>
        <w:textAlignment w:val="auto"/>
        <w:rPr>
          <w:rFonts w:ascii="宋体" w:hAnsi="宋体" w:cs="宋体"/>
          <w:b/>
          <w:bCs/>
          <w:color w:val="auto"/>
          <w:sz w:val="28"/>
          <w:szCs w:val="28"/>
          <w:highlight w:val="none"/>
        </w:rPr>
      </w:pPr>
      <w:r>
        <w:rPr>
          <w:rFonts w:hint="eastAsia" w:ascii="宋体" w:hAnsi="宋体" w:cs="宋体"/>
          <w:b/>
          <w:bCs/>
          <w:color w:val="auto"/>
          <w:sz w:val="28"/>
          <w:szCs w:val="28"/>
          <w:highlight w:val="none"/>
        </w:rPr>
        <w:t>二十三、发布成交公告</w:t>
      </w:r>
    </w:p>
    <w:p>
      <w:pPr>
        <w:spacing w:line="500" w:lineRule="exact"/>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交易所在交易双方签订《国有产权交易合同》生效日后</w:t>
      </w:r>
      <w:r>
        <w:rPr>
          <w:rFonts w:ascii="宋体" w:hAnsi="宋体" w:cs="宋体"/>
          <w:color w:val="auto"/>
          <w:sz w:val="28"/>
          <w:szCs w:val="28"/>
          <w:highlight w:val="none"/>
        </w:rPr>
        <w:t>2个工作日内在</w:t>
      </w:r>
      <w:r>
        <w:rPr>
          <w:rFonts w:hint="eastAsia" w:ascii="宋体" w:hAnsi="宋体" w:cs="宋体"/>
          <w:color w:val="auto"/>
          <w:sz w:val="28"/>
          <w:szCs w:val="28"/>
          <w:highlight w:val="none"/>
        </w:rPr>
        <w:t>义乌产权交易所网站</w:t>
      </w:r>
      <w:r>
        <w:rPr>
          <w:rFonts w:ascii="宋体" w:hAnsi="宋体" w:cs="宋体"/>
          <w:color w:val="auto"/>
          <w:sz w:val="28"/>
          <w:szCs w:val="28"/>
          <w:highlight w:val="none"/>
        </w:rPr>
        <w:t>(</w:t>
      </w:r>
      <w:r>
        <w:rPr>
          <w:color w:val="auto"/>
          <w:highlight w:val="none"/>
        </w:rPr>
        <w:fldChar w:fldCharType="begin"/>
      </w:r>
      <w:r>
        <w:rPr>
          <w:color w:val="auto"/>
          <w:highlight w:val="none"/>
        </w:rPr>
        <w:instrText xml:space="preserve"> HYPERLINK "http://www.ywcq.com" </w:instrText>
      </w:r>
      <w:r>
        <w:rPr>
          <w:color w:val="auto"/>
          <w:highlight w:val="none"/>
        </w:rPr>
        <w:fldChar w:fldCharType="separate"/>
      </w:r>
      <w:r>
        <w:rPr>
          <w:rStyle w:val="10"/>
          <w:rFonts w:ascii="宋体" w:hAnsi="宋体" w:cs="宋体"/>
          <w:color w:val="auto"/>
          <w:sz w:val="28"/>
          <w:szCs w:val="28"/>
          <w:highlight w:val="none"/>
          <w:u w:val="none"/>
        </w:rPr>
        <w:t>www.ywcq.com</w:t>
      </w:r>
      <w:r>
        <w:rPr>
          <w:rStyle w:val="10"/>
          <w:rFonts w:ascii="宋体" w:hAnsi="宋体" w:cs="宋体"/>
          <w:color w:val="auto"/>
          <w:sz w:val="28"/>
          <w:szCs w:val="28"/>
          <w:highlight w:val="none"/>
          <w:u w:val="none"/>
        </w:rPr>
        <w:fldChar w:fldCharType="end"/>
      </w:r>
      <w:r>
        <w:rPr>
          <w:rFonts w:ascii="宋体" w:hAnsi="宋体" w:cs="宋体"/>
          <w:color w:val="auto"/>
          <w:sz w:val="28"/>
          <w:szCs w:val="28"/>
          <w:highlight w:val="none"/>
        </w:rPr>
        <w:t>)</w:t>
      </w:r>
      <w:r>
        <w:rPr>
          <w:rFonts w:hint="eastAsia" w:ascii="宋体" w:hAnsi="宋体" w:cs="宋体"/>
          <w:color w:val="auto"/>
          <w:sz w:val="28"/>
          <w:szCs w:val="28"/>
          <w:highlight w:val="none"/>
        </w:rPr>
        <w:t>、义乌产权交易所微信公众号（</w:t>
      </w:r>
      <w:r>
        <w:rPr>
          <w:rFonts w:ascii="宋体" w:hAnsi="宋体" w:cs="宋体"/>
          <w:color w:val="auto"/>
          <w:sz w:val="28"/>
          <w:szCs w:val="28"/>
          <w:highlight w:val="none"/>
        </w:rPr>
        <w:t>ywcqjys）</w:t>
      </w:r>
      <w:r>
        <w:rPr>
          <w:rFonts w:hint="eastAsia" w:ascii="宋体" w:hAnsi="宋体" w:cs="宋体"/>
          <w:color w:val="auto"/>
          <w:sz w:val="28"/>
          <w:szCs w:val="28"/>
          <w:highlight w:val="none"/>
        </w:rPr>
        <w:t>和</w:t>
      </w:r>
      <w:r>
        <w:rPr>
          <w:rFonts w:hint="eastAsia" w:ascii="宋体" w:hAnsi="宋体"/>
          <w:color w:val="auto"/>
          <w:spacing w:val="-6"/>
          <w:sz w:val="28"/>
          <w:szCs w:val="28"/>
          <w:highlight w:val="none"/>
        </w:rPr>
        <w:t>义乌市公共资源交易中心网（</w:t>
      </w:r>
      <w:r>
        <w:rPr>
          <w:rFonts w:ascii="宋体" w:hAnsi="宋体" w:cs="宋体"/>
          <w:color w:val="auto"/>
          <w:sz w:val="28"/>
          <w:szCs w:val="28"/>
          <w:highlight w:val="none"/>
        </w:rPr>
        <w:t>http://ggfw.ywjypt.yw.gov.cn/index.html</w:t>
      </w:r>
      <w:r>
        <w:rPr>
          <w:rFonts w:ascii="宋体" w:hAnsi="宋体"/>
          <w:color w:val="auto"/>
          <w:spacing w:val="-6"/>
          <w:sz w:val="28"/>
          <w:szCs w:val="28"/>
          <w:highlight w:val="none"/>
        </w:rPr>
        <w:t>）</w:t>
      </w:r>
      <w:r>
        <w:rPr>
          <w:rFonts w:hint="eastAsia" w:ascii="宋体" w:hAnsi="宋体" w:cs="宋体"/>
          <w:color w:val="auto"/>
          <w:sz w:val="28"/>
          <w:szCs w:val="28"/>
          <w:highlight w:val="none"/>
        </w:rPr>
        <w:t>发布本次成交公告。</w:t>
      </w:r>
    </w:p>
    <w:p>
      <w:pPr>
        <w:keepNext w:val="0"/>
        <w:keepLines w:val="0"/>
        <w:pageBreakBefore w:val="0"/>
        <w:widowControl w:val="0"/>
        <w:kinsoku/>
        <w:wordWrap/>
        <w:overflowPunct/>
        <w:topLinePunct w:val="0"/>
        <w:autoSpaceDE/>
        <w:autoSpaceDN/>
        <w:bidi w:val="0"/>
        <w:adjustRightInd/>
        <w:snapToGrid/>
        <w:spacing w:before="63" w:beforeLines="20" w:after="63" w:afterLines="20" w:line="500" w:lineRule="exact"/>
        <w:ind w:firstLine="560" w:firstLineChars="200"/>
        <w:textAlignment w:val="auto"/>
        <w:rPr>
          <w:rFonts w:ascii="宋体" w:hAnsi="宋体" w:cs="宋体"/>
          <w:color w:val="auto"/>
          <w:sz w:val="28"/>
          <w:szCs w:val="28"/>
          <w:highlight w:val="none"/>
        </w:rPr>
      </w:pPr>
      <w:r>
        <w:rPr>
          <w:rFonts w:hint="eastAsia" w:ascii="宋体" w:hAnsi="宋体" w:cs="宋体"/>
          <w:color w:val="auto"/>
          <w:sz w:val="28"/>
          <w:szCs w:val="28"/>
          <w:highlight w:val="none"/>
        </w:rPr>
        <w:t>二</w:t>
      </w:r>
      <w:r>
        <w:rPr>
          <w:rFonts w:hint="eastAsia" w:ascii="宋体" w:hAnsi="宋体" w:cs="宋体"/>
          <w:b/>
          <w:bCs/>
          <w:color w:val="auto"/>
          <w:sz w:val="28"/>
          <w:szCs w:val="28"/>
          <w:highlight w:val="none"/>
        </w:rPr>
        <w:t>十四、违约事项</w:t>
      </w:r>
    </w:p>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val="0"/>
        <w:bidi w:val="0"/>
        <w:adjustRightInd w:val="0"/>
        <w:snapToGrid w:val="0"/>
        <w:spacing w:line="480" w:lineRule="exact"/>
        <w:ind w:firstLine="560" w:firstLineChars="200"/>
        <w:textAlignment w:val="auto"/>
        <w:rPr>
          <w:rFonts w:ascii="宋体" w:hAnsi="宋体" w:cs="宋体"/>
          <w:color w:val="auto"/>
          <w:sz w:val="28"/>
          <w:szCs w:val="28"/>
          <w:highlight w:val="none"/>
        </w:rPr>
      </w:pPr>
      <w:r>
        <w:rPr>
          <w:rFonts w:hint="eastAsia" w:ascii="宋体" w:hAnsi="宋体" w:cs="宋体"/>
          <w:color w:val="auto"/>
          <w:sz w:val="28"/>
          <w:szCs w:val="28"/>
          <w:highlight w:val="none"/>
        </w:rPr>
        <w:t>（一）在公开竞价过程中，竞买人未按本细则要求履行职责，在本次竞价活动中发生国家法律、法规所禁止的未能履约的行为，转让方有权没收其竞买保证金，并追究其他相关责任；</w:t>
      </w:r>
    </w:p>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val="0"/>
        <w:bidi w:val="0"/>
        <w:adjustRightInd w:val="0"/>
        <w:snapToGrid w:val="0"/>
        <w:spacing w:line="480" w:lineRule="exact"/>
        <w:ind w:firstLine="560" w:firstLineChars="200"/>
        <w:textAlignment w:val="auto"/>
        <w:rPr>
          <w:rFonts w:ascii="宋体" w:hAnsi="宋体" w:cs="宋体"/>
          <w:color w:val="auto"/>
          <w:sz w:val="28"/>
          <w:szCs w:val="28"/>
          <w:highlight w:val="none"/>
        </w:rPr>
      </w:pPr>
      <w:r>
        <w:rPr>
          <w:rFonts w:hint="eastAsia" w:ascii="宋体" w:hAnsi="宋体" w:cs="宋体"/>
          <w:color w:val="auto"/>
          <w:sz w:val="28"/>
          <w:szCs w:val="28"/>
          <w:highlight w:val="none"/>
        </w:rPr>
        <w:t>（二）竞买人应对《竞买人承诺函》承担责任并全面履行，否则竞买保证金将不予返还；</w:t>
      </w:r>
    </w:p>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val="0"/>
        <w:bidi w:val="0"/>
        <w:adjustRightInd w:val="0"/>
        <w:snapToGrid w:val="0"/>
        <w:spacing w:line="480" w:lineRule="exact"/>
        <w:ind w:firstLine="560" w:firstLineChars="200"/>
        <w:textAlignment w:val="auto"/>
        <w:rPr>
          <w:rFonts w:ascii="宋体" w:hAnsi="宋体" w:cs="宋体"/>
          <w:color w:val="auto"/>
          <w:sz w:val="28"/>
          <w:szCs w:val="28"/>
          <w:highlight w:val="none"/>
        </w:rPr>
      </w:pPr>
      <w:r>
        <w:rPr>
          <w:rFonts w:hint="eastAsia" w:ascii="宋体" w:hAnsi="宋体" w:cs="宋体"/>
          <w:color w:val="auto"/>
          <w:sz w:val="28"/>
          <w:szCs w:val="28"/>
          <w:highlight w:val="none"/>
        </w:rPr>
        <w:t>（三）竞得人应在规定期限内签订《成交确认书》，否则竞得人的竞买保证金将不予返还；</w:t>
      </w:r>
    </w:p>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val="0"/>
        <w:bidi w:val="0"/>
        <w:adjustRightInd w:val="0"/>
        <w:snapToGrid w:val="0"/>
        <w:spacing w:line="480" w:lineRule="exact"/>
        <w:ind w:firstLine="560" w:firstLineChars="200"/>
        <w:textAlignment w:val="auto"/>
        <w:rPr>
          <w:rFonts w:ascii="宋体" w:hAnsi="宋体" w:cs="宋体"/>
          <w:color w:val="auto"/>
          <w:sz w:val="28"/>
          <w:szCs w:val="28"/>
          <w:highlight w:val="none"/>
        </w:rPr>
      </w:pPr>
      <w:r>
        <w:rPr>
          <w:rFonts w:hint="eastAsia" w:ascii="宋体" w:hAnsi="宋体" w:cs="宋体"/>
          <w:color w:val="auto"/>
          <w:sz w:val="28"/>
          <w:szCs w:val="28"/>
          <w:highlight w:val="none"/>
        </w:rPr>
        <w:t>（四）竞得人应在规定期限内与转让方签订相关的《国有产权交易合同》，否则竞得人的竞买保证金将不予返还；</w:t>
      </w:r>
    </w:p>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val="0"/>
        <w:bidi w:val="0"/>
        <w:adjustRightInd w:val="0"/>
        <w:snapToGrid w:val="0"/>
        <w:spacing w:line="480" w:lineRule="exact"/>
        <w:ind w:firstLine="560" w:firstLineChars="200"/>
        <w:textAlignment w:val="auto"/>
        <w:rPr>
          <w:rFonts w:ascii="宋体" w:hAnsi="宋体" w:cs="宋体"/>
          <w:color w:val="auto"/>
          <w:sz w:val="28"/>
          <w:szCs w:val="28"/>
          <w:highlight w:val="none"/>
        </w:rPr>
      </w:pPr>
      <w:r>
        <w:rPr>
          <w:rFonts w:hint="eastAsia" w:ascii="宋体" w:hAnsi="宋体" w:cs="宋体"/>
          <w:color w:val="auto"/>
          <w:sz w:val="28"/>
          <w:szCs w:val="28"/>
          <w:highlight w:val="none"/>
        </w:rPr>
        <w:t>（五）竞得人应在规定时间付清应付款项，若未按期足额支付，转让方有权没收其履约保证金；</w:t>
      </w:r>
    </w:p>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val="0"/>
        <w:bidi w:val="0"/>
        <w:adjustRightInd w:val="0"/>
        <w:snapToGrid w:val="0"/>
        <w:spacing w:line="480" w:lineRule="exact"/>
        <w:ind w:firstLine="560" w:firstLineChars="200"/>
        <w:textAlignment w:val="auto"/>
        <w:rPr>
          <w:rFonts w:ascii="宋体" w:hAnsi="宋体" w:cs="宋体"/>
          <w:color w:val="auto"/>
          <w:sz w:val="28"/>
          <w:szCs w:val="28"/>
          <w:highlight w:val="none"/>
        </w:rPr>
      </w:pPr>
      <w:r>
        <w:rPr>
          <w:rFonts w:hint="eastAsia" w:ascii="宋体" w:hAnsi="宋体" w:cs="宋体"/>
          <w:color w:val="auto"/>
          <w:sz w:val="28"/>
          <w:szCs w:val="28"/>
          <w:highlight w:val="none"/>
        </w:rPr>
        <w:t>（六）竞得人应确保自身资格符合义乌市公共资源交易平台要求（详见第十条），否则竞得人应承担全部法律责任，且其所交纳竞买保证金不予返还。</w:t>
      </w:r>
    </w:p>
    <w:p>
      <w:pPr>
        <w:keepNext w:val="0"/>
        <w:keepLines w:val="0"/>
        <w:pageBreakBefore w:val="0"/>
        <w:widowControl w:val="0"/>
        <w:kinsoku/>
        <w:wordWrap/>
        <w:overflowPunct/>
        <w:topLinePunct w:val="0"/>
        <w:autoSpaceDE/>
        <w:autoSpaceDN/>
        <w:bidi w:val="0"/>
        <w:adjustRightInd/>
        <w:snapToGrid/>
        <w:spacing w:before="63" w:beforeLines="20" w:after="63" w:afterLines="20" w:line="500" w:lineRule="exact"/>
        <w:ind w:firstLine="562" w:firstLineChars="200"/>
        <w:textAlignment w:val="auto"/>
        <w:rPr>
          <w:rFonts w:ascii="宋体" w:hAnsi="宋体" w:cs="宋体"/>
          <w:b/>
          <w:bCs/>
          <w:color w:val="auto"/>
          <w:sz w:val="28"/>
          <w:szCs w:val="28"/>
          <w:highlight w:val="none"/>
        </w:rPr>
      </w:pPr>
      <w:r>
        <w:rPr>
          <w:rFonts w:hint="eastAsia" w:ascii="宋体" w:hAnsi="宋体" w:cs="宋体"/>
          <w:b/>
          <w:bCs/>
          <w:color w:val="auto"/>
          <w:sz w:val="28"/>
          <w:szCs w:val="28"/>
          <w:highlight w:val="none"/>
        </w:rPr>
        <w:t>二十五、附则</w:t>
      </w:r>
    </w:p>
    <w:p>
      <w:pPr>
        <w:spacing w:line="500" w:lineRule="exact"/>
        <w:ind w:firstLine="560" w:firstLineChars="200"/>
        <w:jc w:val="left"/>
        <w:rPr>
          <w:rFonts w:ascii="宋体" w:hAnsi="宋体" w:cs="宋体"/>
          <w:color w:val="auto"/>
          <w:sz w:val="28"/>
          <w:szCs w:val="28"/>
          <w:highlight w:val="none"/>
        </w:rPr>
      </w:pPr>
      <w:r>
        <w:rPr>
          <w:rFonts w:hint="eastAsia" w:ascii="宋体" w:hAnsi="宋体" w:cs="宋体"/>
          <w:color w:val="auto"/>
          <w:sz w:val="28"/>
          <w:szCs w:val="28"/>
          <w:highlight w:val="none"/>
        </w:rPr>
        <w:t>本细则解释权归浙江义乌高新区开发建设有限公司和义乌产权交易所有限公司。</w:t>
      </w:r>
    </w:p>
    <w:p>
      <w:pPr>
        <w:wordWrap w:val="0"/>
        <w:spacing w:line="500" w:lineRule="exact"/>
        <w:ind w:firstLine="560" w:firstLineChars="200"/>
        <w:jc w:val="right"/>
        <w:rPr>
          <w:rFonts w:ascii="宋体" w:hAnsi="宋体" w:cs="宋体"/>
          <w:color w:val="auto"/>
          <w:sz w:val="28"/>
          <w:szCs w:val="28"/>
          <w:highlight w:val="none"/>
        </w:rPr>
      </w:pPr>
      <w:r>
        <w:rPr>
          <w:rFonts w:hint="eastAsia" w:ascii="宋体" w:hAnsi="宋体" w:cs="宋体"/>
          <w:color w:val="auto"/>
          <w:sz w:val="28"/>
          <w:szCs w:val="28"/>
          <w:highlight w:val="none"/>
        </w:rPr>
        <w:t>挂牌转让方</w:t>
      </w:r>
      <w:r>
        <w:rPr>
          <w:rFonts w:hint="eastAsia" w:ascii="宋体" w:hAnsi="宋体" w:cs="宋体"/>
          <w:color w:val="auto"/>
          <w:spacing w:val="-12"/>
          <w:sz w:val="28"/>
          <w:szCs w:val="28"/>
          <w:highlight w:val="none"/>
        </w:rPr>
        <w:t>：</w:t>
      </w:r>
      <w:r>
        <w:rPr>
          <w:rFonts w:hint="eastAsia" w:ascii="宋体" w:hAnsi="宋体" w:cs="宋体"/>
          <w:color w:val="auto"/>
          <w:sz w:val="28"/>
          <w:szCs w:val="28"/>
          <w:highlight w:val="none"/>
        </w:rPr>
        <w:t xml:space="preserve">浙江义乌高新区开发建设有限公司 </w:t>
      </w:r>
    </w:p>
    <w:p>
      <w:pPr>
        <w:spacing w:line="500" w:lineRule="exact"/>
        <w:jc w:val="right"/>
        <w:rPr>
          <w:rFonts w:ascii="宋体" w:hAnsi="宋体" w:cs="宋体"/>
          <w:color w:val="auto"/>
          <w:sz w:val="28"/>
          <w:szCs w:val="28"/>
          <w:highlight w:val="none"/>
        </w:rPr>
      </w:pPr>
      <w:r>
        <w:rPr>
          <w:rFonts w:ascii="宋体" w:hAnsi="宋体" w:cs="宋体"/>
          <w:color w:val="auto"/>
          <w:sz w:val="28"/>
          <w:szCs w:val="28"/>
          <w:highlight w:val="none"/>
        </w:rPr>
        <w:t>产权交易机构：义乌产权交易所有限公司</w:t>
      </w:r>
      <w:r>
        <w:rPr>
          <w:rFonts w:ascii="宋体" w:hAnsi="宋体" w:cs="宋体"/>
          <w:color w:val="auto"/>
          <w:sz w:val="28"/>
          <w:szCs w:val="28"/>
          <w:highlight w:val="none"/>
        </w:rPr>
        <w:br w:type="textWrapping"/>
      </w:r>
      <w:r>
        <w:rPr>
          <w:rFonts w:hint="eastAsia" w:ascii="宋体" w:hAnsi="宋体" w:cs="宋体"/>
          <w:color w:val="auto"/>
          <w:sz w:val="28"/>
          <w:szCs w:val="28"/>
          <w:highlight w:val="none"/>
        </w:rPr>
        <w:t>日</w:t>
      </w:r>
      <w:r>
        <w:rPr>
          <w:rFonts w:ascii="宋体" w:hAnsi="宋体" w:cs="宋体"/>
          <w:color w:val="auto"/>
          <w:sz w:val="28"/>
          <w:szCs w:val="28"/>
          <w:highlight w:val="none"/>
        </w:rPr>
        <w:t xml:space="preserve">      期：</w:t>
      </w:r>
      <w:r>
        <w:rPr>
          <w:rFonts w:hint="eastAsia" w:ascii="宋体" w:hAnsi="宋体" w:cs="宋体"/>
          <w:color w:val="auto"/>
          <w:sz w:val="28"/>
          <w:szCs w:val="28"/>
          <w:highlight w:val="none"/>
        </w:rPr>
        <w:t>2021年</w:t>
      </w:r>
      <w:r>
        <w:rPr>
          <w:rFonts w:hint="eastAsia" w:ascii="宋体" w:hAnsi="宋体" w:cs="宋体"/>
          <w:color w:val="auto"/>
          <w:sz w:val="28"/>
          <w:szCs w:val="28"/>
          <w:highlight w:val="none"/>
          <w:lang w:val="en-US" w:eastAsia="zh-CN"/>
        </w:rPr>
        <w:t>8</w:t>
      </w:r>
      <w:r>
        <w:rPr>
          <w:rFonts w:hint="eastAsia" w:ascii="宋体" w:hAnsi="宋体" w:cs="宋体"/>
          <w:color w:val="auto"/>
          <w:sz w:val="28"/>
          <w:szCs w:val="28"/>
          <w:highlight w:val="none"/>
        </w:rPr>
        <w:t>月</w:t>
      </w:r>
      <w:r>
        <w:rPr>
          <w:rFonts w:hint="eastAsia" w:ascii="宋体" w:hAnsi="宋体" w:cs="宋体"/>
          <w:color w:val="auto"/>
          <w:sz w:val="28"/>
          <w:szCs w:val="28"/>
          <w:highlight w:val="none"/>
          <w:lang w:val="en-US" w:eastAsia="zh-CN"/>
        </w:rPr>
        <w:t>24</w:t>
      </w:r>
      <w:r>
        <w:rPr>
          <w:rFonts w:hint="eastAsia" w:ascii="宋体" w:hAnsi="宋体" w:cs="宋体"/>
          <w:color w:val="auto"/>
          <w:sz w:val="28"/>
          <w:szCs w:val="28"/>
          <w:highlight w:val="none"/>
        </w:rPr>
        <w:t>日</w:t>
      </w:r>
    </w:p>
    <w:p>
      <w:pPr>
        <w:rPr>
          <w:color w:val="auto"/>
          <w:highlight w:val="none"/>
        </w:rPr>
      </w:pPr>
    </w:p>
    <w:sectPr>
      <w:headerReference r:id="rId3" w:type="default"/>
      <w:footerReference r:id="rId4" w:type="default"/>
      <w:footerReference r:id="rId5"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right="360"/>
    </w:pPr>
  </w:p>
  <w:p>
    <w:pPr>
      <w:pStyle w:val="2"/>
      <w:ind w:right="360"/>
      <w:jc w:val="center"/>
    </w:pPr>
    <w:r>
      <w:rPr>
        <w:kern w:val="0"/>
        <w:szCs w:val="21"/>
      </w:rPr>
      <w:fldChar w:fldCharType="begin"/>
    </w:r>
    <w:r>
      <w:rPr>
        <w:kern w:val="0"/>
        <w:szCs w:val="21"/>
      </w:rPr>
      <w:instrText xml:space="preserve"> PAGE </w:instrText>
    </w:r>
    <w:r>
      <w:rPr>
        <w:kern w:val="0"/>
        <w:szCs w:val="21"/>
      </w:rPr>
      <w:fldChar w:fldCharType="separate"/>
    </w:r>
    <w:r>
      <w:rPr>
        <w:kern w:val="0"/>
        <w:szCs w:val="21"/>
      </w:rPr>
      <w:t>7</w:t>
    </w:r>
    <w:r>
      <w:rPr>
        <w:kern w:val="0"/>
        <w:szCs w:val="21"/>
      </w:rPr>
      <w:fldChar w:fldCharType="end"/>
    </w:r>
    <w:r>
      <w:rPr>
        <w:sz w:val="20"/>
      </w:rPr>
      <w:pict>
        <v:line id="_x0000_s1026" o:spid="_x0000_s1026" o:spt="20" style="position:absolute;left:0pt;margin-left:0pt;margin-top:-0.15pt;height:0pt;width:414pt;z-index:251659264;mso-width-relative:page;mso-height-relative:page;" coordsize="21600,21600" o:gfxdata="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PNjtubSAAAABAEA&#10;AA8AAAAAAAAAAQAgAAAAIgAAAGRycy9kb3ducmV2LnhtbFBLAQIUABQAAAAIAIdO4kDuX6iE5wEA&#10;ALgDAAAOAAAAAAAAAAEAIAAAACEBAABkcnMvZTJvRG9jLnhtbFBLBQYAAAAABgAGAFkBAAB6BQAA&#10;AAA=&#10;">
          <v:path arrowok="t"/>
          <v:fill focussize="0,0"/>
          <v:stroke/>
          <v:imagedata o:title=""/>
          <o:lock v:ext="edit"/>
        </v:lin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rPr>
        <w:rStyle w:val="8"/>
      </w:rPr>
    </w:pPr>
    <w:r>
      <w:fldChar w:fldCharType="begin"/>
    </w:r>
    <w:r>
      <w:rPr>
        <w:rStyle w:val="8"/>
      </w:rPr>
      <w:instrText xml:space="preserve">PAGE  </w:instrText>
    </w:r>
    <w:r>
      <w:fldChar w:fldCharType="separate"/>
    </w:r>
    <w:r>
      <w:rPr>
        <w:rStyle w:val="8"/>
      </w:rPr>
      <w:t>6</w:t>
    </w:r>
    <w:r>
      <w:fldChar w:fldCharType="end"/>
    </w:r>
  </w:p>
  <w:p>
    <w:pPr>
      <w:pStyle w:val="2"/>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left="480" w:hanging="480" w:hangingChars="200"/>
      <w:jc w:val="left"/>
      <w:rPr>
        <w:sz w:val="24"/>
      </w:rPr>
    </w:pPr>
    <w:r>
      <w:rPr>
        <w:rFonts w:hint="eastAsia" w:ascii="宋体" w:hAnsi="宋体" w:cs="宋体"/>
        <w:sz w:val="24"/>
        <w:szCs w:val="24"/>
      </w:rPr>
      <w:t>义乌八都房产公司100%股权及2.96亿元债权</w:t>
    </w:r>
    <w:r>
      <w:rPr>
        <w:rFonts w:hint="eastAsia"/>
        <w:sz w:val="24"/>
      </w:rPr>
      <w:t>公开挂牌转让         细   则</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781CE0"/>
    <w:rsid w:val="00072CDB"/>
    <w:rsid w:val="00075827"/>
    <w:rsid w:val="00093564"/>
    <w:rsid w:val="00110FF2"/>
    <w:rsid w:val="00192F6F"/>
    <w:rsid w:val="001B4371"/>
    <w:rsid w:val="001B4B80"/>
    <w:rsid w:val="001F78AD"/>
    <w:rsid w:val="002011E9"/>
    <w:rsid w:val="002C1F80"/>
    <w:rsid w:val="00312F28"/>
    <w:rsid w:val="00321CA3"/>
    <w:rsid w:val="003653DE"/>
    <w:rsid w:val="00371CD7"/>
    <w:rsid w:val="003E35B9"/>
    <w:rsid w:val="00410FB5"/>
    <w:rsid w:val="00461830"/>
    <w:rsid w:val="00470552"/>
    <w:rsid w:val="00522146"/>
    <w:rsid w:val="00594FD4"/>
    <w:rsid w:val="006067F0"/>
    <w:rsid w:val="006D2920"/>
    <w:rsid w:val="007450C2"/>
    <w:rsid w:val="00781CE0"/>
    <w:rsid w:val="008379B7"/>
    <w:rsid w:val="008C71E1"/>
    <w:rsid w:val="008E4FE7"/>
    <w:rsid w:val="008E6CD6"/>
    <w:rsid w:val="008F2C31"/>
    <w:rsid w:val="009541CE"/>
    <w:rsid w:val="009707AA"/>
    <w:rsid w:val="00992C82"/>
    <w:rsid w:val="009D0511"/>
    <w:rsid w:val="009D2106"/>
    <w:rsid w:val="009E1252"/>
    <w:rsid w:val="009E229A"/>
    <w:rsid w:val="00A22046"/>
    <w:rsid w:val="00B27968"/>
    <w:rsid w:val="00B4619E"/>
    <w:rsid w:val="00B93411"/>
    <w:rsid w:val="00C451B0"/>
    <w:rsid w:val="00C46155"/>
    <w:rsid w:val="00CE0FD4"/>
    <w:rsid w:val="00CE78FD"/>
    <w:rsid w:val="00D0117F"/>
    <w:rsid w:val="00D73F5B"/>
    <w:rsid w:val="00EB4D48"/>
    <w:rsid w:val="00F431B2"/>
    <w:rsid w:val="01336DE6"/>
    <w:rsid w:val="0247427C"/>
    <w:rsid w:val="02A97ABA"/>
    <w:rsid w:val="035F10C2"/>
    <w:rsid w:val="05A9331B"/>
    <w:rsid w:val="06494358"/>
    <w:rsid w:val="06F220A8"/>
    <w:rsid w:val="09952792"/>
    <w:rsid w:val="0A7F3254"/>
    <w:rsid w:val="0C3808BF"/>
    <w:rsid w:val="0D437E96"/>
    <w:rsid w:val="0DD94815"/>
    <w:rsid w:val="0E2260A9"/>
    <w:rsid w:val="0EB20B82"/>
    <w:rsid w:val="0EBA69CD"/>
    <w:rsid w:val="0F1867DF"/>
    <w:rsid w:val="0F5659AE"/>
    <w:rsid w:val="11FE06C8"/>
    <w:rsid w:val="12187F60"/>
    <w:rsid w:val="12324314"/>
    <w:rsid w:val="12524DDB"/>
    <w:rsid w:val="135B0A5F"/>
    <w:rsid w:val="139969AD"/>
    <w:rsid w:val="16091916"/>
    <w:rsid w:val="18BB1297"/>
    <w:rsid w:val="1C446246"/>
    <w:rsid w:val="1C8754B9"/>
    <w:rsid w:val="1CB85BCE"/>
    <w:rsid w:val="1DA319A6"/>
    <w:rsid w:val="1DBE19D9"/>
    <w:rsid w:val="1EDD10CB"/>
    <w:rsid w:val="20700657"/>
    <w:rsid w:val="22E05789"/>
    <w:rsid w:val="234B5656"/>
    <w:rsid w:val="23B35495"/>
    <w:rsid w:val="28006196"/>
    <w:rsid w:val="294F7F72"/>
    <w:rsid w:val="2AF37F14"/>
    <w:rsid w:val="2B183B6E"/>
    <w:rsid w:val="2BA26E1F"/>
    <w:rsid w:val="2E0E0C57"/>
    <w:rsid w:val="2FE3669D"/>
    <w:rsid w:val="32395EE8"/>
    <w:rsid w:val="32DF5A95"/>
    <w:rsid w:val="34C174FC"/>
    <w:rsid w:val="351B40BF"/>
    <w:rsid w:val="36855B95"/>
    <w:rsid w:val="37000FC8"/>
    <w:rsid w:val="39453B94"/>
    <w:rsid w:val="3E7A5544"/>
    <w:rsid w:val="3FCF4D87"/>
    <w:rsid w:val="3FDD25F4"/>
    <w:rsid w:val="40E96329"/>
    <w:rsid w:val="42075654"/>
    <w:rsid w:val="42B704A6"/>
    <w:rsid w:val="431053E0"/>
    <w:rsid w:val="44F674E2"/>
    <w:rsid w:val="45B35C2C"/>
    <w:rsid w:val="45B63472"/>
    <w:rsid w:val="46480D15"/>
    <w:rsid w:val="465A376E"/>
    <w:rsid w:val="47D71214"/>
    <w:rsid w:val="49D13DBF"/>
    <w:rsid w:val="49F5585E"/>
    <w:rsid w:val="4A0235C2"/>
    <w:rsid w:val="4D72584D"/>
    <w:rsid w:val="4D7C7066"/>
    <w:rsid w:val="4DF379D5"/>
    <w:rsid w:val="4F7C6CFA"/>
    <w:rsid w:val="4FB44399"/>
    <w:rsid w:val="510F3758"/>
    <w:rsid w:val="511E2CFC"/>
    <w:rsid w:val="51745CCE"/>
    <w:rsid w:val="51D7154A"/>
    <w:rsid w:val="52CE5FDD"/>
    <w:rsid w:val="53394253"/>
    <w:rsid w:val="548F5029"/>
    <w:rsid w:val="556B173F"/>
    <w:rsid w:val="564A28D5"/>
    <w:rsid w:val="56586CB0"/>
    <w:rsid w:val="584842BF"/>
    <w:rsid w:val="5A1E0FED"/>
    <w:rsid w:val="5AA94605"/>
    <w:rsid w:val="5C9F1DA7"/>
    <w:rsid w:val="5E660661"/>
    <w:rsid w:val="5EAA1B67"/>
    <w:rsid w:val="5F9A3F06"/>
    <w:rsid w:val="600A29FD"/>
    <w:rsid w:val="6029318A"/>
    <w:rsid w:val="608452B7"/>
    <w:rsid w:val="62CD13AF"/>
    <w:rsid w:val="64E53A61"/>
    <w:rsid w:val="65CD053A"/>
    <w:rsid w:val="66C124D9"/>
    <w:rsid w:val="696E00EC"/>
    <w:rsid w:val="69F6353D"/>
    <w:rsid w:val="6B7A3CC4"/>
    <w:rsid w:val="6BA51214"/>
    <w:rsid w:val="6E89532E"/>
    <w:rsid w:val="704B5B94"/>
    <w:rsid w:val="719C252E"/>
    <w:rsid w:val="71CB08A1"/>
    <w:rsid w:val="72F96532"/>
    <w:rsid w:val="737B486C"/>
    <w:rsid w:val="772E4959"/>
    <w:rsid w:val="779370B7"/>
    <w:rsid w:val="79076C78"/>
    <w:rsid w:val="794C470D"/>
    <w:rsid w:val="79AF1FD7"/>
    <w:rsid w:val="7A8176CD"/>
    <w:rsid w:val="7AA079C6"/>
    <w:rsid w:val="7AE775A0"/>
    <w:rsid w:val="7BCD397F"/>
    <w:rsid w:val="7CED09E8"/>
    <w:rsid w:val="7E4E7248"/>
    <w:rsid w:val="7E78294A"/>
    <w:rsid w:val="7EFB155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4">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table" w:styleId="6">
    <w:name w:val="Table Grid"/>
    <w:basedOn w:val="5"/>
    <w:qFormat/>
    <w:uiPriority w:val="59"/>
    <w:rPr>
      <w:rFonts w:ascii="Calibri" w:hAnsi="Calibri"/>
      <w:kern w:val="2"/>
      <w:sz w:val="21"/>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8">
    <w:name w:val="page number"/>
    <w:basedOn w:val="7"/>
    <w:qFormat/>
    <w:uiPriority w:val="0"/>
  </w:style>
  <w:style w:type="character" w:styleId="9">
    <w:name w:val="FollowedHyperlink"/>
    <w:basedOn w:val="7"/>
    <w:qFormat/>
    <w:uiPriority w:val="0"/>
    <w:rPr>
      <w:color w:val="343434"/>
      <w:u w:val="none"/>
    </w:rPr>
  </w:style>
  <w:style w:type="character" w:styleId="10">
    <w:name w:val="Hyperlink"/>
    <w:basedOn w:val="7"/>
    <w:qFormat/>
    <w:uiPriority w:val="0"/>
    <w:rPr>
      <w:color w:val="0000FF"/>
      <w:u w:val="single"/>
    </w:rPr>
  </w:style>
  <w:style w:type="paragraph" w:customStyle="1" w:styleId="11">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paragraph" w:styleId="12">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C02293E-DEA5-4604-A13E-5D8BDD988925}">
  <ds:schemaRefs/>
</ds:datastoreItem>
</file>

<file path=docProps/app.xml><?xml version="1.0" encoding="utf-8"?>
<Properties xmlns="http://schemas.openxmlformats.org/officeDocument/2006/extended-properties" xmlns:vt="http://schemas.openxmlformats.org/officeDocument/2006/docPropsVTypes">
  <Template>Normal.dotm</Template>
  <Company>PC</Company>
  <Pages>1</Pages>
  <Words>1882</Words>
  <Characters>10733</Characters>
  <Lines>89</Lines>
  <Paragraphs>25</Paragraphs>
  <TotalTime>4</TotalTime>
  <ScaleCrop>false</ScaleCrop>
  <LinksUpToDate>false</LinksUpToDate>
  <CharactersWithSpaces>12590</CharactersWithSpaces>
  <Application>WPS Office_11.1.0.10503_F1E327BC-269C-435d-A152-05C5408002CA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2021-08-12T02:30:00Z</dcterms:created>
  <dc:creator>fu-pc</dc:creator>
  <cp:lastModifiedBy>fu-pc</cp:lastModifiedBy>
  <cp:lastPrinted>2021-08-12T08:07:00Z</cp:lastPrinted>
  <dcterms:modified xsi:type="dcterms:W3CDTF">2021-08-21T02:31:49Z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2052-11.1.0.10503</vt:lpwstr>
  </property>
  <property fmtid="{D5CDD505-2E9C-101B-9397-08002B2CF9AE}" pid="3" name="ICV">
    <vt:lpwstr>5EC6F5C956FF4FDCA7AB3418229BD12F</vt:lpwstr>
  </property>
</Properties>
</file>