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00" w:lineRule="exact"/>
        <w:jc w:val="center"/>
        <w:rPr>
          <w:rFonts w:ascii="黑体" w:hAnsi="黑体" w:eastAsia="黑体" w:cs="黑体"/>
          <w:b/>
          <w:bCs/>
          <w:color w:val="auto"/>
          <w:kern w:val="0"/>
          <w:sz w:val="32"/>
          <w:szCs w:val="32"/>
          <w:highlight w:val="none"/>
        </w:rPr>
      </w:pPr>
      <w:bookmarkStart w:id="0" w:name="_Hlk79580567"/>
      <w:r>
        <w:rPr>
          <w:rFonts w:hint="eastAsia" w:ascii="黑体" w:hAnsi="黑体" w:eastAsia="黑体" w:cs="黑体"/>
          <w:b/>
          <w:bCs/>
          <w:color w:val="auto"/>
          <w:sz w:val="32"/>
          <w:szCs w:val="32"/>
          <w:highlight w:val="none"/>
        </w:rPr>
        <w:t>义乌八都房地产开发有限公司100%股权及2.96亿元债权</w:t>
      </w:r>
    </w:p>
    <w:p>
      <w:pPr>
        <w:widowControl/>
        <w:shd w:val="clear" w:color="auto" w:fill="FFFFFF"/>
        <w:spacing w:line="500" w:lineRule="exact"/>
        <w:jc w:val="center"/>
        <w:rPr>
          <w:rFonts w:ascii="黑体" w:hAnsi="黑体" w:eastAsia="黑体" w:cs="宋体"/>
          <w:bCs/>
          <w:color w:val="auto"/>
          <w:kern w:val="0"/>
          <w:sz w:val="32"/>
          <w:szCs w:val="32"/>
          <w:highlight w:val="none"/>
        </w:rPr>
      </w:pPr>
      <w:r>
        <w:rPr>
          <w:rFonts w:hint="eastAsia" w:ascii="黑体" w:hAnsi="黑体" w:eastAsia="黑体" w:cs="宋体"/>
          <w:b/>
          <w:bCs/>
          <w:color w:val="auto"/>
          <w:kern w:val="0"/>
          <w:sz w:val="32"/>
          <w:szCs w:val="32"/>
          <w:highlight w:val="none"/>
        </w:rPr>
        <w:t>公开挂牌转让细则</w:t>
      </w:r>
    </w:p>
    <w:bookmarkEnd w:id="0"/>
    <w:p>
      <w:pPr>
        <w:keepNext w:val="0"/>
        <w:keepLines w:val="0"/>
        <w:pageBreakBefore w:val="0"/>
        <w:widowControl/>
        <w:shd w:val="clear" w:color="auto" w:fill="FFFFFF"/>
        <w:kinsoku/>
        <w:wordWrap/>
        <w:overflowPunct/>
        <w:topLinePunct w:val="0"/>
        <w:autoSpaceDE/>
        <w:autoSpaceDN/>
        <w:bidi w:val="0"/>
        <w:adjustRightInd/>
        <w:snapToGrid/>
        <w:spacing w:beforeLines="30" w:afterLines="30" w:line="480" w:lineRule="exact"/>
        <w:ind w:firstLine="560" w:firstLineChars="200"/>
        <w:jc w:val="left"/>
        <w:textAlignment w:val="auto"/>
        <w:rPr>
          <w:rFonts w:ascii="宋体" w:hAnsi="宋体" w:cs="宋体"/>
          <w:color w:val="auto"/>
          <w:sz w:val="28"/>
          <w:szCs w:val="28"/>
          <w:highlight w:val="none"/>
        </w:rPr>
      </w:pPr>
      <w:r>
        <w:rPr>
          <w:rFonts w:hint="eastAsia" w:ascii="宋体" w:hAnsi="宋体" w:cs="宋体"/>
          <w:color w:val="auto"/>
          <w:sz w:val="28"/>
          <w:szCs w:val="28"/>
          <w:highlight w:val="none"/>
        </w:rPr>
        <w:t>为规范浙江义乌高新区开发建设有限公司所持有的义乌八都房地产开发有限公司100%股权及2.96亿元债权公开挂牌转让行为，根据《企业国有资产交易监督管理办法》（国务院国资委、财政部令第</w:t>
      </w:r>
      <w:r>
        <w:rPr>
          <w:rFonts w:ascii="宋体" w:hAnsi="宋体" w:cs="宋体"/>
          <w:color w:val="auto"/>
          <w:sz w:val="28"/>
          <w:szCs w:val="28"/>
          <w:highlight w:val="none"/>
        </w:rPr>
        <w:t>32号）</w:t>
      </w:r>
      <w:r>
        <w:rPr>
          <w:rFonts w:hint="eastAsia" w:ascii="宋体" w:hAnsi="宋体" w:cs="宋体"/>
          <w:color w:val="auto"/>
          <w:sz w:val="28"/>
          <w:szCs w:val="28"/>
          <w:highlight w:val="none"/>
        </w:rPr>
        <w:t>和《义乌市国有产权交易监督管理办法》等法律法规，特制定本细则。</w:t>
      </w:r>
    </w:p>
    <w:p>
      <w:pPr>
        <w:keepNext w:val="0"/>
        <w:keepLines w:val="0"/>
        <w:pageBreakBefore w:val="0"/>
        <w:widowControl/>
        <w:shd w:val="clear" w:color="auto" w:fill="FFFFFF"/>
        <w:kinsoku/>
        <w:wordWrap/>
        <w:overflowPunct/>
        <w:topLinePunct w:val="0"/>
        <w:autoSpaceDE/>
        <w:autoSpaceDN/>
        <w:bidi w:val="0"/>
        <w:adjustRightInd/>
        <w:snapToGrid/>
        <w:spacing w:before="63" w:beforeLines="20" w:after="63" w:afterLines="20" w:line="500" w:lineRule="exact"/>
        <w:ind w:firstLine="562" w:firstLineChars="200"/>
        <w:jc w:val="left"/>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一、转让原则</w:t>
      </w:r>
    </w:p>
    <w:p>
      <w:pPr>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559" w:leftChars="266"/>
        <w:jc w:val="left"/>
        <w:textAlignment w:val="auto"/>
        <w:rPr>
          <w:rFonts w:ascii="宋体" w:hAnsi="宋体" w:cs="宋体"/>
          <w:b/>
          <w:bCs/>
          <w:color w:val="auto"/>
          <w:sz w:val="28"/>
          <w:szCs w:val="28"/>
          <w:highlight w:val="none"/>
        </w:rPr>
      </w:pPr>
      <w:r>
        <w:rPr>
          <w:rFonts w:hint="eastAsia" w:ascii="宋体" w:hAnsi="宋体" w:cs="宋体"/>
          <w:color w:val="auto"/>
          <w:sz w:val="28"/>
          <w:szCs w:val="28"/>
          <w:highlight w:val="none"/>
        </w:rPr>
        <w:t>本次公开挂牌转让活动遵循公开、公平、公正和诚实信用的原则。</w:t>
      </w:r>
      <w:r>
        <w:rPr>
          <w:rFonts w:ascii="宋体" w:hAnsi="宋体" w:cs="宋体"/>
          <w:color w:val="auto"/>
          <w:sz w:val="28"/>
          <w:szCs w:val="28"/>
          <w:highlight w:val="none"/>
        </w:rPr>
        <w:br w:type="textWrapping"/>
      </w:r>
      <w:r>
        <w:rPr>
          <w:rFonts w:ascii="宋体" w:hAnsi="宋体" w:cs="宋体"/>
          <w:b/>
          <w:bCs/>
          <w:color w:val="auto"/>
          <w:sz w:val="28"/>
          <w:szCs w:val="28"/>
          <w:highlight w:val="none"/>
        </w:rPr>
        <w:t>二、</w:t>
      </w:r>
      <w:r>
        <w:rPr>
          <w:rFonts w:hint="eastAsia" w:ascii="宋体" w:hAnsi="宋体" w:cs="宋体"/>
          <w:b/>
          <w:bCs/>
          <w:color w:val="auto"/>
          <w:sz w:val="28"/>
          <w:szCs w:val="28"/>
          <w:highlight w:val="none"/>
        </w:rPr>
        <w:t>转让方</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olor w:val="auto"/>
          <w:sz w:val="28"/>
          <w:szCs w:val="28"/>
          <w:highlight w:val="none"/>
        </w:rPr>
      </w:pPr>
      <w:r>
        <w:rPr>
          <w:rFonts w:hint="eastAsia" w:ascii="宋体" w:hAnsi="宋体"/>
          <w:color w:val="auto"/>
          <w:sz w:val="28"/>
          <w:szCs w:val="28"/>
          <w:highlight w:val="none"/>
        </w:rPr>
        <w:t>浙江义乌高新区开发建设有限公司</w:t>
      </w:r>
      <w:r>
        <w:rPr>
          <w:rFonts w:hint="eastAsia" w:ascii="宋体" w:hAnsi="宋体" w:cs="宋体"/>
          <w:color w:val="auto"/>
          <w:sz w:val="28"/>
          <w:szCs w:val="28"/>
          <w:highlight w:val="none"/>
        </w:rPr>
        <w:t>（以下简称“转让方”）</w:t>
      </w:r>
      <w:r>
        <w:rPr>
          <w:rFonts w:hint="eastAsia" w:ascii="宋体" w:hAnsi="宋体"/>
          <w:color w:val="auto"/>
          <w:sz w:val="28"/>
          <w:szCs w:val="28"/>
          <w:highlight w:val="none"/>
        </w:rPr>
        <w:t>系义乌市产业投资发展集团有限公司全资子公司，成立于2013</w:t>
      </w:r>
      <w:r>
        <w:rPr>
          <w:rFonts w:ascii="宋体" w:hAnsi="宋体"/>
          <w:color w:val="auto"/>
          <w:sz w:val="28"/>
          <w:szCs w:val="28"/>
          <w:highlight w:val="none"/>
        </w:rPr>
        <w:t>年</w:t>
      </w:r>
      <w:r>
        <w:rPr>
          <w:rFonts w:hint="eastAsia" w:ascii="宋体" w:hAnsi="宋体"/>
          <w:color w:val="auto"/>
          <w:sz w:val="28"/>
          <w:szCs w:val="28"/>
          <w:highlight w:val="none"/>
        </w:rPr>
        <w:t>7</w:t>
      </w:r>
      <w:r>
        <w:rPr>
          <w:rFonts w:ascii="宋体" w:hAnsi="宋体"/>
          <w:color w:val="auto"/>
          <w:sz w:val="28"/>
          <w:szCs w:val="28"/>
          <w:highlight w:val="none"/>
        </w:rPr>
        <w:t>月，注册资</w:t>
      </w:r>
      <w:r>
        <w:rPr>
          <w:rFonts w:hint="eastAsia" w:ascii="宋体" w:hAnsi="宋体"/>
          <w:color w:val="auto"/>
          <w:sz w:val="28"/>
          <w:szCs w:val="28"/>
          <w:highlight w:val="none"/>
        </w:rPr>
        <w:t>本5</w:t>
      </w:r>
      <w:r>
        <w:rPr>
          <w:rFonts w:ascii="宋体" w:hAnsi="宋体"/>
          <w:color w:val="auto"/>
          <w:sz w:val="28"/>
          <w:szCs w:val="28"/>
          <w:highlight w:val="none"/>
        </w:rPr>
        <w:t>亿元人民币。</w:t>
      </w:r>
      <w:r>
        <w:rPr>
          <w:rFonts w:hint="eastAsia" w:ascii="宋体" w:hAnsi="宋体"/>
          <w:color w:val="auto"/>
          <w:sz w:val="28"/>
          <w:szCs w:val="28"/>
          <w:highlight w:val="none"/>
        </w:rPr>
        <w:t>主要经营范围</w:t>
      </w:r>
      <w:r>
        <w:rPr>
          <w:rFonts w:hint="eastAsia" w:ascii="宋体" w:hAnsi="宋体" w:cs="宋体"/>
          <w:color w:val="auto"/>
          <w:sz w:val="28"/>
          <w:szCs w:val="28"/>
          <w:highlight w:val="none"/>
        </w:rPr>
        <w:t>：</w:t>
      </w:r>
      <w:r>
        <w:rPr>
          <w:rFonts w:hint="eastAsia" w:ascii="宋体" w:hAnsi="宋体" w:cs="宋体"/>
          <w:color w:val="auto"/>
          <w:kern w:val="0"/>
          <w:sz w:val="28"/>
          <w:szCs w:val="28"/>
          <w:highlight w:val="none"/>
        </w:rPr>
        <w:t>城市基础设施投资、建设与管理；城市绿化、园林项目建设；各类政府（社会）性投资项目代建（管理）；房地产开发与销售；国有资产经营管理、物业服务与咨询；浙江义乌工业园区范围的土地一级开发；以投资、控股、参股、转让等形式从事资本经营业务。</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三、转让标的</w:t>
      </w:r>
    </w:p>
    <w:p>
      <w:pPr>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jc w:val="left"/>
        <w:textAlignment w:val="auto"/>
        <w:rPr>
          <w:rFonts w:ascii="宋体" w:hAnsi="宋体" w:cs="宋体"/>
          <w:b/>
          <w:bCs/>
          <w:color w:val="auto"/>
          <w:sz w:val="28"/>
          <w:szCs w:val="28"/>
          <w:highlight w:val="none"/>
        </w:rPr>
      </w:pPr>
      <w:r>
        <w:rPr>
          <w:rFonts w:hint="eastAsia" w:ascii="宋体" w:hAnsi="宋体" w:cs="宋体"/>
          <w:color w:val="auto"/>
          <w:sz w:val="28"/>
          <w:szCs w:val="28"/>
          <w:highlight w:val="none"/>
        </w:rPr>
        <w:t>本次公开挂牌转让标的为：转让方持有的义乌八都房地产开发有限公司100%股权、转让方对标的公司的2.96亿元债权。</w:t>
      </w:r>
    </w:p>
    <w:p>
      <w:pPr>
        <w:keepNext w:val="0"/>
        <w:keepLines w:val="0"/>
        <w:pageBreakBefore w:val="0"/>
        <w:widowControl/>
        <w:shd w:val="clear" w:color="auto" w:fill="FFFFFF"/>
        <w:kinsoku/>
        <w:wordWrap/>
        <w:overflowPunct/>
        <w:topLinePunct w:val="0"/>
        <w:autoSpaceDE/>
        <w:autoSpaceDN/>
        <w:bidi w:val="0"/>
        <w:adjustRightInd/>
        <w:snapToGrid/>
        <w:spacing w:before="63" w:beforeLines="20" w:after="63" w:afterLines="20" w:line="500" w:lineRule="exact"/>
        <w:ind w:firstLine="562" w:firstLineChars="200"/>
        <w:jc w:val="left"/>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四</w:t>
      </w:r>
      <w:r>
        <w:rPr>
          <w:rFonts w:ascii="宋体" w:hAnsi="宋体" w:cs="宋体"/>
          <w:b/>
          <w:bCs/>
          <w:color w:val="auto"/>
          <w:sz w:val="28"/>
          <w:szCs w:val="28"/>
          <w:highlight w:val="none"/>
        </w:rPr>
        <w:t>、</w:t>
      </w:r>
      <w:r>
        <w:rPr>
          <w:rFonts w:hint="eastAsia" w:ascii="宋体" w:hAnsi="宋体" w:cs="宋体"/>
          <w:b/>
          <w:bCs/>
          <w:color w:val="auto"/>
          <w:sz w:val="28"/>
          <w:szCs w:val="28"/>
          <w:highlight w:val="none"/>
        </w:rPr>
        <w:t>标的基本情况</w:t>
      </w:r>
    </w:p>
    <w:p>
      <w:pPr>
        <w:autoSpaceDE w:val="0"/>
        <w:autoSpaceDN w:val="0"/>
        <w:adjustRightInd w:val="0"/>
        <w:spacing w:line="500" w:lineRule="exact"/>
        <w:ind w:firstLine="562" w:firstLineChars="200"/>
        <w:jc w:val="left"/>
        <w:rPr>
          <w:rFonts w:ascii="宋体" w:hAnsi="宋体"/>
          <w:b/>
          <w:bCs/>
          <w:color w:val="auto"/>
          <w:kern w:val="0"/>
          <w:sz w:val="28"/>
          <w:szCs w:val="28"/>
          <w:highlight w:val="none"/>
        </w:rPr>
      </w:pPr>
      <w:r>
        <w:rPr>
          <w:rFonts w:hint="eastAsia" w:ascii="宋体" w:hAnsi="宋体"/>
          <w:b/>
          <w:bCs/>
          <w:color w:val="auto"/>
          <w:kern w:val="0"/>
          <w:sz w:val="28"/>
          <w:szCs w:val="28"/>
          <w:highlight w:val="none"/>
        </w:rPr>
        <w:t>（一）</w:t>
      </w:r>
      <w:r>
        <w:rPr>
          <w:rFonts w:hint="eastAsia" w:ascii="宋体" w:hAnsi="宋体" w:cs="宋体"/>
          <w:b/>
          <w:bCs/>
          <w:color w:val="auto"/>
          <w:sz w:val="28"/>
          <w:szCs w:val="28"/>
          <w:highlight w:val="none"/>
        </w:rPr>
        <w:t>标的公司基本情况</w:t>
      </w:r>
    </w:p>
    <w:p>
      <w:pPr>
        <w:keepNext w:val="0"/>
        <w:keepLines w:val="0"/>
        <w:pageBreakBefore w:val="0"/>
        <w:kinsoku/>
        <w:wordWrap/>
        <w:overflowPunct/>
        <w:topLinePunct w:val="0"/>
        <w:autoSpaceDE w:val="0"/>
        <w:autoSpaceDN w:val="0"/>
        <w:bidi w:val="0"/>
        <w:adjustRightInd w:val="0"/>
        <w:snapToGrid/>
        <w:spacing w:line="480" w:lineRule="exact"/>
        <w:ind w:firstLine="560" w:firstLineChars="200"/>
        <w:jc w:val="left"/>
        <w:textAlignment w:val="auto"/>
        <w:rPr>
          <w:rFonts w:ascii="宋体" w:hAnsi="宋体"/>
          <w:color w:val="auto"/>
          <w:kern w:val="0"/>
          <w:sz w:val="28"/>
          <w:szCs w:val="28"/>
          <w:highlight w:val="none"/>
        </w:rPr>
      </w:pPr>
      <w:r>
        <w:rPr>
          <w:rFonts w:ascii="宋体" w:hAnsi="宋体"/>
          <w:color w:val="auto"/>
          <w:kern w:val="0"/>
          <w:sz w:val="28"/>
          <w:szCs w:val="28"/>
          <w:highlight w:val="none"/>
        </w:rPr>
        <w:t>1</w:t>
      </w:r>
      <w:r>
        <w:rPr>
          <w:rFonts w:hint="eastAsia" w:ascii="宋体" w:hAnsi="宋体"/>
          <w:color w:val="auto"/>
          <w:kern w:val="0"/>
          <w:sz w:val="28"/>
          <w:szCs w:val="28"/>
          <w:highlight w:val="none"/>
        </w:rPr>
        <w:t>.</w:t>
      </w:r>
      <w:r>
        <w:rPr>
          <w:rFonts w:ascii="宋体" w:hAnsi="宋体"/>
          <w:color w:val="auto"/>
          <w:kern w:val="0"/>
          <w:sz w:val="28"/>
          <w:szCs w:val="28"/>
          <w:highlight w:val="none"/>
        </w:rPr>
        <w:t>公司概况：</w:t>
      </w:r>
    </w:p>
    <w:p>
      <w:pPr>
        <w:keepNext w:val="0"/>
        <w:keepLines w:val="0"/>
        <w:pageBreakBefore w:val="0"/>
        <w:kinsoku/>
        <w:wordWrap/>
        <w:overflowPunct/>
        <w:topLinePunct w:val="0"/>
        <w:autoSpaceDE w:val="0"/>
        <w:autoSpaceDN w:val="0"/>
        <w:bidi w:val="0"/>
        <w:adjustRightInd w:val="0"/>
        <w:snapToGrid/>
        <w:spacing w:line="480" w:lineRule="exact"/>
        <w:ind w:firstLine="560" w:firstLineChars="200"/>
        <w:jc w:val="left"/>
        <w:textAlignment w:val="auto"/>
        <w:rPr>
          <w:rFonts w:ascii="宋体" w:hAnsi="宋体" w:cs="宋体"/>
          <w:color w:val="auto"/>
          <w:sz w:val="28"/>
          <w:szCs w:val="28"/>
          <w:highlight w:val="none"/>
        </w:rPr>
      </w:pPr>
      <w:r>
        <w:rPr>
          <w:rFonts w:hint="eastAsia" w:ascii="宋体" w:hAnsi="宋体"/>
          <w:color w:val="auto"/>
          <w:kern w:val="0"/>
          <w:sz w:val="28"/>
          <w:szCs w:val="28"/>
          <w:highlight w:val="none"/>
        </w:rPr>
        <w:t>公司名称：</w:t>
      </w:r>
      <w:r>
        <w:rPr>
          <w:rFonts w:hint="eastAsia" w:ascii="宋体" w:hAnsi="宋体" w:cs="宋体"/>
          <w:color w:val="auto"/>
          <w:sz w:val="28"/>
          <w:szCs w:val="28"/>
          <w:highlight w:val="none"/>
        </w:rPr>
        <w:t>义乌八都房地产开发有限公司</w:t>
      </w:r>
    </w:p>
    <w:p>
      <w:pPr>
        <w:keepNext w:val="0"/>
        <w:keepLines w:val="0"/>
        <w:pageBreakBefore w:val="0"/>
        <w:kinsoku/>
        <w:wordWrap/>
        <w:overflowPunct/>
        <w:topLinePunct w:val="0"/>
        <w:autoSpaceDE w:val="0"/>
        <w:autoSpaceDN w:val="0"/>
        <w:bidi w:val="0"/>
        <w:adjustRightInd w:val="0"/>
        <w:snapToGrid/>
        <w:spacing w:line="480" w:lineRule="exact"/>
        <w:ind w:firstLine="560" w:firstLineChars="200"/>
        <w:jc w:val="left"/>
        <w:textAlignment w:val="auto"/>
        <w:rPr>
          <w:rFonts w:ascii="宋体" w:hAnsi="宋体"/>
          <w:color w:val="auto"/>
          <w:kern w:val="0"/>
          <w:sz w:val="28"/>
          <w:szCs w:val="28"/>
          <w:highlight w:val="none"/>
        </w:rPr>
      </w:pPr>
      <w:r>
        <w:rPr>
          <w:rFonts w:hint="eastAsia" w:ascii="宋体" w:hAnsi="宋体"/>
          <w:color w:val="auto"/>
          <w:kern w:val="0"/>
          <w:sz w:val="28"/>
          <w:szCs w:val="28"/>
          <w:highlight w:val="none"/>
        </w:rPr>
        <w:t>统一社会信用代码：</w:t>
      </w:r>
      <w:r>
        <w:rPr>
          <w:rFonts w:hint="eastAsia" w:ascii="宋体" w:hAnsi="宋体"/>
          <w:color w:val="auto"/>
          <w:sz w:val="28"/>
          <w:szCs w:val="28"/>
          <w:highlight w:val="none"/>
        </w:rPr>
        <w:t>91330782MA28D56M0M</w:t>
      </w:r>
    </w:p>
    <w:p>
      <w:pPr>
        <w:keepNext w:val="0"/>
        <w:keepLines w:val="0"/>
        <w:pageBreakBefore w:val="0"/>
        <w:kinsoku/>
        <w:wordWrap/>
        <w:overflowPunct/>
        <w:topLinePunct w:val="0"/>
        <w:bidi w:val="0"/>
        <w:snapToGrid/>
        <w:spacing w:line="480" w:lineRule="exact"/>
        <w:ind w:firstLine="560" w:firstLineChars="200"/>
        <w:textAlignment w:val="auto"/>
        <w:rPr>
          <w:rFonts w:ascii="宋体" w:hAnsi="宋体"/>
          <w:color w:val="auto"/>
          <w:kern w:val="0"/>
          <w:sz w:val="28"/>
          <w:szCs w:val="28"/>
          <w:highlight w:val="none"/>
        </w:rPr>
      </w:pPr>
      <w:r>
        <w:rPr>
          <w:rFonts w:hint="eastAsia" w:ascii="宋体" w:hAnsi="宋体"/>
          <w:color w:val="auto"/>
          <w:kern w:val="0"/>
          <w:sz w:val="28"/>
          <w:szCs w:val="28"/>
          <w:highlight w:val="none"/>
        </w:rPr>
        <w:t>公司类型：有限责任公司（非自然人投资或控股的法人独资）</w:t>
      </w:r>
    </w:p>
    <w:p>
      <w:pPr>
        <w:keepNext w:val="0"/>
        <w:keepLines w:val="0"/>
        <w:pageBreakBefore w:val="0"/>
        <w:kinsoku/>
        <w:wordWrap/>
        <w:overflowPunct/>
        <w:topLinePunct w:val="0"/>
        <w:bidi w:val="0"/>
        <w:snapToGrid/>
        <w:spacing w:line="480" w:lineRule="exact"/>
        <w:ind w:firstLine="560" w:firstLineChars="200"/>
        <w:textAlignment w:val="auto"/>
        <w:rPr>
          <w:rFonts w:ascii="宋体" w:hAnsi="宋体"/>
          <w:color w:val="auto"/>
          <w:kern w:val="0"/>
          <w:sz w:val="28"/>
          <w:szCs w:val="28"/>
          <w:highlight w:val="none"/>
        </w:rPr>
      </w:pPr>
      <w:r>
        <w:rPr>
          <w:rFonts w:hint="eastAsia" w:ascii="宋体" w:hAnsi="宋体"/>
          <w:color w:val="auto"/>
          <w:kern w:val="0"/>
          <w:sz w:val="28"/>
          <w:szCs w:val="28"/>
          <w:highlight w:val="none"/>
        </w:rPr>
        <w:t>经济类型：国有独资企业</w:t>
      </w:r>
    </w:p>
    <w:p>
      <w:pPr>
        <w:keepNext w:val="0"/>
        <w:keepLines w:val="0"/>
        <w:pageBreakBefore w:val="0"/>
        <w:kinsoku/>
        <w:wordWrap/>
        <w:overflowPunct/>
        <w:topLinePunct w:val="0"/>
        <w:autoSpaceDE w:val="0"/>
        <w:autoSpaceDN w:val="0"/>
        <w:bidi w:val="0"/>
        <w:adjustRightInd w:val="0"/>
        <w:snapToGrid/>
        <w:spacing w:line="480" w:lineRule="exact"/>
        <w:ind w:firstLine="560" w:firstLineChars="200"/>
        <w:jc w:val="left"/>
        <w:textAlignment w:val="auto"/>
        <w:rPr>
          <w:rFonts w:ascii="宋体" w:hAnsi="宋体"/>
          <w:color w:val="auto"/>
          <w:kern w:val="0"/>
          <w:sz w:val="28"/>
          <w:szCs w:val="28"/>
          <w:highlight w:val="none"/>
        </w:rPr>
      </w:pPr>
      <w:r>
        <w:rPr>
          <w:rFonts w:hint="eastAsia" w:ascii="宋体" w:hAnsi="宋体"/>
          <w:color w:val="auto"/>
          <w:kern w:val="0"/>
          <w:sz w:val="28"/>
          <w:szCs w:val="28"/>
          <w:highlight w:val="none"/>
        </w:rPr>
        <w:t>注册地：</w:t>
      </w:r>
      <w:r>
        <w:rPr>
          <w:rFonts w:hint="eastAsia" w:ascii="宋体" w:hAnsi="宋体"/>
          <w:color w:val="auto"/>
          <w:sz w:val="28"/>
          <w:szCs w:val="28"/>
          <w:highlight w:val="none"/>
        </w:rPr>
        <w:t>浙江省义乌市苏溪镇苏福路126号</w:t>
      </w:r>
    </w:p>
    <w:p>
      <w:pPr>
        <w:keepNext w:val="0"/>
        <w:keepLines w:val="0"/>
        <w:pageBreakBefore w:val="0"/>
        <w:kinsoku/>
        <w:wordWrap/>
        <w:overflowPunct/>
        <w:topLinePunct w:val="0"/>
        <w:autoSpaceDE w:val="0"/>
        <w:autoSpaceDN w:val="0"/>
        <w:bidi w:val="0"/>
        <w:adjustRightInd w:val="0"/>
        <w:snapToGrid/>
        <w:spacing w:line="480" w:lineRule="exact"/>
        <w:ind w:firstLine="560" w:firstLineChars="200"/>
        <w:jc w:val="left"/>
        <w:textAlignment w:val="auto"/>
        <w:rPr>
          <w:rFonts w:ascii="宋体" w:hAnsi="宋体"/>
          <w:color w:val="auto"/>
          <w:kern w:val="0"/>
          <w:sz w:val="28"/>
          <w:szCs w:val="28"/>
          <w:highlight w:val="none"/>
        </w:rPr>
      </w:pPr>
      <w:r>
        <w:rPr>
          <w:rFonts w:hint="eastAsia" w:ascii="宋体" w:hAnsi="宋体"/>
          <w:color w:val="auto"/>
          <w:kern w:val="0"/>
          <w:sz w:val="28"/>
          <w:szCs w:val="28"/>
          <w:highlight w:val="none"/>
        </w:rPr>
        <w:t>法定代表人：</w:t>
      </w:r>
      <w:r>
        <w:rPr>
          <w:rFonts w:hint="eastAsia" w:ascii="宋体" w:hAnsi="宋体"/>
          <w:color w:val="auto"/>
          <w:sz w:val="28"/>
          <w:szCs w:val="28"/>
          <w:highlight w:val="none"/>
        </w:rPr>
        <w:t>傅强</w:t>
      </w:r>
    </w:p>
    <w:p>
      <w:pPr>
        <w:keepNext w:val="0"/>
        <w:keepLines w:val="0"/>
        <w:pageBreakBefore w:val="0"/>
        <w:kinsoku/>
        <w:wordWrap/>
        <w:overflowPunct/>
        <w:topLinePunct w:val="0"/>
        <w:autoSpaceDE w:val="0"/>
        <w:autoSpaceDN w:val="0"/>
        <w:bidi w:val="0"/>
        <w:adjustRightInd w:val="0"/>
        <w:snapToGrid/>
        <w:spacing w:line="480" w:lineRule="exact"/>
        <w:ind w:firstLine="560" w:firstLineChars="200"/>
        <w:jc w:val="left"/>
        <w:textAlignment w:val="auto"/>
        <w:rPr>
          <w:rFonts w:ascii="宋体" w:hAnsi="宋体"/>
          <w:color w:val="auto"/>
          <w:kern w:val="0"/>
          <w:sz w:val="28"/>
          <w:szCs w:val="28"/>
          <w:highlight w:val="none"/>
        </w:rPr>
      </w:pPr>
      <w:r>
        <w:rPr>
          <w:rFonts w:hint="eastAsia" w:ascii="宋体" w:hAnsi="宋体"/>
          <w:color w:val="auto"/>
          <w:kern w:val="0"/>
          <w:sz w:val="28"/>
          <w:szCs w:val="28"/>
          <w:highlight w:val="none"/>
        </w:rPr>
        <w:t>注册资本：人民币500万元</w:t>
      </w:r>
    </w:p>
    <w:p>
      <w:pPr>
        <w:keepNext w:val="0"/>
        <w:keepLines w:val="0"/>
        <w:pageBreakBefore w:val="0"/>
        <w:kinsoku/>
        <w:wordWrap/>
        <w:overflowPunct/>
        <w:topLinePunct w:val="0"/>
        <w:autoSpaceDE w:val="0"/>
        <w:autoSpaceDN w:val="0"/>
        <w:bidi w:val="0"/>
        <w:adjustRightInd w:val="0"/>
        <w:snapToGrid/>
        <w:spacing w:line="480" w:lineRule="exact"/>
        <w:ind w:firstLine="560" w:firstLineChars="200"/>
        <w:jc w:val="left"/>
        <w:textAlignment w:val="auto"/>
        <w:rPr>
          <w:rFonts w:ascii="宋体" w:hAnsi="宋体"/>
          <w:color w:val="auto"/>
          <w:kern w:val="0"/>
          <w:sz w:val="28"/>
          <w:szCs w:val="28"/>
          <w:highlight w:val="none"/>
        </w:rPr>
      </w:pPr>
      <w:r>
        <w:rPr>
          <w:rFonts w:hint="eastAsia" w:ascii="宋体" w:hAnsi="宋体"/>
          <w:color w:val="auto"/>
          <w:kern w:val="0"/>
          <w:sz w:val="28"/>
          <w:szCs w:val="28"/>
          <w:highlight w:val="none"/>
        </w:rPr>
        <w:t>成立日期：2015年11月27日</w:t>
      </w:r>
    </w:p>
    <w:p>
      <w:pPr>
        <w:keepNext w:val="0"/>
        <w:keepLines w:val="0"/>
        <w:pageBreakBefore w:val="0"/>
        <w:kinsoku/>
        <w:wordWrap/>
        <w:overflowPunct/>
        <w:topLinePunct w:val="0"/>
        <w:autoSpaceDE w:val="0"/>
        <w:autoSpaceDN w:val="0"/>
        <w:bidi w:val="0"/>
        <w:adjustRightInd w:val="0"/>
        <w:snapToGrid/>
        <w:spacing w:line="480" w:lineRule="exact"/>
        <w:ind w:firstLine="560" w:firstLineChars="200"/>
        <w:jc w:val="left"/>
        <w:textAlignment w:val="auto"/>
        <w:rPr>
          <w:rFonts w:ascii="宋体" w:hAnsi="宋体"/>
          <w:color w:val="auto"/>
          <w:kern w:val="0"/>
          <w:sz w:val="28"/>
          <w:szCs w:val="28"/>
          <w:highlight w:val="none"/>
        </w:rPr>
      </w:pPr>
      <w:r>
        <w:rPr>
          <w:rFonts w:hint="eastAsia" w:ascii="宋体" w:hAnsi="宋体"/>
          <w:color w:val="auto"/>
          <w:kern w:val="0"/>
          <w:sz w:val="28"/>
          <w:szCs w:val="28"/>
          <w:highlight w:val="none"/>
        </w:rPr>
        <w:t>经营范围：</w:t>
      </w:r>
      <w:r>
        <w:rPr>
          <w:rFonts w:hint="eastAsia" w:ascii="宋体" w:hAnsi="宋体"/>
          <w:color w:val="auto"/>
          <w:sz w:val="28"/>
          <w:szCs w:val="28"/>
          <w:highlight w:val="none"/>
        </w:rPr>
        <w:t>城市基础设施投资、建设与管理；城市绿化、园林项目建设；各类政府(社会)性投资项目代建(管理)；房地产开发与销售；国有资产经营管理、物业服务与咨询。(上述经营范围须审批资质证书的与有效资质证书同时使用)(依法须经批准的项目，经相关部门批准后方可开展经营活动)</w:t>
      </w:r>
    </w:p>
    <w:p>
      <w:pPr>
        <w:keepNext w:val="0"/>
        <w:keepLines w:val="0"/>
        <w:pageBreakBefore w:val="0"/>
        <w:widowControl/>
        <w:shd w:val="clear" w:color="auto" w:fill="FFFFFF"/>
        <w:kinsoku/>
        <w:wordWrap/>
        <w:overflowPunct/>
        <w:topLinePunct w:val="0"/>
        <w:bidi w:val="0"/>
        <w:snapToGrid/>
        <w:spacing w:line="480" w:lineRule="exact"/>
        <w:ind w:firstLine="560" w:firstLineChars="200"/>
        <w:jc w:val="left"/>
        <w:textAlignment w:val="auto"/>
        <w:rPr>
          <w:rFonts w:ascii="宋体" w:hAnsi="宋体"/>
          <w:color w:val="auto"/>
          <w:kern w:val="0"/>
          <w:sz w:val="28"/>
          <w:szCs w:val="28"/>
          <w:highlight w:val="none"/>
        </w:rPr>
      </w:pPr>
      <w:r>
        <w:rPr>
          <w:rFonts w:hint="eastAsia" w:ascii="宋体" w:hAnsi="宋体" w:cs="宋体"/>
          <w:color w:val="auto"/>
          <w:sz w:val="28"/>
          <w:szCs w:val="28"/>
          <w:highlight w:val="none"/>
        </w:rPr>
        <w:t>资质情况：房地产开发肆级，证书编号：浙房义综字162号，有效期至2022年09月02日。</w:t>
      </w:r>
    </w:p>
    <w:p>
      <w:pPr>
        <w:keepNext w:val="0"/>
        <w:keepLines w:val="0"/>
        <w:pageBreakBefore w:val="0"/>
        <w:kinsoku/>
        <w:wordWrap/>
        <w:overflowPunct/>
        <w:topLinePunct w:val="0"/>
        <w:autoSpaceDE w:val="0"/>
        <w:autoSpaceDN w:val="0"/>
        <w:bidi w:val="0"/>
        <w:adjustRightInd w:val="0"/>
        <w:snapToGrid/>
        <w:spacing w:line="480" w:lineRule="exact"/>
        <w:ind w:firstLine="560" w:firstLineChars="200"/>
        <w:jc w:val="left"/>
        <w:textAlignment w:val="auto"/>
        <w:rPr>
          <w:rFonts w:ascii="宋体" w:hAnsi="宋体"/>
          <w:color w:val="auto"/>
          <w:kern w:val="0"/>
          <w:sz w:val="28"/>
          <w:szCs w:val="28"/>
          <w:highlight w:val="none"/>
        </w:rPr>
      </w:pPr>
      <w:r>
        <w:rPr>
          <w:rFonts w:hint="eastAsia" w:ascii="宋体" w:hAnsi="宋体"/>
          <w:color w:val="auto"/>
          <w:kern w:val="0"/>
          <w:sz w:val="28"/>
          <w:szCs w:val="28"/>
          <w:highlight w:val="none"/>
        </w:rPr>
        <w:t>职工人数：1</w:t>
      </w:r>
      <w:r>
        <w:rPr>
          <w:rFonts w:ascii="宋体" w:hAnsi="宋体"/>
          <w:color w:val="auto"/>
          <w:kern w:val="0"/>
          <w:sz w:val="28"/>
          <w:szCs w:val="28"/>
          <w:highlight w:val="none"/>
        </w:rPr>
        <w:t>人</w:t>
      </w:r>
      <w:r>
        <w:rPr>
          <w:rFonts w:hint="eastAsia" w:ascii="宋体" w:hAnsi="宋体"/>
          <w:color w:val="auto"/>
          <w:kern w:val="0"/>
          <w:sz w:val="28"/>
          <w:szCs w:val="28"/>
          <w:highlight w:val="none"/>
        </w:rPr>
        <w:t>（兼职）</w:t>
      </w:r>
    </w:p>
    <w:p>
      <w:pPr>
        <w:autoSpaceDE w:val="0"/>
        <w:autoSpaceDN w:val="0"/>
        <w:adjustRightInd w:val="0"/>
        <w:spacing w:line="500" w:lineRule="exact"/>
        <w:ind w:firstLine="560" w:firstLineChars="200"/>
        <w:jc w:val="left"/>
        <w:rPr>
          <w:rFonts w:ascii="宋体" w:hAnsi="宋体"/>
          <w:color w:val="auto"/>
          <w:kern w:val="0"/>
          <w:sz w:val="28"/>
          <w:szCs w:val="28"/>
          <w:highlight w:val="none"/>
        </w:rPr>
      </w:pPr>
      <w:r>
        <w:rPr>
          <w:rFonts w:hint="eastAsia" w:ascii="宋体" w:hAnsi="宋体"/>
          <w:color w:val="auto"/>
          <w:kern w:val="0"/>
          <w:sz w:val="28"/>
          <w:szCs w:val="28"/>
          <w:highlight w:val="none"/>
        </w:rPr>
        <w:t>2.</w:t>
      </w:r>
      <w:r>
        <w:rPr>
          <w:rFonts w:ascii="宋体" w:hAnsi="宋体"/>
          <w:color w:val="auto"/>
          <w:kern w:val="0"/>
          <w:sz w:val="28"/>
          <w:szCs w:val="28"/>
          <w:highlight w:val="none"/>
        </w:rPr>
        <w:t>股东结构：</w:t>
      </w:r>
    </w:p>
    <w:tbl>
      <w:tblPr>
        <w:tblStyle w:val="5"/>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5"/>
        <w:gridCol w:w="5253"/>
        <w:gridCol w:w="20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trPr>
        <w:tc>
          <w:tcPr>
            <w:tcW w:w="555" w:type="dxa"/>
          </w:tcPr>
          <w:p>
            <w:pPr>
              <w:autoSpaceDE w:val="0"/>
              <w:autoSpaceDN w:val="0"/>
              <w:adjustRightInd w:val="0"/>
              <w:spacing w:line="360" w:lineRule="exact"/>
              <w:jc w:val="center"/>
              <w:rPr>
                <w:rFonts w:ascii="宋体" w:hAnsi="宋体"/>
                <w:color w:val="auto"/>
                <w:kern w:val="0"/>
                <w:sz w:val="28"/>
                <w:szCs w:val="28"/>
                <w:highlight w:val="none"/>
              </w:rPr>
            </w:pPr>
          </w:p>
        </w:tc>
        <w:tc>
          <w:tcPr>
            <w:tcW w:w="5253" w:type="dxa"/>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股东</w:t>
            </w:r>
          </w:p>
        </w:tc>
        <w:tc>
          <w:tcPr>
            <w:tcW w:w="2039" w:type="dxa"/>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占比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1" w:hRule="atLeast"/>
        </w:trPr>
        <w:tc>
          <w:tcPr>
            <w:tcW w:w="555" w:type="dxa"/>
          </w:tcPr>
          <w:p>
            <w:pPr>
              <w:autoSpaceDE w:val="0"/>
              <w:autoSpaceDN w:val="0"/>
              <w:adjustRightInd w:val="0"/>
              <w:spacing w:line="360" w:lineRule="exact"/>
              <w:jc w:val="center"/>
              <w:rPr>
                <w:rFonts w:ascii="宋体" w:hAnsi="宋体"/>
                <w:color w:val="auto"/>
                <w:kern w:val="0"/>
                <w:sz w:val="28"/>
                <w:szCs w:val="28"/>
                <w:highlight w:val="none"/>
              </w:rPr>
            </w:pPr>
            <w:r>
              <w:rPr>
                <w:rFonts w:ascii="宋体" w:hAnsi="宋体"/>
                <w:color w:val="auto"/>
                <w:kern w:val="0"/>
                <w:sz w:val="28"/>
                <w:szCs w:val="28"/>
                <w:highlight w:val="none"/>
              </w:rPr>
              <w:t>1</w:t>
            </w:r>
          </w:p>
        </w:tc>
        <w:tc>
          <w:tcPr>
            <w:tcW w:w="5253" w:type="dxa"/>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sz w:val="28"/>
                <w:szCs w:val="28"/>
                <w:highlight w:val="none"/>
              </w:rPr>
              <w:t>浙江义乌高新区开发建设有限公司</w:t>
            </w:r>
          </w:p>
        </w:tc>
        <w:tc>
          <w:tcPr>
            <w:tcW w:w="2039" w:type="dxa"/>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100</w:t>
            </w:r>
            <w:r>
              <w:rPr>
                <w:rFonts w:ascii="宋体" w:hAnsi="宋体"/>
                <w:color w:val="auto"/>
                <w:kern w:val="0"/>
                <w:sz w:val="28"/>
                <w:szCs w:val="28"/>
                <w:highlight w:val="none"/>
              </w:rPr>
              <w:t>%</w:t>
            </w:r>
          </w:p>
        </w:tc>
      </w:tr>
    </w:tbl>
    <w:p>
      <w:pPr>
        <w:spacing w:line="500" w:lineRule="exact"/>
        <w:ind w:firstLine="560" w:firstLineChars="200"/>
        <w:rPr>
          <w:rFonts w:ascii="宋体" w:hAnsi="宋体"/>
          <w:color w:val="auto"/>
          <w:kern w:val="0"/>
          <w:sz w:val="28"/>
          <w:szCs w:val="28"/>
          <w:highlight w:val="none"/>
        </w:rPr>
      </w:pPr>
      <w:r>
        <w:rPr>
          <w:rFonts w:hint="eastAsia" w:ascii="宋体" w:hAnsi="宋体"/>
          <w:color w:val="auto"/>
          <w:kern w:val="0"/>
          <w:sz w:val="28"/>
          <w:szCs w:val="28"/>
          <w:highlight w:val="none"/>
        </w:rPr>
        <w:t>3.</w:t>
      </w:r>
      <w:r>
        <w:rPr>
          <w:rFonts w:ascii="宋体" w:hAnsi="宋体"/>
          <w:color w:val="auto"/>
          <w:kern w:val="0"/>
          <w:sz w:val="28"/>
          <w:szCs w:val="28"/>
          <w:highlight w:val="none"/>
        </w:rPr>
        <w:t>主要财务指标：（单位：万元）</w:t>
      </w:r>
    </w:p>
    <w:tbl>
      <w:tblPr>
        <w:tblStyle w:val="6"/>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7"/>
        <w:gridCol w:w="1336"/>
        <w:gridCol w:w="1773"/>
        <w:gridCol w:w="1991"/>
        <w:gridCol w:w="18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科目</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2020年</w:t>
            </w:r>
            <w:r>
              <w:rPr>
                <w:rFonts w:ascii="宋体" w:hAnsi="宋体"/>
                <w:color w:val="auto"/>
                <w:kern w:val="0"/>
                <w:sz w:val="28"/>
                <w:szCs w:val="28"/>
                <w:highlight w:val="none"/>
              </w:rPr>
              <w:t>12</w:t>
            </w:r>
            <w:r>
              <w:rPr>
                <w:rFonts w:hint="eastAsia" w:ascii="宋体" w:hAnsi="宋体"/>
                <w:color w:val="auto"/>
                <w:kern w:val="0"/>
                <w:sz w:val="28"/>
                <w:szCs w:val="28"/>
                <w:highlight w:val="none"/>
              </w:rPr>
              <w:t>月</w:t>
            </w:r>
            <w:r>
              <w:rPr>
                <w:rFonts w:ascii="宋体" w:hAnsi="宋体"/>
                <w:color w:val="auto"/>
                <w:kern w:val="0"/>
                <w:sz w:val="28"/>
                <w:szCs w:val="28"/>
                <w:highlight w:val="none"/>
              </w:rPr>
              <w:t>31</w:t>
            </w:r>
            <w:r>
              <w:rPr>
                <w:rFonts w:hint="eastAsia" w:ascii="宋体" w:hAnsi="宋体"/>
                <w:color w:val="auto"/>
                <w:kern w:val="0"/>
                <w:sz w:val="28"/>
                <w:szCs w:val="28"/>
                <w:highlight w:val="none"/>
              </w:rPr>
              <w:t>日</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2021年5月31日</w:t>
            </w:r>
            <w:r>
              <w:rPr>
                <w:rFonts w:hint="eastAsia" w:ascii="宋体" w:hAnsi="宋体"/>
                <w:color w:val="auto"/>
                <w:kern w:val="0"/>
                <w:szCs w:val="21"/>
                <w:highlight w:val="none"/>
              </w:rPr>
              <w:t>（预公告时公布数据）</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2021年5月31日</w:t>
            </w:r>
            <w:r>
              <w:rPr>
                <w:rFonts w:hint="eastAsia" w:ascii="宋体" w:hAnsi="宋体"/>
                <w:color w:val="auto"/>
                <w:kern w:val="0"/>
                <w:szCs w:val="21"/>
                <w:highlight w:val="none"/>
              </w:rPr>
              <w:t>（调整后数据）</w:t>
            </w:r>
          </w:p>
        </w:tc>
        <w:tc>
          <w:tcPr>
            <w:tcW w:w="1839" w:type="dxa"/>
            <w:vAlign w:val="center"/>
          </w:tcPr>
          <w:p>
            <w:pPr>
              <w:autoSpaceDE w:val="0"/>
              <w:autoSpaceDN w:val="0"/>
              <w:adjustRightInd w:val="0"/>
              <w:spacing w:line="360" w:lineRule="exact"/>
              <w:jc w:val="center"/>
              <w:rPr>
                <w:rFonts w:hint="default" w:ascii="宋体" w:hAnsi="宋体" w:eastAsia="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2021年7月31日</w:t>
            </w:r>
            <w:r>
              <w:rPr>
                <w:rFonts w:hint="eastAsia" w:ascii="宋体" w:hAnsi="宋体"/>
                <w:color w:val="auto"/>
                <w:kern w:val="0"/>
                <w:sz w:val="21"/>
                <w:szCs w:val="21"/>
                <w:highlight w:val="none"/>
                <w:lang w:val="en-US" w:eastAsia="zh-CN"/>
              </w:rPr>
              <w:t>（未经审计）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资产总额</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54668</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49100</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47790</w:t>
            </w:r>
          </w:p>
        </w:tc>
        <w:tc>
          <w:tcPr>
            <w:tcW w:w="1839" w:type="dxa"/>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47950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负债总额</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43723</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37109</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36829</w:t>
            </w:r>
          </w:p>
        </w:tc>
        <w:tc>
          <w:tcPr>
            <w:tcW w:w="1839" w:type="dxa"/>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36303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tcBorders>
              <w:bottom w:val="single" w:color="000000" w:sz="4" w:space="0"/>
            </w:tcBorders>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净资产</w:t>
            </w:r>
          </w:p>
        </w:tc>
        <w:tc>
          <w:tcPr>
            <w:tcW w:w="1336" w:type="dxa"/>
            <w:tcBorders>
              <w:bottom w:val="single" w:color="000000" w:sz="4" w:space="0"/>
            </w:tcBorders>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10945</w:t>
            </w:r>
          </w:p>
        </w:tc>
        <w:tc>
          <w:tcPr>
            <w:tcW w:w="1773" w:type="dxa"/>
            <w:tcBorders>
              <w:bottom w:val="single" w:color="000000" w:sz="4" w:space="0"/>
            </w:tcBorders>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11991</w:t>
            </w:r>
          </w:p>
        </w:tc>
        <w:tc>
          <w:tcPr>
            <w:tcW w:w="1991" w:type="dxa"/>
            <w:tcBorders>
              <w:bottom w:val="single" w:color="000000" w:sz="4" w:space="0"/>
            </w:tcBorders>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10961</w:t>
            </w:r>
          </w:p>
        </w:tc>
        <w:tc>
          <w:tcPr>
            <w:tcW w:w="1839" w:type="dxa"/>
            <w:tcBorders>
              <w:bottom w:val="single" w:color="000000" w:sz="4" w:space="0"/>
            </w:tcBorders>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11647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营业收入</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12338</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11022</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11008</w:t>
            </w:r>
          </w:p>
        </w:tc>
        <w:tc>
          <w:tcPr>
            <w:tcW w:w="1839" w:type="dxa"/>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10499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营业利润</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2510</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1395</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64</w:t>
            </w:r>
          </w:p>
        </w:tc>
        <w:tc>
          <w:tcPr>
            <w:tcW w:w="1839" w:type="dxa"/>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714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净利润</w:t>
            </w:r>
          </w:p>
        </w:tc>
        <w:tc>
          <w:tcPr>
            <w:tcW w:w="1336"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1958</w:t>
            </w:r>
          </w:p>
        </w:tc>
        <w:tc>
          <w:tcPr>
            <w:tcW w:w="1773"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rPr>
              <w:t>1046</w:t>
            </w:r>
          </w:p>
        </w:tc>
        <w:tc>
          <w:tcPr>
            <w:tcW w:w="1991" w:type="dxa"/>
            <w:vAlign w:val="center"/>
          </w:tcPr>
          <w:p>
            <w:pPr>
              <w:autoSpaceDE w:val="0"/>
              <w:autoSpaceDN w:val="0"/>
              <w:adjustRightInd w:val="0"/>
              <w:spacing w:line="360" w:lineRule="exact"/>
              <w:jc w:val="center"/>
              <w:rPr>
                <w:rFonts w:ascii="宋体" w:hAnsi="宋体"/>
                <w:color w:val="auto"/>
                <w:kern w:val="0"/>
                <w:sz w:val="28"/>
                <w:szCs w:val="28"/>
                <w:highlight w:val="none"/>
              </w:rPr>
            </w:pPr>
            <w:r>
              <w:rPr>
                <w:rFonts w:hint="eastAsia" w:ascii="宋体" w:hAnsi="宋体"/>
                <w:color w:val="auto"/>
                <w:kern w:val="0"/>
                <w:sz w:val="28"/>
                <w:szCs w:val="28"/>
                <w:highlight w:val="none"/>
                <w:lang w:val="en-US" w:eastAsia="zh-CN"/>
              </w:rPr>
              <w:t>48</w:t>
            </w:r>
          </w:p>
        </w:tc>
        <w:tc>
          <w:tcPr>
            <w:tcW w:w="1839" w:type="dxa"/>
            <w:vAlign w:val="center"/>
          </w:tcPr>
          <w:p>
            <w:pPr>
              <w:autoSpaceDE w:val="0"/>
              <w:autoSpaceDN w:val="0"/>
              <w:adjustRightInd w:val="0"/>
              <w:spacing w:line="360" w:lineRule="exact"/>
              <w:jc w:val="center"/>
              <w:rPr>
                <w:rFonts w:hint="default" w:ascii="宋体" w:hAnsi="宋体"/>
                <w:color w:val="auto"/>
                <w:kern w:val="0"/>
                <w:sz w:val="28"/>
                <w:szCs w:val="28"/>
                <w:highlight w:val="none"/>
                <w:lang w:val="en-US" w:eastAsia="zh-CN"/>
              </w:rPr>
            </w:pPr>
            <w:r>
              <w:rPr>
                <w:rFonts w:hint="eastAsia" w:ascii="宋体" w:hAnsi="宋体"/>
                <w:color w:val="auto"/>
                <w:kern w:val="0"/>
                <w:sz w:val="28"/>
                <w:szCs w:val="28"/>
                <w:highlight w:val="none"/>
                <w:lang w:val="en-US" w:eastAsia="zh-CN"/>
              </w:rPr>
              <w:t>702</w:t>
            </w:r>
          </w:p>
        </w:tc>
      </w:tr>
    </w:tbl>
    <w:p>
      <w:pPr>
        <w:keepNext w:val="0"/>
        <w:keepLines w:val="0"/>
        <w:pageBreakBefore w:val="0"/>
        <w:widowControl w:val="0"/>
        <w:kinsoku/>
        <w:wordWrap/>
        <w:overflowPunct/>
        <w:topLinePunct w:val="0"/>
        <w:bidi w:val="0"/>
        <w:snapToGrid/>
        <w:spacing w:line="480" w:lineRule="exact"/>
        <w:ind w:firstLine="560" w:firstLineChars="200"/>
        <w:textAlignment w:val="auto"/>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上述2020年度主要财务数据经</w:t>
      </w:r>
      <w:r>
        <w:rPr>
          <w:color w:val="auto"/>
          <w:sz w:val="28"/>
          <w:szCs w:val="28"/>
          <w:highlight w:val="none"/>
        </w:rPr>
        <w:t>浙江至诚会计师事务所</w:t>
      </w:r>
      <w:r>
        <w:rPr>
          <w:rFonts w:hint="eastAsia"/>
          <w:color w:val="auto"/>
          <w:sz w:val="28"/>
          <w:szCs w:val="28"/>
          <w:highlight w:val="none"/>
        </w:rPr>
        <w:t>（特殊普通合伙）义乌分所</w:t>
      </w:r>
      <w:r>
        <w:rPr>
          <w:rFonts w:hint="eastAsia" w:ascii="宋体" w:hAnsi="宋体"/>
          <w:color w:val="auto"/>
          <w:sz w:val="28"/>
          <w:szCs w:val="28"/>
          <w:highlight w:val="none"/>
        </w:rPr>
        <w:t>审计。</w:t>
      </w:r>
      <w:r>
        <w:rPr>
          <w:rFonts w:hint="eastAsia" w:ascii="宋体" w:hAnsi="宋体"/>
          <w:color w:val="auto"/>
          <w:sz w:val="28"/>
          <w:szCs w:val="28"/>
          <w:highlight w:val="none"/>
          <w:lang w:val="en-US" w:eastAsia="zh-CN"/>
        </w:rPr>
        <w:t>2021年7月31日主要财务数据出自标的公司未经审计的财务报表。</w:t>
      </w:r>
    </w:p>
    <w:p>
      <w:pPr>
        <w:keepNext w:val="0"/>
        <w:keepLines w:val="0"/>
        <w:pageBreakBefore w:val="0"/>
        <w:widowControl w:val="0"/>
        <w:kinsoku/>
        <w:wordWrap/>
        <w:overflowPunct/>
        <w:topLinePunct w:val="0"/>
        <w:bidi w:val="0"/>
        <w:snapToGrid/>
        <w:spacing w:line="480" w:lineRule="exact"/>
        <w:ind w:firstLine="560" w:firstLineChars="200"/>
        <w:textAlignment w:val="auto"/>
        <w:rPr>
          <w:rFonts w:ascii="宋体" w:hAnsi="宋体"/>
          <w:color w:val="auto"/>
          <w:sz w:val="28"/>
          <w:szCs w:val="28"/>
          <w:highlight w:val="none"/>
        </w:rPr>
      </w:pPr>
      <w:r>
        <w:rPr>
          <w:rFonts w:hint="eastAsia" w:ascii="宋体" w:hAnsi="宋体"/>
          <w:color w:val="auto"/>
          <w:sz w:val="28"/>
          <w:szCs w:val="28"/>
          <w:highlight w:val="none"/>
        </w:rPr>
        <w:t>2021年5月31日主要财务数据经浙江明达会计事务所有限公司审计。审计数据有所调整，具体</w:t>
      </w:r>
      <w:r>
        <w:rPr>
          <w:rFonts w:hint="eastAsia" w:asciiTheme="minorEastAsia" w:hAnsiTheme="minorEastAsia"/>
          <w:color w:val="auto"/>
          <w:sz w:val="28"/>
          <w:szCs w:val="28"/>
          <w:highlight w:val="none"/>
        </w:rPr>
        <w:t>调整原因如下：因“长期待摊费用”科目下工程项目产权不归属于标的公司。根据标的公司与转让方签订的协议，在标的公司租赁期间，无须向转让方支付租金，但租赁物应当进行的改造工程等由标的公司自行完成，所有工程相关费用由标的公司承担。在租赁期间届满后，租赁物因上述工程而形成的附属物权及现场办公用品等归转让方所有。另外因疫情，给予佳庭汇免租期延长三个月等原因。审计报告因此进行了一系列科目调整，文号未变。</w:t>
      </w:r>
    </w:p>
    <w:p>
      <w:pPr>
        <w:keepNext w:val="0"/>
        <w:keepLines w:val="0"/>
        <w:pageBreakBefore w:val="0"/>
        <w:widowControl w:val="0"/>
        <w:kinsoku/>
        <w:wordWrap/>
        <w:overflowPunct/>
        <w:topLinePunct w:val="0"/>
        <w:bidi w:val="0"/>
        <w:snapToGrid/>
        <w:spacing w:line="480" w:lineRule="exact"/>
        <w:ind w:firstLine="560" w:firstLineChars="200"/>
        <w:textAlignment w:val="auto"/>
        <w:rPr>
          <w:rFonts w:ascii="宋体" w:hAnsi="宋体"/>
          <w:color w:val="auto"/>
          <w:kern w:val="0"/>
          <w:sz w:val="28"/>
          <w:szCs w:val="28"/>
          <w:highlight w:val="none"/>
        </w:rPr>
      </w:pPr>
      <w:r>
        <w:rPr>
          <w:rFonts w:hint="eastAsia" w:ascii="宋体" w:hAnsi="宋体"/>
          <w:color w:val="auto"/>
          <w:sz w:val="28"/>
          <w:szCs w:val="28"/>
          <w:highlight w:val="none"/>
        </w:rPr>
        <w:t>4.</w:t>
      </w:r>
      <w:r>
        <w:rPr>
          <w:rFonts w:hint="eastAsia" w:ascii="宋体" w:hAnsi="宋体"/>
          <w:color w:val="auto"/>
          <w:kern w:val="0"/>
          <w:sz w:val="28"/>
          <w:szCs w:val="28"/>
          <w:highlight w:val="none"/>
        </w:rPr>
        <w:t>公司主要资产情况：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jc w:val="left"/>
        <w:textAlignment w:val="auto"/>
        <w:rPr>
          <w:rFonts w:ascii="宋体" w:hAnsi="宋体"/>
          <w:color w:val="auto"/>
          <w:sz w:val="28"/>
          <w:szCs w:val="28"/>
          <w:highlight w:val="none"/>
        </w:rPr>
      </w:pPr>
      <w:r>
        <w:rPr>
          <w:rFonts w:hint="eastAsia" w:ascii="宋体" w:hAnsi="宋体"/>
          <w:color w:val="auto"/>
          <w:sz w:val="28"/>
          <w:szCs w:val="28"/>
          <w:highlight w:val="none"/>
        </w:rPr>
        <w:t>目前标的公司拥有两个已建房产以及五宗地块，其中已建房产分别为智汇大厦和苏华街2</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-4</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商住楼；五宗地块为高塘路两侧沿街商服2</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地块、高塘路两侧沿街商服3</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地块、高塘路两侧沿街商服4</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地块、龙祈路北侧沿街商服A地块、龙祈路北侧沿街商服B地块。</w:t>
      </w:r>
    </w:p>
    <w:p>
      <w:pPr>
        <w:spacing w:line="500" w:lineRule="exact"/>
        <w:ind w:firstLine="420" w:firstLineChars="150"/>
        <w:rPr>
          <w:rFonts w:ascii="宋体" w:hAnsi="宋体" w:cs="宋体"/>
          <w:color w:val="auto"/>
          <w:sz w:val="28"/>
          <w:szCs w:val="28"/>
          <w:highlight w:val="none"/>
        </w:rPr>
      </w:pPr>
      <w:r>
        <w:rPr>
          <w:rFonts w:hint="eastAsia" w:ascii="宋体" w:hAnsi="宋体" w:cs="宋体"/>
          <w:color w:val="auto"/>
          <w:sz w:val="28"/>
          <w:szCs w:val="28"/>
          <w:highlight w:val="none"/>
        </w:rPr>
        <w:t>（1）已建房产基本情况</w:t>
      </w: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7"/>
        <w:gridCol w:w="1438"/>
        <w:gridCol w:w="1200"/>
        <w:gridCol w:w="4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767" w:type="dxa"/>
            <w:vMerge w:val="restart"/>
            <w:vAlign w:val="center"/>
          </w:tcPr>
          <w:p>
            <w:pPr>
              <w:jc w:val="center"/>
              <w:rPr>
                <w:rFonts w:ascii="Calibri" w:hAnsi="Calibri"/>
                <w:color w:val="auto"/>
                <w:sz w:val="24"/>
                <w:highlight w:val="none"/>
              </w:rPr>
            </w:pPr>
            <w:r>
              <w:rPr>
                <w:rFonts w:hint="eastAsia" w:ascii="Calibri" w:hAnsi="Calibri"/>
                <w:color w:val="auto"/>
                <w:sz w:val="24"/>
                <w:highlight w:val="none"/>
              </w:rPr>
              <w:t>智汇大厦</w:t>
            </w: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总层数</w:t>
            </w:r>
          </w:p>
        </w:tc>
        <w:tc>
          <w:tcPr>
            <w:tcW w:w="5692" w:type="dxa"/>
            <w:gridSpan w:val="2"/>
            <w:vAlign w:val="center"/>
          </w:tcPr>
          <w:p>
            <w:pPr>
              <w:jc w:val="center"/>
              <w:rPr>
                <w:rFonts w:ascii="宋体" w:hAnsi="宋体"/>
                <w:color w:val="auto"/>
                <w:sz w:val="24"/>
                <w:highlight w:val="none"/>
              </w:rPr>
            </w:pPr>
            <w:r>
              <w:rPr>
                <w:rFonts w:hint="eastAsia" w:ascii="宋体" w:hAnsi="宋体"/>
                <w:color w:val="auto"/>
                <w:sz w:val="24"/>
                <w:highlight w:val="none"/>
              </w:rPr>
              <w:t>17层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7" w:hRule="atLeast"/>
        </w:trPr>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坐落</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 xml:space="preserve">义乌市苏溪镇智汇大厦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权利类型</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国有建设用地使用权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权利性质</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出让/商品房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用途</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商服、住宅用地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面积</w:t>
            </w:r>
          </w:p>
        </w:tc>
        <w:tc>
          <w:tcPr>
            <w:tcW w:w="5692" w:type="dxa"/>
            <w:gridSpan w:val="2"/>
            <w:vAlign w:val="center"/>
          </w:tcPr>
          <w:p>
            <w:pPr>
              <w:jc w:val="left"/>
              <w:rPr>
                <w:rFonts w:ascii="Calibri" w:hAnsi="Calibri"/>
                <w:color w:val="auto"/>
                <w:sz w:val="24"/>
                <w:highlight w:val="none"/>
              </w:rPr>
            </w:pPr>
            <w:r>
              <w:rPr>
                <w:rFonts w:hint="eastAsia" w:ascii="宋体" w:hAnsi="宋体"/>
                <w:color w:val="auto"/>
                <w:sz w:val="24"/>
                <w:highlight w:val="none"/>
              </w:rPr>
              <w:t>宗地面积15580.08m</w:t>
            </w:r>
            <w:r>
              <w:rPr>
                <w:rFonts w:hint="eastAsia" w:ascii="宋体" w:hAnsi="宋体"/>
                <w:color w:val="auto"/>
                <w:sz w:val="24"/>
                <w:highlight w:val="none"/>
                <w:vertAlign w:val="superscript"/>
              </w:rPr>
              <w:t>2</w:t>
            </w:r>
            <w:r>
              <w:rPr>
                <w:rFonts w:hint="eastAsia" w:ascii="宋体" w:hAnsi="宋体"/>
                <w:color w:val="auto"/>
                <w:sz w:val="24"/>
                <w:highlight w:val="none"/>
              </w:rPr>
              <w:t>/建筑占地总面积6337.99m</w:t>
            </w:r>
            <w:r>
              <w:rPr>
                <w:rFonts w:hint="eastAsia" w:ascii="宋体" w:hAnsi="宋体"/>
                <w:color w:val="auto"/>
                <w:sz w:val="24"/>
                <w:highlight w:val="none"/>
                <w:vertAlign w:val="superscript"/>
              </w:rPr>
              <w:t>2</w:t>
            </w:r>
            <w:r>
              <w:rPr>
                <w:rFonts w:hint="eastAsia" w:ascii="宋体" w:hAnsi="宋体"/>
                <w:color w:val="auto"/>
                <w:sz w:val="24"/>
                <w:highlight w:val="none"/>
              </w:rPr>
              <w:t>/地上建筑面积39906.94 m</w:t>
            </w:r>
            <w:r>
              <w:rPr>
                <w:rFonts w:hint="eastAsia" w:ascii="宋体" w:hAnsi="宋体"/>
                <w:color w:val="auto"/>
                <w:sz w:val="24"/>
                <w:highlight w:val="none"/>
                <w:vertAlign w:val="superscript"/>
              </w:rPr>
              <w:t>2</w:t>
            </w:r>
            <w:r>
              <w:rPr>
                <w:rFonts w:hint="eastAsia" w:ascii="宋体" w:hAnsi="宋体"/>
                <w:color w:val="auto"/>
                <w:sz w:val="24"/>
                <w:highlight w:val="none"/>
              </w:rPr>
              <w:t>/地下建筑面积11514.9 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Merge w:val="restart"/>
            <w:vAlign w:val="center"/>
          </w:tcPr>
          <w:p>
            <w:pPr>
              <w:jc w:val="center"/>
              <w:rPr>
                <w:rFonts w:ascii="Calibri" w:hAnsi="Calibri"/>
                <w:color w:val="auto"/>
                <w:sz w:val="24"/>
                <w:highlight w:val="none"/>
              </w:rPr>
            </w:pPr>
            <w:r>
              <w:rPr>
                <w:rFonts w:hint="eastAsia" w:ascii="Calibri" w:hAnsi="Calibri"/>
                <w:color w:val="auto"/>
                <w:sz w:val="24"/>
                <w:highlight w:val="none"/>
              </w:rPr>
              <w:t>目前持有产权情况</w:t>
            </w:r>
          </w:p>
        </w:tc>
        <w:tc>
          <w:tcPr>
            <w:tcW w:w="1200" w:type="dxa"/>
            <w:vMerge w:val="restart"/>
            <w:vAlign w:val="center"/>
          </w:tcPr>
          <w:p>
            <w:pPr>
              <w:autoSpaceDE w:val="0"/>
              <w:autoSpaceDN w:val="0"/>
              <w:adjustRightInd w:val="0"/>
              <w:jc w:val="left"/>
              <w:rPr>
                <w:rFonts w:ascii="宋体" w:hAnsi="宋体"/>
                <w:color w:val="auto"/>
                <w:sz w:val="24"/>
                <w:highlight w:val="none"/>
              </w:rPr>
            </w:pPr>
            <w:r>
              <w:rPr>
                <w:rFonts w:hint="eastAsia" w:ascii="宋体" w:hAnsi="宋体"/>
                <w:color w:val="auto"/>
                <w:sz w:val="24"/>
                <w:highlight w:val="none"/>
              </w:rPr>
              <w:t>商业用房</w:t>
            </w:r>
          </w:p>
        </w:tc>
        <w:tc>
          <w:tcPr>
            <w:tcW w:w="4492" w:type="dxa"/>
            <w:vAlign w:val="center"/>
          </w:tcPr>
          <w:p>
            <w:pPr>
              <w:autoSpaceDE w:val="0"/>
              <w:autoSpaceDN w:val="0"/>
              <w:adjustRightInd w:val="0"/>
              <w:jc w:val="left"/>
              <w:rPr>
                <w:rFonts w:ascii="宋体" w:hAnsi="宋体"/>
                <w:color w:val="auto"/>
                <w:sz w:val="24"/>
                <w:highlight w:val="none"/>
                <w:vertAlign w:val="superscript"/>
              </w:rPr>
            </w:pPr>
            <w:r>
              <w:rPr>
                <w:rFonts w:hint="eastAsia" w:ascii="宋体" w:hAnsi="宋体"/>
                <w:color w:val="auto"/>
                <w:sz w:val="24"/>
                <w:highlight w:val="none"/>
              </w:rPr>
              <w:t>自持不可销售商业建筑面积17734.37m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67" w:type="dxa"/>
            <w:vMerge w:val="continue"/>
            <w:vAlign w:val="center"/>
          </w:tcPr>
          <w:p>
            <w:pPr>
              <w:jc w:val="center"/>
              <w:rPr>
                <w:rFonts w:ascii="Calibri" w:hAnsi="Calibri"/>
                <w:color w:val="auto"/>
                <w:sz w:val="24"/>
                <w:highlight w:val="none"/>
              </w:rPr>
            </w:pPr>
          </w:p>
        </w:tc>
        <w:tc>
          <w:tcPr>
            <w:tcW w:w="1438" w:type="dxa"/>
            <w:vMerge w:val="continue"/>
            <w:vAlign w:val="center"/>
          </w:tcPr>
          <w:p>
            <w:pPr>
              <w:jc w:val="center"/>
              <w:rPr>
                <w:rFonts w:ascii="Calibri" w:hAnsi="Calibri"/>
                <w:color w:val="auto"/>
                <w:sz w:val="24"/>
                <w:highlight w:val="none"/>
              </w:rPr>
            </w:pPr>
          </w:p>
        </w:tc>
        <w:tc>
          <w:tcPr>
            <w:tcW w:w="1200" w:type="dxa"/>
            <w:vMerge w:val="continue"/>
            <w:vAlign w:val="center"/>
          </w:tcPr>
          <w:p>
            <w:pPr>
              <w:autoSpaceDE w:val="0"/>
              <w:autoSpaceDN w:val="0"/>
              <w:adjustRightInd w:val="0"/>
              <w:jc w:val="left"/>
              <w:rPr>
                <w:rFonts w:ascii="宋体" w:hAnsi="宋体"/>
                <w:color w:val="auto"/>
                <w:sz w:val="24"/>
                <w:highlight w:val="none"/>
              </w:rPr>
            </w:pPr>
          </w:p>
        </w:tc>
        <w:tc>
          <w:tcPr>
            <w:tcW w:w="4492" w:type="dxa"/>
            <w:vAlign w:val="center"/>
          </w:tcPr>
          <w:p>
            <w:pPr>
              <w:autoSpaceDE w:val="0"/>
              <w:autoSpaceDN w:val="0"/>
              <w:adjustRightInd w:val="0"/>
              <w:ind w:left="960" w:hanging="960" w:hangingChars="400"/>
              <w:jc w:val="left"/>
              <w:rPr>
                <w:rFonts w:ascii="宋体" w:hAnsi="宋体"/>
                <w:color w:val="auto"/>
                <w:sz w:val="24"/>
                <w:highlight w:val="none"/>
              </w:rPr>
            </w:pPr>
            <w:r>
              <w:rPr>
                <w:rFonts w:hint="eastAsia" w:ascii="宋体" w:hAnsi="宋体"/>
                <w:color w:val="auto"/>
                <w:sz w:val="24"/>
                <w:highlight w:val="none"/>
              </w:rPr>
              <w:t>可销售商业建筑面积3533.08m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67" w:type="dxa"/>
            <w:vMerge w:val="continue"/>
            <w:vAlign w:val="center"/>
          </w:tcPr>
          <w:p>
            <w:pPr>
              <w:jc w:val="center"/>
              <w:rPr>
                <w:rFonts w:ascii="Calibri" w:hAnsi="Calibri"/>
                <w:color w:val="auto"/>
                <w:sz w:val="24"/>
                <w:highlight w:val="none"/>
              </w:rPr>
            </w:pPr>
          </w:p>
        </w:tc>
        <w:tc>
          <w:tcPr>
            <w:tcW w:w="1438" w:type="dxa"/>
            <w:vMerge w:val="continue"/>
            <w:vAlign w:val="center"/>
          </w:tcPr>
          <w:p>
            <w:pPr>
              <w:jc w:val="center"/>
              <w:rPr>
                <w:rFonts w:ascii="Calibri" w:hAnsi="Calibri"/>
                <w:color w:val="auto"/>
                <w:sz w:val="24"/>
                <w:highlight w:val="none"/>
              </w:rPr>
            </w:pPr>
          </w:p>
        </w:tc>
        <w:tc>
          <w:tcPr>
            <w:tcW w:w="1200" w:type="dxa"/>
            <w:vAlign w:val="center"/>
          </w:tcPr>
          <w:p>
            <w:pPr>
              <w:autoSpaceDE w:val="0"/>
              <w:autoSpaceDN w:val="0"/>
              <w:adjustRightInd w:val="0"/>
              <w:jc w:val="left"/>
              <w:rPr>
                <w:rFonts w:ascii="宋体" w:hAnsi="宋体"/>
                <w:color w:val="auto"/>
                <w:sz w:val="24"/>
                <w:highlight w:val="none"/>
              </w:rPr>
            </w:pPr>
            <w:r>
              <w:rPr>
                <w:rFonts w:hint="eastAsia" w:ascii="宋体" w:hAnsi="宋体"/>
                <w:color w:val="auto"/>
                <w:sz w:val="24"/>
                <w:highlight w:val="none"/>
              </w:rPr>
              <w:t>住宅</w:t>
            </w:r>
          </w:p>
        </w:tc>
        <w:tc>
          <w:tcPr>
            <w:tcW w:w="4492" w:type="dxa"/>
            <w:vAlign w:val="center"/>
          </w:tcPr>
          <w:p>
            <w:pPr>
              <w:autoSpaceDE w:val="0"/>
              <w:autoSpaceDN w:val="0"/>
              <w:adjustRightInd w:val="0"/>
              <w:jc w:val="left"/>
              <w:rPr>
                <w:rFonts w:ascii="宋体" w:hAnsi="宋体"/>
                <w:color w:val="auto"/>
                <w:sz w:val="24"/>
                <w:highlight w:val="none"/>
              </w:rPr>
            </w:pPr>
            <w:r>
              <w:rPr>
                <w:rFonts w:hint="eastAsia" w:ascii="宋体" w:hAnsi="宋体"/>
                <w:color w:val="auto"/>
                <w:sz w:val="24"/>
                <w:highlight w:val="none"/>
              </w:rPr>
              <w:t>目前尚余住宅共计18套、建筑面积1316.16m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Merge w:val="continue"/>
            <w:vAlign w:val="center"/>
          </w:tcPr>
          <w:p>
            <w:pPr>
              <w:jc w:val="center"/>
              <w:rPr>
                <w:rFonts w:ascii="Calibri" w:hAnsi="Calibri"/>
                <w:color w:val="auto"/>
                <w:sz w:val="24"/>
                <w:highlight w:val="none"/>
              </w:rPr>
            </w:pPr>
          </w:p>
        </w:tc>
        <w:tc>
          <w:tcPr>
            <w:tcW w:w="1200" w:type="dxa"/>
            <w:vAlign w:val="center"/>
          </w:tcPr>
          <w:p>
            <w:pPr>
              <w:autoSpaceDE w:val="0"/>
              <w:autoSpaceDN w:val="0"/>
              <w:adjustRightInd w:val="0"/>
              <w:jc w:val="left"/>
              <w:rPr>
                <w:rFonts w:ascii="宋体" w:hAnsi="宋体"/>
                <w:color w:val="auto"/>
                <w:sz w:val="24"/>
                <w:highlight w:val="none"/>
              </w:rPr>
            </w:pPr>
            <w:r>
              <w:rPr>
                <w:rFonts w:hint="eastAsia" w:ascii="宋体" w:hAnsi="宋体"/>
                <w:color w:val="auto"/>
                <w:sz w:val="24"/>
                <w:highlight w:val="none"/>
              </w:rPr>
              <w:t>车位</w:t>
            </w:r>
          </w:p>
        </w:tc>
        <w:tc>
          <w:tcPr>
            <w:tcW w:w="4492" w:type="dxa"/>
            <w:vAlign w:val="center"/>
          </w:tcPr>
          <w:p>
            <w:pPr>
              <w:autoSpaceDE w:val="0"/>
              <w:autoSpaceDN w:val="0"/>
              <w:adjustRightInd w:val="0"/>
              <w:jc w:val="left"/>
              <w:rPr>
                <w:rFonts w:ascii="宋体" w:hAnsi="宋体"/>
                <w:color w:val="auto"/>
                <w:sz w:val="24"/>
                <w:highlight w:val="none"/>
              </w:rPr>
            </w:pPr>
            <w:r>
              <w:rPr>
                <w:rFonts w:hint="eastAsia" w:ascii="宋体" w:hAnsi="宋体"/>
                <w:color w:val="auto"/>
                <w:sz w:val="24"/>
                <w:highlight w:val="none"/>
              </w:rPr>
              <w:t>智汇大厦共有地上车位133个，地下车位270个，合计403个车位。租赁期给佳庭汇配套使用210个车位（地上车位133个，地下车位77个），配套给已售住宅户170个地下车位，剩余地下车位23个。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restart"/>
            <w:vAlign w:val="center"/>
          </w:tcPr>
          <w:p>
            <w:pPr>
              <w:jc w:val="center"/>
              <w:rPr>
                <w:rFonts w:ascii="Calibri" w:hAnsi="Calibri"/>
                <w:color w:val="auto"/>
                <w:sz w:val="24"/>
                <w:highlight w:val="none"/>
              </w:rPr>
            </w:pPr>
            <w:r>
              <w:rPr>
                <w:rFonts w:hint="eastAsia" w:ascii="宋体" w:hAnsi="宋体" w:cs="宋体"/>
                <w:color w:val="auto"/>
                <w:sz w:val="24"/>
                <w:highlight w:val="none"/>
              </w:rPr>
              <w:t>苏华街2#-4#商住楼</w:t>
            </w: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总层数</w:t>
            </w:r>
          </w:p>
        </w:tc>
        <w:tc>
          <w:tcPr>
            <w:tcW w:w="5692" w:type="dxa"/>
            <w:gridSpan w:val="2"/>
            <w:vAlign w:val="center"/>
          </w:tcPr>
          <w:p>
            <w:pPr>
              <w:jc w:val="center"/>
              <w:rPr>
                <w:rFonts w:ascii="宋体" w:hAnsi="宋体"/>
                <w:color w:val="auto"/>
                <w:sz w:val="24"/>
                <w:highlight w:val="none"/>
              </w:rPr>
            </w:pPr>
            <w:r>
              <w:rPr>
                <w:rFonts w:hint="eastAsia" w:ascii="宋体" w:hAnsi="宋体"/>
                <w:color w:val="auto"/>
                <w:sz w:val="24"/>
                <w:highlight w:val="none"/>
              </w:rPr>
              <w:t>9层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坐落</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义乌市苏溪镇苏华街138-206号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权利类型</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国有建设用地使用权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权利性质</w:t>
            </w:r>
          </w:p>
        </w:tc>
        <w:tc>
          <w:tcPr>
            <w:tcW w:w="5692" w:type="dxa"/>
            <w:gridSpan w:val="2"/>
            <w:vAlign w:val="center"/>
          </w:tcPr>
          <w:p>
            <w:pPr>
              <w:jc w:val="center"/>
              <w:rPr>
                <w:rFonts w:ascii="Calibri" w:hAnsi="Calibri"/>
                <w:color w:val="auto"/>
                <w:sz w:val="24"/>
                <w:highlight w:val="none"/>
              </w:rPr>
            </w:pPr>
            <w:r>
              <w:rPr>
                <w:rFonts w:ascii="宋体" w:hAnsi="宋体"/>
                <w:color w:val="auto"/>
                <w:sz w:val="24"/>
                <w:highlight w:val="none"/>
              </w:rPr>
              <w:t>出让/商品房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用途</w:t>
            </w:r>
          </w:p>
        </w:tc>
        <w:tc>
          <w:tcPr>
            <w:tcW w:w="5692" w:type="dxa"/>
            <w:gridSpan w:val="2"/>
            <w:vAlign w:val="center"/>
          </w:tcPr>
          <w:p>
            <w:pPr>
              <w:jc w:val="center"/>
              <w:rPr>
                <w:rFonts w:ascii="Calibri" w:hAnsi="Calibri"/>
                <w:color w:val="auto"/>
                <w:sz w:val="24"/>
                <w:highlight w:val="none"/>
              </w:rPr>
            </w:pPr>
            <w:r>
              <w:rPr>
                <w:rFonts w:hint="eastAsia" w:ascii="宋体" w:hAnsi="宋体"/>
                <w:color w:val="auto"/>
                <w:sz w:val="24"/>
                <w:highlight w:val="none"/>
              </w:rPr>
              <w:t>商服、住宅用地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Align w:val="center"/>
          </w:tcPr>
          <w:p>
            <w:pPr>
              <w:jc w:val="center"/>
              <w:rPr>
                <w:rFonts w:ascii="Calibri" w:hAnsi="Calibri"/>
                <w:color w:val="auto"/>
                <w:sz w:val="24"/>
                <w:highlight w:val="none"/>
              </w:rPr>
            </w:pPr>
            <w:r>
              <w:rPr>
                <w:rFonts w:hint="eastAsia" w:ascii="Calibri" w:hAnsi="Calibri"/>
                <w:color w:val="auto"/>
                <w:sz w:val="24"/>
                <w:highlight w:val="none"/>
              </w:rPr>
              <w:t>面积</w:t>
            </w:r>
          </w:p>
        </w:tc>
        <w:tc>
          <w:tcPr>
            <w:tcW w:w="5692" w:type="dxa"/>
            <w:gridSpan w:val="2"/>
            <w:vAlign w:val="center"/>
          </w:tcPr>
          <w:p>
            <w:pPr>
              <w:jc w:val="left"/>
              <w:rPr>
                <w:rFonts w:ascii="Calibri" w:hAnsi="Calibri"/>
                <w:color w:val="auto"/>
                <w:sz w:val="24"/>
                <w:highlight w:val="none"/>
              </w:rPr>
            </w:pPr>
            <w:r>
              <w:rPr>
                <w:rFonts w:hint="eastAsia" w:ascii="宋体" w:hAnsi="宋体"/>
                <w:color w:val="auto"/>
                <w:sz w:val="24"/>
                <w:highlight w:val="none"/>
              </w:rPr>
              <w:t>宗地面积8402.12m</w:t>
            </w:r>
            <w:r>
              <w:rPr>
                <w:rFonts w:hint="eastAsia" w:ascii="宋体" w:hAnsi="宋体"/>
                <w:color w:val="auto"/>
                <w:sz w:val="24"/>
                <w:highlight w:val="none"/>
                <w:vertAlign w:val="superscript"/>
              </w:rPr>
              <w:t>2</w:t>
            </w:r>
            <w:r>
              <w:rPr>
                <w:rFonts w:hint="eastAsia" w:ascii="宋体" w:hAnsi="宋体"/>
                <w:color w:val="auto"/>
                <w:sz w:val="24"/>
                <w:highlight w:val="none"/>
              </w:rPr>
              <w:t>/建筑占地总面积2492.52m</w:t>
            </w:r>
            <w:r>
              <w:rPr>
                <w:rFonts w:hint="eastAsia" w:ascii="宋体" w:hAnsi="宋体"/>
                <w:color w:val="auto"/>
                <w:sz w:val="24"/>
                <w:highlight w:val="none"/>
                <w:vertAlign w:val="superscript"/>
              </w:rPr>
              <w:t>2</w:t>
            </w:r>
            <w:r>
              <w:rPr>
                <w:rFonts w:hint="eastAsia" w:ascii="宋体" w:hAnsi="宋体"/>
                <w:color w:val="auto"/>
                <w:sz w:val="24"/>
                <w:highlight w:val="none"/>
              </w:rPr>
              <w:t>/地上建筑面积20443.39m</w:t>
            </w:r>
            <w:r>
              <w:rPr>
                <w:rFonts w:hint="eastAsia" w:ascii="宋体" w:hAnsi="宋体"/>
                <w:color w:val="auto"/>
                <w:sz w:val="24"/>
                <w:highlight w:val="none"/>
                <w:vertAlign w:val="superscript"/>
              </w:rPr>
              <w:t>2</w:t>
            </w:r>
            <w:r>
              <w:rPr>
                <w:rFonts w:hint="eastAsia" w:ascii="宋体" w:hAnsi="宋体"/>
                <w:color w:val="auto"/>
                <w:sz w:val="24"/>
                <w:highlight w:val="none"/>
              </w:rPr>
              <w:t>/地下建筑面积4532.89m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Merge w:val="restart"/>
            <w:vAlign w:val="center"/>
          </w:tcPr>
          <w:p>
            <w:pPr>
              <w:jc w:val="center"/>
              <w:rPr>
                <w:rFonts w:ascii="Calibri" w:hAnsi="Calibri"/>
                <w:color w:val="auto"/>
                <w:sz w:val="24"/>
                <w:highlight w:val="none"/>
              </w:rPr>
            </w:pPr>
            <w:r>
              <w:rPr>
                <w:rFonts w:hint="eastAsia" w:ascii="Calibri" w:hAnsi="Calibri"/>
                <w:color w:val="auto"/>
                <w:sz w:val="24"/>
                <w:highlight w:val="none"/>
              </w:rPr>
              <w:t>目前持有产权情况</w:t>
            </w:r>
          </w:p>
        </w:tc>
        <w:tc>
          <w:tcPr>
            <w:tcW w:w="1200" w:type="dxa"/>
            <w:vAlign w:val="center"/>
          </w:tcPr>
          <w:p>
            <w:pPr>
              <w:jc w:val="left"/>
              <w:rPr>
                <w:rFonts w:ascii="宋体" w:hAnsi="宋体"/>
                <w:color w:val="auto"/>
                <w:sz w:val="24"/>
                <w:highlight w:val="none"/>
              </w:rPr>
            </w:pPr>
            <w:r>
              <w:rPr>
                <w:rFonts w:hint="eastAsia" w:ascii="宋体" w:hAnsi="宋体"/>
                <w:color w:val="auto"/>
                <w:sz w:val="24"/>
                <w:highlight w:val="none"/>
              </w:rPr>
              <w:t>住宅</w:t>
            </w:r>
          </w:p>
        </w:tc>
        <w:tc>
          <w:tcPr>
            <w:tcW w:w="4492" w:type="dxa"/>
            <w:vAlign w:val="center"/>
          </w:tcPr>
          <w:p>
            <w:pPr>
              <w:jc w:val="left"/>
              <w:rPr>
                <w:rFonts w:ascii="宋体" w:hAnsi="宋体"/>
                <w:color w:val="auto"/>
                <w:sz w:val="24"/>
                <w:highlight w:val="none"/>
              </w:rPr>
            </w:pPr>
            <w:r>
              <w:rPr>
                <w:rFonts w:hint="eastAsia" w:ascii="宋体" w:hAnsi="宋体"/>
                <w:color w:val="auto"/>
                <w:sz w:val="24"/>
                <w:highlight w:val="none"/>
              </w:rPr>
              <w:t>尚余住宅35套、建筑面积6117.03m</w:t>
            </w:r>
            <w:r>
              <w:rPr>
                <w:rFonts w:hint="eastAsia" w:ascii="宋体" w:hAnsi="宋体"/>
                <w:color w:val="auto"/>
                <w:sz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Merge w:val="continue"/>
            <w:vAlign w:val="center"/>
          </w:tcPr>
          <w:p>
            <w:pPr>
              <w:jc w:val="center"/>
              <w:rPr>
                <w:rFonts w:ascii="Calibri" w:hAnsi="Calibri"/>
                <w:color w:val="auto"/>
                <w:sz w:val="24"/>
                <w:highlight w:val="none"/>
              </w:rPr>
            </w:pPr>
          </w:p>
        </w:tc>
        <w:tc>
          <w:tcPr>
            <w:tcW w:w="1438" w:type="dxa"/>
            <w:vMerge w:val="continue"/>
            <w:vAlign w:val="center"/>
          </w:tcPr>
          <w:p>
            <w:pPr>
              <w:jc w:val="center"/>
              <w:rPr>
                <w:rFonts w:ascii="Calibri" w:hAnsi="Calibri"/>
                <w:color w:val="auto"/>
                <w:sz w:val="24"/>
                <w:highlight w:val="none"/>
              </w:rPr>
            </w:pPr>
          </w:p>
        </w:tc>
        <w:tc>
          <w:tcPr>
            <w:tcW w:w="1200" w:type="dxa"/>
            <w:vAlign w:val="center"/>
          </w:tcPr>
          <w:p>
            <w:pPr>
              <w:jc w:val="left"/>
              <w:rPr>
                <w:rFonts w:ascii="宋体" w:hAnsi="宋体"/>
                <w:color w:val="auto"/>
                <w:sz w:val="24"/>
                <w:highlight w:val="none"/>
              </w:rPr>
            </w:pPr>
            <w:r>
              <w:rPr>
                <w:rFonts w:hint="eastAsia" w:ascii="宋体" w:hAnsi="宋体"/>
                <w:color w:val="auto"/>
                <w:sz w:val="24"/>
                <w:highlight w:val="none"/>
              </w:rPr>
              <w:t>车位</w:t>
            </w:r>
          </w:p>
        </w:tc>
        <w:tc>
          <w:tcPr>
            <w:tcW w:w="4492" w:type="dxa"/>
            <w:vAlign w:val="center"/>
          </w:tcPr>
          <w:p>
            <w:pPr>
              <w:jc w:val="left"/>
              <w:rPr>
                <w:rFonts w:ascii="宋体" w:hAnsi="宋体"/>
                <w:color w:val="auto"/>
                <w:sz w:val="24"/>
                <w:highlight w:val="none"/>
              </w:rPr>
            </w:pPr>
            <w:r>
              <w:rPr>
                <w:rFonts w:hint="eastAsia" w:ascii="宋体" w:hAnsi="宋体"/>
                <w:color w:val="auto"/>
                <w:sz w:val="24"/>
                <w:highlight w:val="none"/>
              </w:rPr>
              <w:t>地下车位共计88个</w:t>
            </w:r>
          </w:p>
        </w:tc>
      </w:tr>
    </w:tbl>
    <w:p>
      <w:pPr>
        <w:rPr>
          <w:color w:val="auto"/>
          <w:highlight w:val="none"/>
        </w:rPr>
      </w:pP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（2）五块宗地基本情况</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color w:val="auto"/>
          <w:sz w:val="28"/>
          <w:szCs w:val="28"/>
          <w:highlight w:val="none"/>
        </w:rPr>
      </w:pPr>
      <w:r>
        <w:rPr>
          <w:rFonts w:hint="eastAsia"/>
          <w:color w:val="auto"/>
          <w:sz w:val="28"/>
          <w:szCs w:val="28"/>
          <w:highlight w:val="none"/>
        </w:rPr>
        <w:t>五宗地块坐落于苏溪镇高新区，权利类型为国有建设用地使用权，权利性质为出让，用途为商服、住宅。</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789"/>
        <w:gridCol w:w="1454"/>
        <w:gridCol w:w="1632"/>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789"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8"/>
                <w:szCs w:val="28"/>
                <w:highlight w:val="none"/>
              </w:rPr>
              <w:t>地块名称</w:t>
            </w:r>
          </w:p>
        </w:tc>
        <w:tc>
          <w:tcPr>
            <w:tcW w:w="1454"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8"/>
                <w:szCs w:val="28"/>
                <w:highlight w:val="none"/>
              </w:rPr>
              <w:t>宗地面积（㎡）</w:t>
            </w:r>
          </w:p>
        </w:tc>
        <w:tc>
          <w:tcPr>
            <w:tcW w:w="1632"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8"/>
                <w:szCs w:val="28"/>
                <w:highlight w:val="none"/>
              </w:rPr>
              <w:t>拿地时间</w:t>
            </w:r>
          </w:p>
        </w:tc>
        <w:tc>
          <w:tcPr>
            <w:tcW w:w="1421"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8"/>
                <w:szCs w:val="28"/>
                <w:highlight w:val="none"/>
              </w:rPr>
              <w:t>合同约定开工时间</w:t>
            </w:r>
          </w:p>
        </w:tc>
        <w:tc>
          <w:tcPr>
            <w:tcW w:w="1421"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8"/>
                <w:szCs w:val="28"/>
                <w:highlight w:val="none"/>
              </w:rPr>
              <w:t>项目进度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1789"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高塘路两侧沿街商服2#地块</w:t>
            </w:r>
          </w:p>
        </w:tc>
        <w:tc>
          <w:tcPr>
            <w:tcW w:w="1454"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4157.43</w:t>
            </w:r>
          </w:p>
        </w:tc>
        <w:tc>
          <w:tcPr>
            <w:tcW w:w="163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2018.3</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2019.4</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2020.10已开工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1789"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高塘路两侧沿街商服3#地块</w:t>
            </w:r>
          </w:p>
        </w:tc>
        <w:tc>
          <w:tcPr>
            <w:tcW w:w="1454"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4023.77</w:t>
            </w:r>
          </w:p>
        </w:tc>
        <w:tc>
          <w:tcPr>
            <w:tcW w:w="163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2018.3</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2019.4</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2020.10已开工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1789"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高塘路两侧沿街商服4#地块</w:t>
            </w:r>
          </w:p>
        </w:tc>
        <w:tc>
          <w:tcPr>
            <w:tcW w:w="1454"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4511.69</w:t>
            </w:r>
          </w:p>
        </w:tc>
        <w:tc>
          <w:tcPr>
            <w:tcW w:w="163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2018.3</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2019.4</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2020.9已开工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4</w:t>
            </w:r>
          </w:p>
        </w:tc>
        <w:tc>
          <w:tcPr>
            <w:tcW w:w="1789"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龙祈路北侧沿街商服A地块</w:t>
            </w:r>
          </w:p>
        </w:tc>
        <w:tc>
          <w:tcPr>
            <w:tcW w:w="1454"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6155.62</w:t>
            </w:r>
          </w:p>
        </w:tc>
        <w:tc>
          <w:tcPr>
            <w:tcW w:w="163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2018.11</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2019.12</w:t>
            </w:r>
          </w:p>
        </w:tc>
        <w:tc>
          <w:tcPr>
            <w:tcW w:w="1421" w:type="dxa"/>
            <w:vAlign w:val="center"/>
          </w:tcPr>
          <w:p>
            <w:pPr>
              <w:rPr>
                <w:rFonts w:ascii="宋体" w:hAnsi="宋体" w:cs="宋体"/>
                <w:color w:val="auto"/>
                <w:sz w:val="24"/>
                <w:highlight w:val="none"/>
              </w:rPr>
            </w:pPr>
            <w:r>
              <w:rPr>
                <w:rFonts w:hint="eastAsia" w:ascii="宋体" w:hAnsi="宋体" w:cs="宋体"/>
                <w:color w:val="auto"/>
                <w:sz w:val="24"/>
                <w:highlight w:val="none"/>
              </w:rPr>
              <w:t>建设工程施工许可证已办理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pPr>
              <w:spacing w:line="480" w:lineRule="auto"/>
              <w:jc w:val="center"/>
              <w:rPr>
                <w:rFonts w:ascii="宋体" w:hAnsi="宋体" w:cs="宋体"/>
                <w:color w:val="auto"/>
                <w:sz w:val="24"/>
                <w:highlight w:val="none"/>
              </w:rPr>
            </w:pPr>
            <w:r>
              <w:rPr>
                <w:rFonts w:hint="eastAsia" w:ascii="宋体" w:hAnsi="宋体" w:cs="宋体"/>
                <w:color w:val="auto"/>
                <w:sz w:val="24"/>
                <w:highlight w:val="none"/>
              </w:rPr>
              <w:t>5</w:t>
            </w:r>
          </w:p>
        </w:tc>
        <w:tc>
          <w:tcPr>
            <w:tcW w:w="1789"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龙祈路北侧沿街商服B地块</w:t>
            </w:r>
          </w:p>
        </w:tc>
        <w:tc>
          <w:tcPr>
            <w:tcW w:w="1454"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7722.95</w:t>
            </w:r>
          </w:p>
        </w:tc>
        <w:tc>
          <w:tcPr>
            <w:tcW w:w="163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2020.5</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2021.6</w:t>
            </w:r>
          </w:p>
        </w:tc>
        <w:tc>
          <w:tcPr>
            <w:tcW w:w="1421"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国有土地使用证已办理</w:t>
            </w:r>
          </w:p>
        </w:tc>
      </w:tr>
    </w:tbl>
    <w:p>
      <w:pPr>
        <w:keepNext w:val="0"/>
        <w:keepLines w:val="0"/>
        <w:pageBreakBefore w:val="0"/>
        <w:widowControl/>
        <w:shd w:val="clear" w:color="auto" w:fill="FFFFFF"/>
        <w:kinsoku/>
        <w:wordWrap/>
        <w:overflowPunct/>
        <w:topLinePunct w:val="0"/>
        <w:bidi w:val="0"/>
        <w:snapToGrid/>
        <w:spacing w:beforeLines="30" w:afterLines="30" w:line="480" w:lineRule="exact"/>
        <w:ind w:firstLine="560" w:firstLineChars="200"/>
        <w:jc w:val="left"/>
        <w:textAlignment w:val="auto"/>
        <w:rPr>
          <w:rFonts w:ascii="宋体" w:hAnsi="宋体" w:cs="宋体"/>
          <w:color w:val="auto"/>
          <w:sz w:val="28"/>
          <w:szCs w:val="28"/>
          <w:highlight w:val="none"/>
        </w:rPr>
      </w:pPr>
      <w:r>
        <w:rPr>
          <w:rFonts w:hint="eastAsia" w:ascii="宋体" w:hAnsi="宋体" w:cs="宋体"/>
          <w:color w:val="auto"/>
          <w:sz w:val="28"/>
          <w:szCs w:val="28"/>
          <w:highlight w:val="none"/>
        </w:rPr>
        <w:t>5.标的公司对外投资情况</w:t>
      </w:r>
    </w:p>
    <w:p>
      <w:pPr>
        <w:keepNext w:val="0"/>
        <w:keepLines w:val="0"/>
        <w:pageBreakBefore w:val="0"/>
        <w:kinsoku/>
        <w:wordWrap/>
        <w:overflowPunct/>
        <w:topLinePunct w:val="0"/>
        <w:autoSpaceDE w:val="0"/>
        <w:autoSpaceDN w:val="0"/>
        <w:bidi w:val="0"/>
        <w:adjustRightInd w:val="0"/>
        <w:snapToGrid/>
        <w:spacing w:line="480" w:lineRule="exact"/>
        <w:ind w:firstLine="560" w:firstLineChars="200"/>
        <w:jc w:val="left"/>
        <w:textAlignment w:val="auto"/>
        <w:rPr>
          <w:color w:val="auto"/>
          <w:spacing w:val="-1"/>
          <w:sz w:val="24"/>
          <w:highlight w:val="none"/>
        </w:rPr>
      </w:pPr>
      <w:r>
        <w:rPr>
          <w:rFonts w:hint="eastAsia" w:ascii="宋体" w:hAnsi="宋体" w:cs="宋体"/>
          <w:color w:val="auto"/>
          <w:sz w:val="28"/>
          <w:szCs w:val="28"/>
          <w:highlight w:val="none"/>
        </w:rPr>
        <w:t>标的公司于2019年2月对外投资义乌高和物业服务有限公司75万元，现持有义乌高和物业服务有限公司25%股权，义乌高和物业服务有限公司截至2021年5月31日未经审计的</w:t>
      </w:r>
      <w:r>
        <w:rPr>
          <w:rFonts w:hint="eastAsia" w:ascii="宋体" w:hAnsi="宋体" w:cs="宋体"/>
          <w:color w:val="auto"/>
          <w:spacing w:val="-1"/>
          <w:sz w:val="28"/>
          <w:szCs w:val="28"/>
          <w:highlight w:val="none"/>
        </w:rPr>
        <w:t>资产、负债、股东权益分别为3112048.35元、13700.1元、3098348.25元。</w:t>
      </w:r>
    </w:p>
    <w:p>
      <w:pPr>
        <w:autoSpaceDE w:val="0"/>
        <w:autoSpaceDN w:val="0"/>
        <w:adjustRightInd w:val="0"/>
        <w:spacing w:line="500" w:lineRule="exact"/>
        <w:ind w:firstLine="560" w:firstLineChars="200"/>
        <w:jc w:val="left"/>
        <w:rPr>
          <w:rFonts w:ascii="宋体" w:hAnsi="宋体"/>
          <w:b/>
          <w:bCs/>
          <w:color w:val="auto"/>
          <w:kern w:val="0"/>
          <w:sz w:val="28"/>
          <w:szCs w:val="28"/>
          <w:highlight w:val="none"/>
        </w:rPr>
      </w:pPr>
      <w:r>
        <w:rPr>
          <w:rFonts w:hint="eastAsia" w:ascii="宋体" w:hAnsi="宋体"/>
          <w:color w:val="auto"/>
          <w:kern w:val="0"/>
          <w:sz w:val="28"/>
          <w:szCs w:val="28"/>
          <w:highlight w:val="none"/>
        </w:rPr>
        <w:t>（二）</w:t>
      </w:r>
      <w:r>
        <w:rPr>
          <w:rFonts w:hint="eastAsia" w:ascii="宋体" w:hAnsi="宋体"/>
          <w:b/>
          <w:bCs/>
          <w:color w:val="auto"/>
          <w:kern w:val="0"/>
          <w:sz w:val="28"/>
          <w:szCs w:val="28"/>
          <w:highlight w:val="none"/>
        </w:rPr>
        <w:t>转让方对标的公司的相关债权</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olor w:val="auto"/>
          <w:sz w:val="28"/>
          <w:szCs w:val="28"/>
          <w:highlight w:val="none"/>
        </w:rPr>
        <w:t>转让方</w:t>
      </w:r>
      <w:r>
        <w:rPr>
          <w:rFonts w:hint="eastAsia" w:ascii="宋体" w:hAnsi="宋体"/>
          <w:color w:val="auto"/>
          <w:kern w:val="0"/>
          <w:sz w:val="28"/>
          <w:szCs w:val="28"/>
          <w:highlight w:val="none"/>
        </w:rPr>
        <w:t>对</w:t>
      </w:r>
      <w:r>
        <w:rPr>
          <w:rFonts w:hint="eastAsia" w:ascii="宋体" w:hAnsi="宋体"/>
          <w:color w:val="auto"/>
          <w:sz w:val="28"/>
          <w:szCs w:val="28"/>
          <w:highlight w:val="none"/>
        </w:rPr>
        <w:t>标的公司</w:t>
      </w:r>
      <w:r>
        <w:rPr>
          <w:rFonts w:hint="eastAsia" w:ascii="宋体" w:hAnsi="宋体"/>
          <w:color w:val="auto"/>
          <w:kern w:val="0"/>
          <w:sz w:val="28"/>
          <w:szCs w:val="28"/>
          <w:highlight w:val="none"/>
        </w:rPr>
        <w:t>的债权，均为</w:t>
      </w:r>
      <w:r>
        <w:rPr>
          <w:rFonts w:hint="eastAsia" w:ascii="宋体" w:hAnsi="宋体"/>
          <w:color w:val="auto"/>
          <w:sz w:val="28"/>
          <w:szCs w:val="28"/>
          <w:highlight w:val="none"/>
        </w:rPr>
        <w:t>标的公司向转让方借款（用于购买土地，支付工程款，日常支出等）形成的债权。截至本次国有产权转让预公告发布日（2021年6月25日），债权本金总计人民币2.96亿元，具体如下：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333"/>
        <w:gridCol w:w="1875"/>
        <w:gridCol w:w="1740"/>
        <w:gridCol w:w="1155"/>
        <w:gridCol w:w="1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序号</w:t>
            </w:r>
          </w:p>
        </w:tc>
        <w:tc>
          <w:tcPr>
            <w:tcW w:w="1333" w:type="dxa"/>
            <w:vAlign w:val="center"/>
          </w:tcPr>
          <w:p>
            <w:pPr>
              <w:spacing w:line="280" w:lineRule="exact"/>
              <w:jc w:val="center"/>
              <w:rPr>
                <w:rFonts w:ascii="仿宋_GB2312" w:eastAsia="仿宋_GB2312" w:hAnsiTheme="minorEastAsia"/>
                <w:b/>
                <w:color w:val="auto"/>
                <w:sz w:val="28"/>
                <w:szCs w:val="28"/>
                <w:highlight w:val="none"/>
              </w:rPr>
            </w:pPr>
            <w:r>
              <w:rPr>
                <w:rFonts w:hint="eastAsia" w:ascii="仿宋_GB2312" w:eastAsia="仿宋_GB2312" w:hAnsiTheme="minorEastAsia"/>
                <w:b/>
                <w:color w:val="auto"/>
                <w:sz w:val="28"/>
                <w:szCs w:val="28"/>
                <w:highlight w:val="none"/>
              </w:rPr>
              <w:t xml:space="preserve">本金 </w:t>
            </w:r>
          </w:p>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（万元）</w:t>
            </w:r>
          </w:p>
        </w:tc>
        <w:tc>
          <w:tcPr>
            <w:tcW w:w="187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发生日期</w:t>
            </w:r>
          </w:p>
        </w:tc>
        <w:tc>
          <w:tcPr>
            <w:tcW w:w="1740" w:type="dxa"/>
            <w:vAlign w:val="center"/>
          </w:tcPr>
          <w:p>
            <w:pPr>
              <w:spacing w:line="280" w:lineRule="exact"/>
              <w:jc w:val="center"/>
              <w:rPr>
                <w:rFonts w:ascii="仿宋_GB2312" w:eastAsia="仿宋_GB2312" w:hAnsiTheme="minorEastAsia"/>
                <w:b/>
                <w:color w:val="auto"/>
                <w:sz w:val="28"/>
                <w:szCs w:val="28"/>
                <w:highlight w:val="none"/>
              </w:rPr>
            </w:pPr>
            <w:r>
              <w:rPr>
                <w:rFonts w:hint="eastAsia" w:ascii="仿宋_GB2312" w:eastAsia="仿宋_GB2312" w:hAnsiTheme="minorEastAsia"/>
                <w:b/>
                <w:color w:val="auto"/>
                <w:sz w:val="28"/>
                <w:szCs w:val="28"/>
                <w:highlight w:val="none"/>
              </w:rPr>
              <w:t>标的公司</w:t>
            </w:r>
          </w:p>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应付日期</w:t>
            </w:r>
          </w:p>
        </w:tc>
        <w:tc>
          <w:tcPr>
            <w:tcW w:w="1155" w:type="dxa"/>
            <w:vAlign w:val="center"/>
          </w:tcPr>
          <w:p>
            <w:pPr>
              <w:spacing w:line="280" w:lineRule="exact"/>
              <w:jc w:val="center"/>
              <w:rPr>
                <w:rFonts w:ascii="仿宋_GB2312" w:eastAsia="仿宋_GB2312" w:hAnsiTheme="minorEastAsia"/>
                <w:b/>
                <w:color w:val="auto"/>
                <w:sz w:val="28"/>
                <w:szCs w:val="28"/>
                <w:highlight w:val="none"/>
              </w:rPr>
            </w:pPr>
            <w:r>
              <w:rPr>
                <w:rFonts w:hint="eastAsia" w:ascii="仿宋_GB2312" w:eastAsia="仿宋_GB2312" w:hAnsiTheme="minorEastAsia"/>
                <w:b/>
                <w:color w:val="auto"/>
                <w:sz w:val="28"/>
                <w:szCs w:val="28"/>
                <w:highlight w:val="none"/>
              </w:rPr>
              <w:t>年利率</w:t>
            </w:r>
          </w:p>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w:t>
            </w:r>
          </w:p>
        </w:tc>
        <w:tc>
          <w:tcPr>
            <w:tcW w:w="1591" w:type="dxa"/>
            <w:vAlign w:val="center"/>
          </w:tcPr>
          <w:p>
            <w:pPr>
              <w:autoSpaceDE w:val="0"/>
              <w:autoSpaceDN w:val="0"/>
              <w:adjustRightInd w:val="0"/>
              <w:spacing w:line="500" w:lineRule="exact"/>
              <w:jc w:val="center"/>
              <w:rPr>
                <w:rFonts w:ascii="宋体" w:hAnsi="宋体" w:cs="宋体"/>
                <w:color w:val="auto"/>
                <w:sz w:val="28"/>
                <w:szCs w:val="28"/>
                <w:highlight w:val="none"/>
              </w:rPr>
            </w:pPr>
            <w:r>
              <w:rPr>
                <w:rFonts w:hint="eastAsia" w:ascii="仿宋_GB2312" w:eastAsia="仿宋_GB2312" w:hAnsiTheme="minorEastAsia"/>
                <w:b/>
                <w:color w:val="auto"/>
                <w:sz w:val="28"/>
                <w:szCs w:val="2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1</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1000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2020.8.5.</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2021.8.4.</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591" w:type="dxa"/>
            <w:vAlign w:val="center"/>
          </w:tcPr>
          <w:p>
            <w:pPr>
              <w:spacing w:line="280" w:lineRule="exact"/>
              <w:jc w:val="center"/>
              <w:rPr>
                <w:rFonts w:ascii="仿宋_GB2312" w:eastAsia="仿宋_GB2312" w:hAnsiTheme="minorEastAsia"/>
                <w:color w:val="auto"/>
                <w:sz w:val="24"/>
                <w:highlight w:val="none"/>
              </w:rPr>
            </w:pPr>
            <w:r>
              <w:rPr>
                <w:rFonts w:hint="eastAsia" w:ascii="仿宋_GB2312" w:eastAsia="仿宋_GB2312" w:hAnsiTheme="minorEastAsia"/>
                <w:color w:val="auto"/>
                <w:sz w:val="24"/>
                <w:highlight w:val="none"/>
              </w:rPr>
              <w:t>已续期一年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1000</w:t>
            </w:r>
          </w:p>
        </w:tc>
        <w:tc>
          <w:tcPr>
            <w:tcW w:w="187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2020.10.13.</w:t>
            </w:r>
          </w:p>
        </w:tc>
        <w:tc>
          <w:tcPr>
            <w:tcW w:w="1740"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2021.10.12.</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591" w:type="dxa"/>
            <w:vMerge w:val="restart"/>
            <w:vAlign w:val="center"/>
          </w:tcPr>
          <w:p>
            <w:pPr>
              <w:spacing w:line="280" w:lineRule="exact"/>
              <w:jc w:val="center"/>
              <w:rPr>
                <w:rFonts w:ascii="仿宋_GB2312" w:eastAsia="仿宋_GB2312" w:hAnsiTheme="minorEastAsia"/>
                <w:color w:val="auto"/>
                <w:sz w:val="24"/>
                <w:highlight w:val="none"/>
              </w:rPr>
            </w:pPr>
            <w:r>
              <w:rPr>
                <w:rFonts w:hint="eastAsia" w:ascii="仿宋_GB2312" w:eastAsia="仿宋_GB2312" w:hAnsiTheme="minorEastAsia"/>
                <w:color w:val="auto"/>
                <w:sz w:val="24"/>
                <w:highlight w:val="none"/>
              </w:rPr>
              <w:t>详见《资金占用协议》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3</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2500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2020.11.16.</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2021.11.15.</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6.8</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4</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9000</w:t>
            </w:r>
          </w:p>
        </w:tc>
        <w:tc>
          <w:tcPr>
            <w:tcW w:w="187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2021.3.8.</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2022.3.7.</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5</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4500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2021.4.27.</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2022.4.26.</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5.8</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2100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2021.5.18.</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2022.5.17.</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6.8</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7</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5000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2021.6.5.</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2022.6.4.</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8</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4500</w:t>
            </w:r>
          </w:p>
        </w:tc>
        <w:tc>
          <w:tcPr>
            <w:tcW w:w="1875"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2021.6.19.</w:t>
            </w:r>
          </w:p>
        </w:tc>
        <w:tc>
          <w:tcPr>
            <w:tcW w:w="1740" w:type="dxa"/>
            <w:vAlign w:val="center"/>
          </w:tcPr>
          <w:p>
            <w:pPr>
              <w:spacing w:line="280" w:lineRule="exact"/>
              <w:jc w:val="center"/>
              <w:rPr>
                <w:rFonts w:ascii="宋体" w:hAnsi="宋体" w:eastAsia="仿宋_GB2312" w:cs="宋体"/>
                <w:color w:val="auto"/>
                <w:sz w:val="28"/>
                <w:szCs w:val="28"/>
                <w:highlight w:val="none"/>
              </w:rPr>
            </w:pPr>
            <w:r>
              <w:rPr>
                <w:rFonts w:hint="eastAsia" w:ascii="仿宋_GB2312" w:eastAsia="仿宋_GB2312" w:hAnsiTheme="minorEastAsia"/>
                <w:color w:val="auto"/>
                <w:sz w:val="24"/>
                <w:highlight w:val="none"/>
              </w:rPr>
              <w:t>2022.6.18.</w:t>
            </w:r>
          </w:p>
        </w:tc>
        <w:tc>
          <w:tcPr>
            <w:tcW w:w="1155"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color w:val="auto"/>
                <w:sz w:val="24"/>
                <w:highlight w:val="none"/>
              </w:rPr>
              <w:t>6</w:t>
            </w:r>
          </w:p>
        </w:tc>
        <w:tc>
          <w:tcPr>
            <w:tcW w:w="1591" w:type="dxa"/>
            <w:vMerge w:val="continue"/>
            <w:vAlign w:val="center"/>
          </w:tcPr>
          <w:p>
            <w:pPr>
              <w:autoSpaceDE w:val="0"/>
              <w:autoSpaceDN w:val="0"/>
              <w:adjustRightInd w:val="0"/>
              <w:spacing w:line="500" w:lineRule="exact"/>
              <w:jc w:val="center"/>
              <w:rPr>
                <w:rFonts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4"/>
                <w:highlight w:val="none"/>
              </w:rPr>
              <w:t>合计</w:t>
            </w:r>
          </w:p>
        </w:tc>
        <w:tc>
          <w:tcPr>
            <w:tcW w:w="1333" w:type="dxa"/>
            <w:vAlign w:val="center"/>
          </w:tcPr>
          <w:p>
            <w:pPr>
              <w:spacing w:line="280" w:lineRule="exact"/>
              <w:jc w:val="center"/>
              <w:rPr>
                <w:rFonts w:ascii="宋体" w:hAnsi="宋体" w:cs="宋体"/>
                <w:color w:val="auto"/>
                <w:sz w:val="28"/>
                <w:szCs w:val="28"/>
                <w:highlight w:val="none"/>
              </w:rPr>
            </w:pPr>
            <w:r>
              <w:rPr>
                <w:rFonts w:hint="eastAsia" w:ascii="仿宋_GB2312" w:eastAsia="仿宋_GB2312" w:hAnsiTheme="minorEastAsia"/>
                <w:b/>
                <w:color w:val="auto"/>
                <w:sz w:val="24"/>
                <w:highlight w:val="none"/>
              </w:rPr>
              <w:t>29600</w:t>
            </w:r>
          </w:p>
        </w:tc>
        <w:tc>
          <w:tcPr>
            <w:tcW w:w="1875" w:type="dxa"/>
            <w:vAlign w:val="center"/>
          </w:tcPr>
          <w:p>
            <w:pPr>
              <w:spacing w:line="280" w:lineRule="exact"/>
              <w:jc w:val="center"/>
              <w:rPr>
                <w:rFonts w:ascii="宋体" w:hAnsi="宋体" w:cs="宋体"/>
                <w:color w:val="auto"/>
                <w:sz w:val="28"/>
                <w:szCs w:val="28"/>
                <w:highlight w:val="none"/>
              </w:rPr>
            </w:pPr>
          </w:p>
        </w:tc>
        <w:tc>
          <w:tcPr>
            <w:tcW w:w="1740" w:type="dxa"/>
            <w:vAlign w:val="center"/>
          </w:tcPr>
          <w:p>
            <w:pPr>
              <w:spacing w:line="280" w:lineRule="exact"/>
              <w:jc w:val="center"/>
              <w:rPr>
                <w:rFonts w:ascii="宋体" w:hAnsi="宋体" w:cs="宋体"/>
                <w:color w:val="auto"/>
                <w:sz w:val="28"/>
                <w:szCs w:val="28"/>
                <w:highlight w:val="none"/>
              </w:rPr>
            </w:pPr>
          </w:p>
        </w:tc>
        <w:tc>
          <w:tcPr>
            <w:tcW w:w="1155" w:type="dxa"/>
            <w:vAlign w:val="center"/>
          </w:tcPr>
          <w:p>
            <w:pPr>
              <w:spacing w:line="280" w:lineRule="exact"/>
              <w:jc w:val="center"/>
              <w:rPr>
                <w:rFonts w:ascii="宋体" w:hAnsi="宋体" w:cs="宋体"/>
                <w:color w:val="auto"/>
                <w:sz w:val="28"/>
                <w:szCs w:val="28"/>
                <w:highlight w:val="none"/>
              </w:rPr>
            </w:pPr>
          </w:p>
        </w:tc>
        <w:tc>
          <w:tcPr>
            <w:tcW w:w="1591" w:type="dxa"/>
            <w:vAlign w:val="center"/>
          </w:tcPr>
          <w:p>
            <w:pPr>
              <w:autoSpaceDE w:val="0"/>
              <w:autoSpaceDN w:val="0"/>
              <w:adjustRightInd w:val="0"/>
              <w:spacing w:line="500" w:lineRule="exact"/>
              <w:jc w:val="center"/>
              <w:rPr>
                <w:rFonts w:ascii="宋体" w:hAnsi="宋体" w:cs="宋体"/>
                <w:color w:val="auto"/>
                <w:sz w:val="28"/>
                <w:szCs w:val="28"/>
                <w:highlight w:val="none"/>
              </w:rPr>
            </w:pPr>
          </w:p>
        </w:tc>
      </w:tr>
    </w:tbl>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1.在本次产权转让预公告至正式公告期间，上述序号1债权于2021年8月4日到期，此笔债权已于2021年8月5日完成续期一年手续，期限为2021年8月5日至2022年8月4日，年利率6%；</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2.转让方对标的公司的2.96亿元债权，利息已结清至2021年7月31日。</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280" w:firstLineChars="100"/>
        <w:textAlignment w:val="auto"/>
        <w:rPr>
          <w:rFonts w:ascii="宋体" w:hAnsi="宋体" w:cs="宋体"/>
          <w:color w:val="auto"/>
          <w:sz w:val="28"/>
          <w:szCs w:val="28"/>
          <w:highlight w:val="none"/>
        </w:rPr>
      </w:pPr>
      <w:r>
        <w:rPr>
          <w:rFonts w:hint="eastAsia" w:ascii="宋体" w:hAnsi="宋体"/>
          <w:color w:val="auto"/>
          <w:kern w:val="0"/>
          <w:sz w:val="28"/>
          <w:szCs w:val="28"/>
          <w:highlight w:val="none"/>
        </w:rPr>
        <w:t>★3.</w:t>
      </w:r>
      <w:r>
        <w:rPr>
          <w:rFonts w:hint="eastAsia" w:ascii="宋体" w:hAnsi="宋体" w:cs="宋体"/>
          <w:color w:val="auto"/>
          <w:sz w:val="28"/>
          <w:szCs w:val="28"/>
          <w:highlight w:val="none"/>
        </w:rPr>
        <w:t>本次产权转让预公告至转让期间，标的公司因支付工程款等需要，转让方对标的公司新增一笔4000万元债权，期限为2021年8月4日至2021年11月3日，年利率5.8%。</w:t>
      </w:r>
    </w:p>
    <w:p>
      <w:pPr>
        <w:keepNext w:val="0"/>
        <w:keepLines w:val="0"/>
        <w:pageBreakBefore w:val="0"/>
        <w:widowControl/>
        <w:shd w:val="clear" w:color="auto" w:fill="FFFFFF"/>
        <w:kinsoku/>
        <w:wordWrap/>
        <w:overflowPunct/>
        <w:topLinePunct w:val="0"/>
        <w:autoSpaceDE/>
        <w:autoSpaceDN/>
        <w:bidi w:val="0"/>
        <w:adjustRightInd/>
        <w:snapToGrid/>
        <w:spacing w:before="63" w:beforeLines="20" w:after="63" w:afterLines="20" w:line="500" w:lineRule="exact"/>
        <w:ind w:firstLine="562" w:firstLineChars="200"/>
        <w:jc w:val="left"/>
        <w:textAlignment w:val="auto"/>
        <w:rPr>
          <w:color w:val="auto"/>
          <w:kern w:val="0"/>
          <w:sz w:val="28"/>
          <w:szCs w:val="28"/>
          <w:highlight w:val="none"/>
        </w:rPr>
      </w:pPr>
      <w:r>
        <w:rPr>
          <w:rFonts w:hint="eastAsia" w:ascii="宋体" w:hAnsi="宋体" w:cs="宋体"/>
          <w:b/>
          <w:bCs/>
          <w:color w:val="auto"/>
          <w:sz w:val="28"/>
          <w:szCs w:val="28"/>
          <w:highlight w:val="none"/>
        </w:rPr>
        <w:t>五、转让行为的决策及批准情况</w:t>
      </w:r>
    </w:p>
    <w:p>
      <w:pPr>
        <w:keepNext w:val="0"/>
        <w:keepLines w:val="0"/>
        <w:pageBreakBefore w:val="0"/>
        <w:tabs>
          <w:tab w:val="left" w:pos="360"/>
          <w:tab w:val="left" w:pos="540"/>
          <w:tab w:val="left" w:pos="1260"/>
        </w:tabs>
        <w:kinsoku/>
        <w:wordWrap/>
        <w:overflowPunct/>
        <w:topLinePunct w:val="0"/>
        <w:autoSpaceDE/>
        <w:autoSpaceDN/>
        <w:bidi w:val="0"/>
        <w:adjustRightInd/>
        <w:snapToGrid/>
        <w:spacing w:line="480" w:lineRule="exact"/>
        <w:ind w:firstLine="560" w:firstLineChars="200"/>
        <w:jc w:val="left"/>
        <w:textAlignment w:val="auto"/>
        <w:rPr>
          <w:rFonts w:ascii="宋体" w:hAnsi="宋体"/>
          <w:color w:val="auto"/>
          <w:sz w:val="28"/>
          <w:szCs w:val="28"/>
          <w:highlight w:val="none"/>
        </w:rPr>
      </w:pPr>
      <w:r>
        <w:rPr>
          <w:rFonts w:hint="eastAsia" w:ascii="宋体" w:hAnsi="宋体"/>
          <w:color w:val="auto"/>
          <w:sz w:val="28"/>
          <w:szCs w:val="28"/>
          <w:highlight w:val="none"/>
        </w:rPr>
        <w:t>1.标的公司股东内部决定同意本次产权转让；</w:t>
      </w:r>
    </w:p>
    <w:p>
      <w:pPr>
        <w:keepNext w:val="0"/>
        <w:keepLines w:val="0"/>
        <w:pageBreakBefore w:val="0"/>
        <w:tabs>
          <w:tab w:val="left" w:pos="360"/>
          <w:tab w:val="left" w:pos="540"/>
          <w:tab w:val="left" w:pos="1260"/>
        </w:tabs>
        <w:kinsoku/>
        <w:wordWrap/>
        <w:overflowPunct/>
        <w:topLinePunct w:val="0"/>
        <w:autoSpaceDE/>
        <w:autoSpaceDN/>
        <w:bidi w:val="0"/>
        <w:adjustRightInd/>
        <w:snapToGrid/>
        <w:spacing w:line="480" w:lineRule="exact"/>
        <w:ind w:firstLine="560" w:firstLineChars="200"/>
        <w:jc w:val="left"/>
        <w:textAlignment w:val="auto"/>
        <w:rPr>
          <w:rFonts w:ascii="宋体" w:hAnsi="宋体"/>
          <w:color w:val="auto"/>
          <w:sz w:val="28"/>
          <w:szCs w:val="28"/>
          <w:highlight w:val="none"/>
        </w:rPr>
      </w:pPr>
      <w:r>
        <w:rPr>
          <w:rFonts w:hint="eastAsia" w:ascii="宋体" w:hAnsi="宋体"/>
          <w:color w:val="auto"/>
          <w:sz w:val="28"/>
          <w:szCs w:val="28"/>
          <w:highlight w:val="none"/>
        </w:rPr>
        <w:t>2.义乌市产业投资发展集团有限公司召开“三重一大”会议同意本次转让；</w:t>
      </w:r>
    </w:p>
    <w:p>
      <w:pPr>
        <w:keepNext w:val="0"/>
        <w:keepLines w:val="0"/>
        <w:pageBreakBefore w:val="0"/>
        <w:tabs>
          <w:tab w:val="left" w:pos="360"/>
          <w:tab w:val="left" w:pos="540"/>
          <w:tab w:val="left" w:pos="1260"/>
        </w:tabs>
        <w:kinsoku/>
        <w:wordWrap/>
        <w:overflowPunct/>
        <w:topLinePunct w:val="0"/>
        <w:autoSpaceDE/>
        <w:autoSpaceDN/>
        <w:bidi w:val="0"/>
        <w:adjustRightInd/>
        <w:snapToGrid/>
        <w:spacing w:line="480" w:lineRule="exact"/>
        <w:ind w:firstLine="560" w:firstLineChars="200"/>
        <w:jc w:val="left"/>
        <w:textAlignment w:val="auto"/>
        <w:rPr>
          <w:rFonts w:ascii="宋体" w:hAnsi="宋体"/>
          <w:color w:val="auto"/>
          <w:sz w:val="28"/>
          <w:szCs w:val="28"/>
          <w:highlight w:val="none"/>
        </w:rPr>
      </w:pPr>
      <w:r>
        <w:rPr>
          <w:rFonts w:hint="eastAsia" w:ascii="宋体" w:hAnsi="宋体"/>
          <w:color w:val="auto"/>
          <w:sz w:val="28"/>
          <w:szCs w:val="28"/>
          <w:highlight w:val="none"/>
        </w:rPr>
        <w:t>3.义乌经济技术开发区管理机构整合提升工作指挥部班子召开会议，形成会议纪要（义开发指[2021]42号），同意本次产权转让；</w:t>
      </w:r>
    </w:p>
    <w:p>
      <w:pPr>
        <w:keepNext w:val="0"/>
        <w:keepLines w:val="0"/>
        <w:pageBreakBefore w:val="0"/>
        <w:widowControl/>
        <w:shd w:val="clear" w:color="auto" w:fill="FFFFFF"/>
        <w:kinsoku/>
        <w:wordWrap/>
        <w:overflowPunct/>
        <w:topLinePunct w:val="0"/>
        <w:autoSpaceDE/>
        <w:autoSpaceDN/>
        <w:bidi w:val="0"/>
        <w:adjustRightInd/>
        <w:snapToGrid/>
        <w:spacing w:line="480" w:lineRule="exact"/>
        <w:ind w:firstLine="560" w:firstLineChars="200"/>
        <w:textAlignment w:val="auto"/>
        <w:rPr>
          <w:color w:val="auto"/>
          <w:kern w:val="0"/>
          <w:sz w:val="28"/>
          <w:szCs w:val="28"/>
          <w:highlight w:val="none"/>
        </w:rPr>
      </w:pPr>
      <w:r>
        <w:rPr>
          <w:rFonts w:hint="eastAsia" w:ascii="宋体" w:hAnsi="宋体"/>
          <w:color w:val="auto"/>
          <w:sz w:val="28"/>
          <w:szCs w:val="28"/>
          <w:highlight w:val="none"/>
        </w:rPr>
        <w:t>4.义乌市抓项目促发展工作领导小组召开会议，形成会议纪要（中共义乌市委办公室[2021]17号），同意本次产权转让。</w:t>
      </w:r>
    </w:p>
    <w:p>
      <w:pPr>
        <w:keepNext w:val="0"/>
        <w:keepLines w:val="0"/>
        <w:pageBreakBefore w:val="0"/>
        <w:widowControl/>
        <w:shd w:val="clear" w:color="auto" w:fill="FFFFFF"/>
        <w:kinsoku/>
        <w:wordWrap/>
        <w:overflowPunct/>
        <w:topLinePunct w:val="0"/>
        <w:autoSpaceDE/>
        <w:autoSpaceDN/>
        <w:bidi w:val="0"/>
        <w:adjustRightInd/>
        <w:snapToGrid/>
        <w:spacing w:before="63" w:beforeLines="20" w:after="63" w:afterLines="20" w:line="500" w:lineRule="exact"/>
        <w:ind w:firstLine="562" w:firstLineChars="200"/>
        <w:jc w:val="left"/>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六、资产评估备案情况</w:t>
      </w:r>
    </w:p>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本次产权转让经第三方机构浙江明瑞资产评估有限公司对标的公司2021年5月31日之前的资产进行评估确定[（浙明瑞评字（2021）第012号]，标的公司100%股权评估价值为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32918.02</w:t>
      </w:r>
      <w:r>
        <w:rPr>
          <w:rFonts w:hint="eastAsia" w:ascii="宋体" w:hAnsi="宋体" w:cs="宋体"/>
          <w:color w:val="auto"/>
          <w:sz w:val="28"/>
          <w:szCs w:val="28"/>
          <w:highlight w:val="none"/>
        </w:rPr>
        <w:t>万元。评估基准日为：2021年5月31日。</w:t>
      </w:r>
    </w:p>
    <w:p>
      <w:pPr>
        <w:keepNext w:val="0"/>
        <w:keepLines w:val="0"/>
        <w:pageBreakBefore w:val="0"/>
        <w:widowControl/>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hint="default" w:eastAsia="宋体"/>
          <w:color w:val="auto"/>
          <w:kern w:val="0"/>
          <w:sz w:val="28"/>
          <w:szCs w:val="28"/>
          <w:highlight w:val="none"/>
          <w:lang w:val="en-US" w:eastAsia="zh-CN"/>
        </w:rPr>
      </w:pPr>
      <w:r>
        <w:rPr>
          <w:rFonts w:hint="eastAsia"/>
          <w:color w:val="auto"/>
          <w:kern w:val="0"/>
          <w:sz w:val="28"/>
          <w:szCs w:val="28"/>
          <w:highlight w:val="none"/>
        </w:rPr>
        <w:t>该评估报告经义乌市人民政府国有资产监督管理委员会于</w:t>
      </w:r>
      <w:r>
        <w:rPr>
          <w:rFonts w:hint="eastAsia" w:ascii="宋体" w:hAnsi="宋体" w:eastAsia="宋体" w:cs="宋体"/>
          <w:color w:val="auto"/>
          <w:kern w:val="0"/>
          <w:sz w:val="28"/>
          <w:szCs w:val="28"/>
          <w:highlight w:val="none"/>
        </w:rPr>
        <w:t>2021</w:t>
      </w:r>
      <w:r>
        <w:rPr>
          <w:rFonts w:hint="eastAsia"/>
          <w:color w:val="auto"/>
          <w:kern w:val="0"/>
          <w:sz w:val="28"/>
          <w:szCs w:val="28"/>
          <w:highlight w:val="none"/>
        </w:rPr>
        <w:t>年</w:t>
      </w:r>
      <w:r>
        <w:rPr>
          <w:rFonts w:hint="eastAsia"/>
          <w:color w:val="auto"/>
          <w:kern w:val="0"/>
          <w:sz w:val="28"/>
          <w:szCs w:val="28"/>
          <w:highlight w:val="none"/>
          <w:lang w:val="en-US" w:eastAsia="zh-CN"/>
        </w:rPr>
        <w:t>8</w:t>
      </w:r>
      <w:r>
        <w:rPr>
          <w:rFonts w:hint="eastAsia"/>
          <w:color w:val="auto"/>
          <w:kern w:val="0"/>
          <w:sz w:val="28"/>
          <w:szCs w:val="28"/>
          <w:highlight w:val="none"/>
        </w:rPr>
        <w:t>月</w:t>
      </w:r>
      <w:r>
        <w:rPr>
          <w:rFonts w:hint="eastAsia"/>
          <w:color w:val="auto"/>
          <w:kern w:val="0"/>
          <w:sz w:val="28"/>
          <w:szCs w:val="28"/>
          <w:highlight w:val="none"/>
          <w:lang w:val="en-US" w:eastAsia="zh-CN"/>
        </w:rPr>
        <w:t>18</w:t>
      </w:r>
      <w:r>
        <w:rPr>
          <w:rFonts w:hint="eastAsia"/>
          <w:color w:val="auto"/>
          <w:kern w:val="0"/>
          <w:sz w:val="28"/>
          <w:szCs w:val="28"/>
          <w:highlight w:val="none"/>
        </w:rPr>
        <w:t>日核准，核准编号：</w:t>
      </w:r>
      <w:r>
        <w:rPr>
          <w:rFonts w:hint="eastAsia"/>
          <w:color w:val="auto"/>
          <w:kern w:val="0"/>
          <w:sz w:val="28"/>
          <w:szCs w:val="28"/>
          <w:highlight w:val="none"/>
          <w:lang w:val="en-US" w:eastAsia="zh-CN"/>
        </w:rPr>
        <w:t>202104。</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color w:val="auto"/>
          <w:sz w:val="28"/>
          <w:szCs w:val="28"/>
          <w:highlight w:val="none"/>
        </w:rPr>
      </w:pPr>
      <w:r>
        <w:rPr>
          <w:rFonts w:hint="eastAsia" w:ascii="宋体" w:hAnsi="宋体" w:cs="宋体"/>
          <w:b/>
          <w:color w:val="auto"/>
          <w:sz w:val="28"/>
          <w:szCs w:val="28"/>
          <w:highlight w:val="none"/>
        </w:rPr>
        <w:t>七、转让底价</w:t>
      </w:r>
      <w:r>
        <w:rPr>
          <w:rFonts w:hint="eastAsia" w:ascii="宋体" w:hAnsi="宋体" w:cs="宋体"/>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本项目挂牌转让底价为</w:t>
      </w:r>
      <w:r>
        <w:rPr>
          <w:rFonts w:hint="eastAsia" w:ascii="宋体" w:hAnsi="宋体" w:cs="宋体"/>
          <w:color w:val="auto"/>
          <w:sz w:val="28"/>
          <w:szCs w:val="28"/>
          <w:highlight w:val="none"/>
          <w:lang w:val="en-US" w:eastAsia="zh-CN"/>
        </w:rPr>
        <w:t>人民币63200万</w:t>
      </w:r>
      <w:r>
        <w:rPr>
          <w:rFonts w:hint="eastAsia" w:ascii="宋体" w:hAnsi="宋体" w:cs="宋体"/>
          <w:color w:val="auto"/>
          <w:sz w:val="28"/>
          <w:szCs w:val="28"/>
          <w:highlight w:val="none"/>
        </w:rPr>
        <w:t>元，其中标的公司100%股权对应转让底价为人民币</w:t>
      </w:r>
      <w:r>
        <w:rPr>
          <w:rFonts w:hint="eastAsia" w:ascii="宋体" w:hAnsi="宋体" w:cs="宋体"/>
          <w:color w:val="auto"/>
          <w:sz w:val="28"/>
          <w:szCs w:val="28"/>
          <w:highlight w:val="none"/>
          <w:lang w:val="en-US" w:eastAsia="zh-CN"/>
        </w:rPr>
        <w:t>33600万</w:t>
      </w:r>
      <w:r>
        <w:rPr>
          <w:rFonts w:hint="eastAsia" w:ascii="宋体" w:hAnsi="宋体" w:cs="宋体"/>
          <w:color w:val="auto"/>
          <w:sz w:val="28"/>
          <w:szCs w:val="28"/>
          <w:highlight w:val="none"/>
        </w:rPr>
        <w:t>元，债权转让底价为人民币</w:t>
      </w:r>
      <w:r>
        <w:rPr>
          <w:rFonts w:hint="eastAsia" w:ascii="宋体" w:hAnsi="宋体" w:cs="宋体"/>
          <w:color w:val="auto"/>
          <w:sz w:val="28"/>
          <w:szCs w:val="28"/>
          <w:highlight w:val="none"/>
          <w:lang w:val="en-US" w:eastAsia="zh-CN"/>
        </w:rPr>
        <w:t>29600万</w:t>
      </w:r>
      <w:r>
        <w:rPr>
          <w:rFonts w:hint="eastAsia" w:ascii="宋体" w:hAnsi="宋体" w:cs="宋体"/>
          <w:color w:val="auto"/>
          <w:sz w:val="28"/>
          <w:szCs w:val="28"/>
          <w:highlight w:val="none"/>
        </w:rPr>
        <w:t>元。若产生竞价，成交价格的增值部分为股权价格的溢价。本项目不设保留价。</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八、与转让相关的其他条件</w:t>
      </w:r>
    </w:p>
    <w:p>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N w:val="0"/>
        <w:bidi w:val="0"/>
        <w:adjustRightInd w:val="0"/>
        <w:snapToGrid w:val="0"/>
        <w:spacing w:line="480" w:lineRule="exact"/>
        <w:ind w:firstLine="420" w:firstLineChars="15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w:t>
      </w:r>
      <w:r>
        <w:rPr>
          <w:rFonts w:hint="eastAsia" w:ascii="宋体" w:hAnsi="宋体" w:cs="宋体"/>
          <w:b/>
          <w:bCs/>
          <w:color w:val="auto"/>
          <w:sz w:val="28"/>
          <w:szCs w:val="28"/>
          <w:highlight w:val="none"/>
        </w:rPr>
        <w:t>其他交易款项</w:t>
      </w:r>
      <w:r>
        <w:rPr>
          <w:rFonts w:hint="eastAsia" w:ascii="宋体" w:hAnsi="宋体" w:cs="宋体"/>
          <w:color w:val="auto"/>
          <w:sz w:val="28"/>
          <w:szCs w:val="28"/>
          <w:highlight w:val="none"/>
        </w:rPr>
        <w:t>：包括新增4000万元债权本金、2.96亿元债权及新增4000万元债权本金产生的利息。受让方在受让本次产权的同时须一并付清前述两笔款项，未支付前述两笔款项的视为转让价款未及时付清，转让方有权解除产权交易合同并没收保证金。具体如下：</w:t>
      </w:r>
    </w:p>
    <w:p>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N w:val="0"/>
        <w:bidi w:val="0"/>
        <w:adjustRightInd w:val="0"/>
        <w:snapToGrid w:val="0"/>
        <w:spacing w:line="480" w:lineRule="exact"/>
        <w:ind w:firstLine="420" w:firstLineChars="150"/>
        <w:textAlignment w:val="auto"/>
        <w:rPr>
          <w:rFonts w:ascii="宋体" w:hAnsi="宋体" w:cs="宋体"/>
          <w:color w:val="auto"/>
          <w:sz w:val="28"/>
          <w:szCs w:val="28"/>
          <w:highlight w:val="none"/>
        </w:rPr>
      </w:pPr>
      <w:r>
        <w:rPr>
          <w:rFonts w:hint="eastAsia" w:ascii="宋体" w:hAnsi="宋体" w:cs="宋体"/>
          <w:color w:val="auto"/>
          <w:sz w:val="28"/>
          <w:szCs w:val="28"/>
          <w:highlight w:val="none"/>
        </w:rPr>
        <w:t>（1）新增4000万元债权：</w:t>
      </w:r>
    </w:p>
    <w:p>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N w:val="0"/>
        <w:bidi w:val="0"/>
        <w:adjustRightInd w:val="0"/>
        <w:snapToGrid w:val="0"/>
        <w:spacing w:line="480" w:lineRule="exact"/>
        <w:ind w:firstLine="560" w:firstLineChars="200"/>
        <w:textAlignment w:val="auto"/>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本次产权转让预公告至转让期间，转让方对标的公司新增一笔4000万元债权，期限为2021年8月4日至2021年11月3日，年利率5.8%。此笔债权计价人民币4000万元</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受让方须在交纳交易款项时一并付清。</w:t>
      </w:r>
    </w:p>
    <w:p>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N w:val="0"/>
        <w:bidi w:val="0"/>
        <w:adjustRightInd w:val="0"/>
        <w:snapToGrid w:val="0"/>
        <w:spacing w:line="480" w:lineRule="exact"/>
        <w:ind w:firstLine="420" w:firstLineChars="150"/>
        <w:textAlignment w:val="auto"/>
        <w:rPr>
          <w:rFonts w:ascii="宋体" w:hAnsi="宋体" w:cs="宋体"/>
          <w:color w:val="auto"/>
          <w:sz w:val="28"/>
          <w:szCs w:val="28"/>
          <w:highlight w:val="none"/>
        </w:rPr>
      </w:pPr>
      <w:r>
        <w:rPr>
          <w:rFonts w:hint="eastAsia" w:ascii="宋体" w:hAnsi="宋体" w:cs="宋体"/>
          <w:color w:val="auto"/>
          <w:sz w:val="28"/>
          <w:szCs w:val="28"/>
          <w:highlight w:val="none"/>
        </w:rPr>
        <w:t>（2）2.96亿元债权及新增4000万元债权本金产生的利息：</w:t>
      </w:r>
    </w:p>
    <w:p>
      <w:pPr>
        <w:keepNext w:val="0"/>
        <w:keepLines w:val="0"/>
        <w:pageBreakBefore w:val="0"/>
        <w:kinsoku/>
        <w:wordWrap/>
        <w:overflowPunct/>
        <w:topLinePunct w:val="0"/>
        <w:bidi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①目前2.96亿元债权利息已结清至2021年7月31日，受让方须支付2.96亿元债权自2021年8月1日起算、至受让方交纳交易款项之日止的利息；②受让方须支付新增的4000万元债权自2021年8月4日起算、至受让方</w:t>
      </w:r>
      <w:r>
        <w:rPr>
          <w:rFonts w:hint="eastAsia" w:ascii="宋体" w:hAnsi="宋体" w:cs="宋体"/>
          <w:color w:val="auto"/>
          <w:sz w:val="28"/>
          <w:szCs w:val="28"/>
          <w:highlight w:val="none"/>
          <w:lang w:val="en-US" w:eastAsia="zh-CN"/>
        </w:rPr>
        <w:t>交纳</w:t>
      </w:r>
      <w:r>
        <w:rPr>
          <w:rFonts w:hint="eastAsia" w:ascii="宋体" w:hAnsi="宋体" w:cs="宋体"/>
          <w:color w:val="auto"/>
          <w:sz w:val="28"/>
          <w:szCs w:val="28"/>
          <w:highlight w:val="none"/>
        </w:rPr>
        <w:t>交易款项之日止的利息。</w:t>
      </w:r>
    </w:p>
    <w:p>
      <w:pPr>
        <w:keepNext w:val="0"/>
        <w:keepLines w:val="0"/>
        <w:pageBreakBefore w:val="0"/>
        <w:kinsoku/>
        <w:wordWrap/>
        <w:overflowPunct/>
        <w:topLinePunct w:val="0"/>
        <w:bidi w:val="0"/>
        <w:spacing w:line="480" w:lineRule="exact"/>
        <w:ind w:firstLine="560" w:firstLineChars="200"/>
        <w:textAlignment w:val="auto"/>
        <w:rPr>
          <w:rFonts w:ascii="宋体" w:hAnsi="宋体"/>
          <w:color w:val="auto"/>
          <w:kern w:val="0"/>
          <w:sz w:val="28"/>
          <w:szCs w:val="28"/>
          <w:highlight w:val="none"/>
        </w:rPr>
      </w:pPr>
      <w:r>
        <w:rPr>
          <w:rFonts w:hint="eastAsia" w:ascii="宋体" w:hAnsi="宋体"/>
          <w:color w:val="auto"/>
          <w:kern w:val="0"/>
          <w:sz w:val="28"/>
          <w:szCs w:val="28"/>
          <w:highlight w:val="none"/>
        </w:rPr>
        <w:t>利息计算公式：</w:t>
      </w:r>
      <w:r>
        <w:rPr>
          <w:rFonts w:hint="eastAsia" w:ascii="宋体" w:hAnsi="宋体" w:cs="宋体"/>
          <w:color w:val="auto"/>
          <w:sz w:val="28"/>
          <w:szCs w:val="28"/>
          <w:highlight w:val="none"/>
        </w:rPr>
        <w:t>利息=本金*年利率*天数/360，年利率为各债权《资金占用协议》约定的年利率。</w:t>
      </w:r>
    </w:p>
    <w:p>
      <w:pPr>
        <w:keepNext w:val="0"/>
        <w:keepLines w:val="0"/>
        <w:pageBreakBefore w:val="0"/>
        <w:kinsoku/>
        <w:wordWrap/>
        <w:overflowPunct/>
        <w:topLinePunct w:val="0"/>
        <w:autoSpaceDE w:val="0"/>
        <w:autoSpaceDN w:val="0"/>
        <w:bidi w:val="0"/>
        <w:adjustRightInd w:val="0"/>
        <w:spacing w:line="480" w:lineRule="exact"/>
        <w:ind w:firstLine="560" w:firstLineChars="200"/>
        <w:jc w:val="left"/>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（二）受让方受让2.96亿元债权及新增4000万元债权后，自行与标的公司进行债权债务处理，与转让方无涉。</w:t>
      </w:r>
    </w:p>
    <w:p>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N w:val="0"/>
        <w:bidi w:val="0"/>
        <w:adjustRightInd w:val="0"/>
        <w:snapToGrid w:val="0"/>
        <w:spacing w:line="480" w:lineRule="exact"/>
        <w:ind w:firstLine="560" w:firstLineChars="200"/>
        <w:textAlignment w:val="auto"/>
        <w:rPr>
          <w:color w:val="auto"/>
          <w:sz w:val="28"/>
          <w:szCs w:val="28"/>
          <w:highlight w:val="none"/>
        </w:rPr>
      </w:pPr>
      <w:r>
        <w:rPr>
          <w:rFonts w:hint="eastAsia"/>
          <w:color w:val="auto"/>
          <w:sz w:val="28"/>
          <w:szCs w:val="28"/>
          <w:highlight w:val="none"/>
        </w:rPr>
        <w:t>（三）</w:t>
      </w:r>
      <w:r>
        <w:rPr>
          <w:rFonts w:hint="eastAsia" w:ascii="宋体" w:hAnsi="宋体" w:cs="宋体"/>
          <w:color w:val="auto"/>
          <w:sz w:val="28"/>
          <w:szCs w:val="28"/>
          <w:highlight w:val="none"/>
        </w:rPr>
        <w:t>标的公司持有的五宗地块的开工日期</w:t>
      </w:r>
      <w:r>
        <w:rPr>
          <w:rFonts w:hint="eastAsia"/>
          <w:color w:val="auto"/>
          <w:sz w:val="28"/>
          <w:szCs w:val="28"/>
          <w:highlight w:val="none"/>
        </w:rPr>
        <w:t>均已超过《国有建设用地使用权出让合同》中约定的开工日期，因超过约定的开工日期开工而可能产生的土地闲置费、开工、延建违约金等，由受让方自行评估并承担。</w:t>
      </w:r>
    </w:p>
    <w:p>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N w:val="0"/>
        <w:bidi w:val="0"/>
        <w:adjustRightInd w:val="0"/>
        <w:snapToGrid w:val="0"/>
        <w:spacing w:line="480" w:lineRule="exact"/>
        <w:ind w:firstLine="560" w:firstLineChars="200"/>
        <w:textAlignment w:val="auto"/>
        <w:rPr>
          <w:color w:val="auto"/>
          <w:sz w:val="28"/>
          <w:szCs w:val="28"/>
          <w:highlight w:val="none"/>
        </w:rPr>
      </w:pPr>
      <w:r>
        <w:rPr>
          <w:rFonts w:hint="eastAsia" w:ascii="宋体" w:hAnsi="宋体"/>
          <w:color w:val="auto"/>
          <w:sz w:val="28"/>
          <w:szCs w:val="28"/>
          <w:highlight w:val="none"/>
        </w:rPr>
        <w:t>高塘路两侧沿街商服2</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地块、3</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地块、4</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地块的竣工日期</w:t>
      </w:r>
      <w:r>
        <w:rPr>
          <w:rFonts w:hint="eastAsia"/>
          <w:color w:val="auto"/>
          <w:sz w:val="28"/>
          <w:szCs w:val="28"/>
          <w:highlight w:val="none"/>
        </w:rPr>
        <w:t>均已超过《国有建设用地使用权出让合同》中约定的</w:t>
      </w:r>
      <w:r>
        <w:rPr>
          <w:rFonts w:hint="eastAsia" w:ascii="宋体" w:hAnsi="宋体"/>
          <w:color w:val="auto"/>
          <w:sz w:val="28"/>
          <w:szCs w:val="28"/>
          <w:highlight w:val="none"/>
        </w:rPr>
        <w:t>竣工日期。龙祈路北侧沿街商服A地块</w:t>
      </w:r>
      <w:r>
        <w:rPr>
          <w:rFonts w:hint="eastAsia"/>
          <w:color w:val="auto"/>
          <w:sz w:val="28"/>
          <w:szCs w:val="28"/>
          <w:highlight w:val="none"/>
        </w:rPr>
        <w:t>约定的竣工日期为2021年12月20日，</w:t>
      </w:r>
      <w:r>
        <w:rPr>
          <w:rFonts w:hint="eastAsia" w:ascii="宋体" w:hAnsi="宋体"/>
          <w:color w:val="auto"/>
          <w:sz w:val="28"/>
          <w:szCs w:val="28"/>
          <w:highlight w:val="none"/>
        </w:rPr>
        <w:t>龙祈路北侧沿街商服B地块</w:t>
      </w:r>
      <w:r>
        <w:rPr>
          <w:rFonts w:hint="eastAsia"/>
          <w:color w:val="auto"/>
          <w:sz w:val="28"/>
          <w:szCs w:val="28"/>
          <w:highlight w:val="none"/>
        </w:rPr>
        <w:t>约定的竣工日期为2023年6月19日，</w:t>
      </w:r>
      <w:r>
        <w:rPr>
          <w:rFonts w:hint="eastAsia" w:ascii="宋体" w:hAnsi="宋体"/>
          <w:color w:val="auto"/>
          <w:sz w:val="28"/>
          <w:szCs w:val="28"/>
          <w:highlight w:val="none"/>
        </w:rPr>
        <w:t>A地块、B地块</w:t>
      </w:r>
      <w:r>
        <w:rPr>
          <w:rFonts w:hint="eastAsia"/>
          <w:color w:val="auto"/>
          <w:sz w:val="28"/>
          <w:szCs w:val="28"/>
          <w:highlight w:val="none"/>
        </w:rPr>
        <w:t>亦存在延期竣工的风险</w:t>
      </w:r>
      <w:r>
        <w:rPr>
          <w:rFonts w:hint="eastAsia" w:ascii="宋体" w:hAnsi="宋体"/>
          <w:color w:val="auto"/>
          <w:sz w:val="28"/>
          <w:szCs w:val="28"/>
          <w:highlight w:val="none"/>
        </w:rPr>
        <w:t>。</w:t>
      </w:r>
      <w:r>
        <w:rPr>
          <w:rFonts w:hint="eastAsia"/>
          <w:color w:val="auto"/>
          <w:sz w:val="28"/>
          <w:szCs w:val="28"/>
          <w:highlight w:val="none"/>
        </w:rPr>
        <w:t>因超过约定的竣工日期竣工而可能产生的费用、违约金等，由受让方自行评估并承担。</w:t>
      </w:r>
    </w:p>
    <w:p>
      <w:pPr>
        <w:keepNext w:val="0"/>
        <w:keepLines w:val="0"/>
        <w:pageBreakBefore w:val="0"/>
        <w:widowControl/>
        <w:shd w:val="clear" w:color="auto" w:fill="FFFFFF"/>
        <w:kinsoku/>
        <w:wordWrap/>
        <w:overflowPunct/>
        <w:topLinePunct w:val="0"/>
        <w:bidi w:val="0"/>
        <w:spacing w:line="480" w:lineRule="exact"/>
        <w:ind w:firstLine="560" w:firstLineChars="200"/>
        <w:jc w:val="left"/>
        <w:textAlignment w:val="auto"/>
        <w:rPr>
          <w:color w:val="auto"/>
          <w:sz w:val="28"/>
          <w:szCs w:val="28"/>
          <w:highlight w:val="none"/>
        </w:rPr>
      </w:pPr>
      <w:r>
        <w:rPr>
          <w:rFonts w:hint="eastAsia" w:ascii="宋体" w:hAnsi="宋体"/>
          <w:color w:val="auto"/>
          <w:kern w:val="0"/>
          <w:sz w:val="28"/>
          <w:szCs w:val="28"/>
          <w:highlight w:val="none"/>
        </w:rPr>
        <w:t>★</w:t>
      </w:r>
      <w:r>
        <w:rPr>
          <w:rFonts w:hint="eastAsia" w:ascii="宋体" w:hAnsi="宋体" w:cs="宋体"/>
          <w:color w:val="auto"/>
          <w:sz w:val="28"/>
          <w:szCs w:val="28"/>
          <w:highlight w:val="none"/>
        </w:rPr>
        <w:t>在本次产权转让后，如发现在建工程及已完工的不动产存在质量瑕疵致使资产价值贬损的，转让方不承担任何责任，但转让方故意隐瞒转让前已明确发现的质量瑕疵除外。</w:t>
      </w:r>
    </w:p>
    <w:p>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color w:val="auto"/>
          <w:sz w:val="28"/>
          <w:szCs w:val="28"/>
          <w:highlight w:val="none"/>
        </w:rPr>
        <w:t>（四）</w:t>
      </w:r>
      <w:r>
        <w:rPr>
          <w:rFonts w:hint="eastAsia" w:ascii="宋体" w:hAnsi="宋体" w:cs="宋体"/>
          <w:color w:val="auto"/>
          <w:sz w:val="28"/>
          <w:szCs w:val="28"/>
          <w:highlight w:val="none"/>
        </w:rPr>
        <w:t>标的公司的资产评估基准日为2021年5月31日，标的公司资产评估后仍在从事正常的经营活动。评估基准日至产权移交日期间标的公司经营活动所产生的盈利或亏损，由受让后的股东享受或承担。</w:t>
      </w:r>
    </w:p>
    <w:p>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N w:val="0"/>
        <w:bidi w:val="0"/>
        <w:adjustRightInd w:val="0"/>
        <w:snapToGrid w:val="0"/>
        <w:spacing w:line="480" w:lineRule="exact"/>
        <w:ind w:firstLine="560" w:firstLineChars="200"/>
        <w:textAlignment w:val="auto"/>
        <w:rPr>
          <w:color w:val="auto"/>
          <w:kern w:val="0"/>
          <w:sz w:val="28"/>
          <w:szCs w:val="28"/>
          <w:highlight w:val="none"/>
        </w:rPr>
      </w:pPr>
      <w:r>
        <w:rPr>
          <w:rFonts w:hint="eastAsia" w:ascii="宋体" w:hAnsi="宋体" w:cs="宋体"/>
          <w:color w:val="auto"/>
          <w:sz w:val="28"/>
          <w:szCs w:val="28"/>
          <w:highlight w:val="none"/>
        </w:rPr>
        <w:t>（五）</w:t>
      </w:r>
      <w:r>
        <w:rPr>
          <w:rFonts w:hint="eastAsia"/>
          <w:color w:val="auto"/>
          <w:kern w:val="0"/>
          <w:sz w:val="28"/>
          <w:szCs w:val="28"/>
          <w:highlight w:val="none"/>
        </w:rPr>
        <w:t>产权交易中涉及的税赋、有关费用，按国家有关规定由交易双方各自承担。</w:t>
      </w:r>
    </w:p>
    <w:p>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（六）标的公司在义乌高和物业服务有限公司有</w:t>
      </w:r>
      <w:r>
        <w:rPr>
          <w:rFonts w:hint="eastAsia" w:ascii="宋体" w:hAnsi="宋体"/>
          <w:color w:val="auto"/>
          <w:kern w:val="0"/>
          <w:sz w:val="28"/>
          <w:szCs w:val="28"/>
          <w:highlight w:val="none"/>
        </w:rPr>
        <w:t>委派一名监事，本次产权转让后，该监事席位由受让方自行委任。</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九、其他重要事项</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标的公司于2018年竞拍获得义乌高新区龙祈路北侧沿街商服A地块的土地使用权（合同编号330782-2018-A21-107），合同出让面积6182.77平方米，不动产权证载面积6155.62平方米，差异为27.15平方米，导致差异的原因是由于该地块红线与浙江欧意智能厨房股份有限公司、义乌市泓溢针织有限公司地块红线重叠，总重叠面积27.15平方米，其中浙江欧意智能厨房股份有限公司重叠面积20.99平方米，义乌市泓溢针织有限公司重叠面积6.16平方米。标的公司声明放弃该部分重叠面积。</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color w:val="auto"/>
          <w:kern w:val="0"/>
          <w:sz w:val="28"/>
          <w:szCs w:val="28"/>
          <w:highlight w:val="none"/>
        </w:rPr>
        <w:t>（二）</w:t>
      </w:r>
      <w:r>
        <w:rPr>
          <w:rFonts w:hint="eastAsia" w:ascii="宋体" w:hAnsi="宋体" w:cs="宋体"/>
          <w:color w:val="auto"/>
          <w:sz w:val="28"/>
          <w:szCs w:val="28"/>
          <w:highlight w:val="none"/>
        </w:rPr>
        <w:t>根据智汇大厦项目规划条件的规定，要求开发商自持建筑须不少于17000</w:t>
      </w:r>
      <w:r>
        <w:rPr>
          <w:rFonts w:hint="eastAsia" w:ascii="宋体" w:hAnsi="宋体"/>
          <w:color w:val="auto"/>
          <w:sz w:val="28"/>
          <w:szCs w:val="28"/>
          <w:highlight w:val="none"/>
        </w:rPr>
        <w:t xml:space="preserve"> m</w:t>
      </w:r>
      <w:r>
        <w:rPr>
          <w:rFonts w:hint="eastAsia" w:ascii="宋体" w:hAnsi="宋体"/>
          <w:color w:val="auto"/>
          <w:sz w:val="28"/>
          <w:szCs w:val="28"/>
          <w:highlight w:val="none"/>
          <w:vertAlign w:val="superscript"/>
        </w:rPr>
        <w:t>2</w:t>
      </w:r>
      <w:r>
        <w:rPr>
          <w:rFonts w:hint="eastAsia"/>
          <w:color w:val="auto"/>
          <w:kern w:val="0"/>
          <w:sz w:val="28"/>
          <w:szCs w:val="28"/>
          <w:highlight w:val="none"/>
        </w:rPr>
        <w:t>。现智汇大厦约83%商业用房为标的公司自持，</w:t>
      </w:r>
      <w:r>
        <w:rPr>
          <w:rFonts w:hint="eastAsia" w:ascii="宋体" w:hAnsi="宋体"/>
          <w:color w:val="auto"/>
          <w:sz w:val="28"/>
          <w:szCs w:val="28"/>
          <w:highlight w:val="none"/>
        </w:rPr>
        <w:t>建筑面积为17734.37m</w:t>
      </w:r>
      <w:r>
        <w:rPr>
          <w:rFonts w:hint="eastAsia" w:ascii="宋体" w:hAnsi="宋体"/>
          <w:color w:val="auto"/>
          <w:sz w:val="28"/>
          <w:szCs w:val="28"/>
          <w:highlight w:val="none"/>
          <w:vertAlign w:val="superscript"/>
        </w:rPr>
        <w:t>2</w:t>
      </w:r>
      <w:r>
        <w:rPr>
          <w:rFonts w:hint="eastAsia" w:ascii="宋体" w:hAnsi="宋体" w:cs="宋体"/>
          <w:color w:val="auto"/>
          <w:sz w:val="28"/>
          <w:szCs w:val="28"/>
          <w:highlight w:val="none"/>
        </w:rPr>
        <w:t>，该部分商业面积须永久自持，不得转让。</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color w:val="auto"/>
          <w:sz w:val="28"/>
          <w:szCs w:val="28"/>
          <w:highlight w:val="none"/>
        </w:rPr>
        <w:t>（三）智汇大厦商业楼已出租，</w:t>
      </w:r>
      <w:r>
        <w:rPr>
          <w:rFonts w:hint="eastAsia" w:ascii="宋体" w:hAnsi="宋体" w:cs="宋体"/>
          <w:color w:val="auto"/>
          <w:sz w:val="28"/>
          <w:szCs w:val="28"/>
          <w:highlight w:val="none"/>
        </w:rPr>
        <w:t>租赁期至2035年12月，承租方系</w:t>
      </w:r>
      <w:r>
        <w:rPr>
          <w:color w:val="auto"/>
          <w:highlight w:val="none"/>
        </w:rPr>
        <w:fldChar w:fldCharType="begin"/>
      </w:r>
      <w:r>
        <w:rPr>
          <w:color w:val="auto"/>
          <w:highlight w:val="none"/>
        </w:rPr>
        <w:instrText xml:space="preserve"> HYPERLINK "https://www.qixin.com/company/9059e2f8-53d9-4449-92fa-b284df05805a" \t "https://www.qixin.com/_blank" \o "点击查看公司详情" </w:instrText>
      </w:r>
      <w:r>
        <w:rPr>
          <w:color w:val="auto"/>
          <w:highlight w:val="none"/>
        </w:rPr>
        <w:fldChar w:fldCharType="separate"/>
      </w:r>
      <w:r>
        <w:rPr>
          <w:rFonts w:hint="eastAsia" w:ascii="宋体" w:hAnsi="宋体" w:cs="宋体"/>
          <w:color w:val="auto"/>
          <w:sz w:val="28"/>
          <w:szCs w:val="28"/>
          <w:highlight w:val="none"/>
        </w:rPr>
        <w:t>义乌市佳庭汇企业管理有限公司</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t>。目前，承租方有拖欠标的公司水电费，对标的公司的借款有延期返还和未按期返还情况，经标的公司多次催缴，承租方仍未付清上述款项。对于上述款项催缴事宜，由转让后的标的公司自行与承租方处理。</w:t>
      </w:r>
    </w:p>
    <w:p>
      <w:pPr>
        <w:keepNext w:val="0"/>
        <w:keepLines w:val="0"/>
        <w:pageBreakBefore w:val="0"/>
        <w:widowControl w:val="0"/>
        <w:kinsoku/>
        <w:wordWrap/>
        <w:overflowPunct/>
        <w:topLinePunct w:val="0"/>
        <w:autoSpaceDE/>
        <w:bidi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四）2019年12月，因智汇大厦项目商业部分亮化需要，承租方向标的公司提出对承租的商业部分进行亮化工程。经承租方介绍，标的公司进行市场比价，决定由黄山申航机电安装工程有限公司（以下简称“申航机电公司”）对智汇大厦项目商业部分进行亮化。当时确定亮化工程合同价格287058.60元，其中：外墙轮廓线条灯安装合同价186,772.00元，外墙七彩渐变点光源合同价为100,286.60元。标的公司提交议题并由转让方过会同意支付该笔28万余元费用。后承租方为追求整体美观，擅自将智汇大厦公寓楼部分一并做了亮化工程，因此产生了额外的10万余元费用，且因工期紧张，38万余元费用由承租方向申航机电公司垫付。后承租方向标的公司索取亮化工程的38万余元费用，因存在分歧，该问题一直未解决，且申航机电公司不同意标的公司提出的先由申航机电公司退还承租方28万元费用，再由标的公司和申航机电公司签订合同支付28万元费用的解决方案。</w:t>
      </w:r>
    </w:p>
    <w:p>
      <w:pPr>
        <w:keepNext w:val="0"/>
        <w:keepLines w:val="0"/>
        <w:pageBreakBefore w:val="0"/>
        <w:widowControl w:val="0"/>
        <w:kinsoku/>
        <w:wordWrap/>
        <w:overflowPunct/>
        <w:topLinePunct w:val="0"/>
        <w:autoSpaceDE/>
        <w:bidi w:val="0"/>
        <w:spacing w:line="480" w:lineRule="exact"/>
        <w:textAlignment w:val="auto"/>
        <w:rPr>
          <w:rFonts w:ascii="宋体" w:hAnsi="宋体" w:cs="宋体"/>
          <w:color w:val="auto"/>
          <w:sz w:val="28"/>
          <w:szCs w:val="28"/>
          <w:highlight w:val="none"/>
        </w:rPr>
      </w:pPr>
      <w:r>
        <w:rPr>
          <w:rFonts w:hint="eastAsia" w:ascii="宋体" w:hAnsi="宋体" w:cs="宋体"/>
          <w:color w:val="auto"/>
          <w:sz w:val="28"/>
          <w:szCs w:val="28"/>
          <w:highlight w:val="none"/>
        </w:rPr>
        <w:t>以上问题由受让后的标的公司自行与承租方、申航机电公司解决。</w:t>
      </w:r>
    </w:p>
    <w:p>
      <w:pPr>
        <w:keepNext w:val="0"/>
        <w:keepLines w:val="0"/>
        <w:pageBreakBefore w:val="0"/>
        <w:widowControl w:val="0"/>
        <w:kinsoku/>
        <w:wordWrap/>
        <w:overflowPunct/>
        <w:topLinePunct w:val="0"/>
        <w:autoSpaceDE/>
        <w:bidi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五）标的公司已建成房产物业情况：智汇大厦由浙江成翔物业服务有限公司运营管理,签约至2021年6月30日。苏华街2#-4#商住楼由义乌高和物业服务有限公司运营管理,合同签约至2021年7月31日。截至本次产权转让正式公告日，物业合同均已到期，未续约。物业合同签订事宜由转让后的标的公司自行与物业公司协商解决。</w:t>
      </w:r>
    </w:p>
    <w:p>
      <w:pPr>
        <w:keepNext w:val="0"/>
        <w:keepLines w:val="0"/>
        <w:pageBreakBefore w:val="0"/>
        <w:widowControl w:val="0"/>
        <w:kinsoku/>
        <w:wordWrap/>
        <w:overflowPunct/>
        <w:topLinePunct w:val="0"/>
        <w:autoSpaceDE/>
        <w:bidi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（六）受让方在受让该标的后，需按《公司法》规定规范构建法人治理体系，修改经营范围。</w:t>
      </w:r>
    </w:p>
    <w:p>
      <w:pPr>
        <w:keepNext w:val="0"/>
        <w:keepLines w:val="0"/>
        <w:pageBreakBefore w:val="0"/>
        <w:widowControl w:val="0"/>
        <w:kinsoku/>
        <w:wordWrap/>
        <w:overflowPunct/>
        <w:topLinePunct w:val="0"/>
        <w:autoSpaceDE/>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color w:val="auto"/>
          <w:kern w:val="0"/>
          <w:sz w:val="28"/>
          <w:szCs w:val="28"/>
          <w:highlight w:val="none"/>
        </w:rPr>
        <w:t>（七）本次产权转让不涉及职工安置问题</w:t>
      </w:r>
      <w:r>
        <w:rPr>
          <w:rFonts w:hint="eastAsia" w:ascii="宋体" w:hAnsi="宋体" w:cs="宋体"/>
          <w:color w:val="auto"/>
          <w:sz w:val="28"/>
          <w:szCs w:val="28"/>
          <w:highlight w:val="none"/>
        </w:rPr>
        <w:t>。</w:t>
      </w:r>
    </w:p>
    <w:p>
      <w:pPr>
        <w:keepNext w:val="0"/>
        <w:keepLines w:val="0"/>
        <w:pageBreakBefore w:val="0"/>
        <w:widowControl w:val="0"/>
        <w:kinsoku/>
        <w:wordWrap/>
        <w:overflowPunct/>
        <w:topLinePunct w:val="0"/>
        <w:autoSpaceDE/>
        <w:bidi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（八）转让方及标的企业管理层不参与本次产权受让。</w:t>
      </w:r>
    </w:p>
    <w:p>
      <w:pPr>
        <w:keepNext w:val="0"/>
        <w:keepLines w:val="0"/>
        <w:pageBreakBefore w:val="0"/>
        <w:widowControl w:val="0"/>
        <w:kinsoku/>
        <w:wordWrap/>
        <w:overflowPunct/>
        <w:topLinePunct w:val="0"/>
        <w:autoSpaceDE/>
        <w:bidi w:val="0"/>
        <w:spacing w:line="480" w:lineRule="exact"/>
        <w:ind w:firstLine="560" w:firstLineChars="200"/>
        <w:textAlignment w:val="auto"/>
        <w:rPr>
          <w:rFonts w:ascii="宋体" w:hAnsi="宋体" w:cs="宋体"/>
          <w:color w:val="auto"/>
          <w:sz w:val="28"/>
          <w:szCs w:val="28"/>
          <w:highlight w:val="none"/>
        </w:rPr>
      </w:pPr>
      <w:r>
        <w:rPr>
          <w:rFonts w:ascii="宋体" w:hAnsi="宋体" w:cs="宋体"/>
          <w:color w:val="auto"/>
          <w:sz w:val="28"/>
          <w:szCs w:val="28"/>
          <w:highlight w:val="none"/>
        </w:rPr>
        <w:t>（</w:t>
      </w:r>
      <w:r>
        <w:rPr>
          <w:rFonts w:hint="eastAsia" w:ascii="宋体" w:hAnsi="宋体" w:cs="宋体"/>
          <w:color w:val="auto"/>
          <w:sz w:val="28"/>
          <w:szCs w:val="28"/>
          <w:highlight w:val="none"/>
        </w:rPr>
        <w:t>九</w:t>
      </w:r>
      <w:r>
        <w:rPr>
          <w:rFonts w:ascii="宋体" w:hAnsi="宋体" w:cs="宋体"/>
          <w:color w:val="auto"/>
          <w:sz w:val="28"/>
          <w:szCs w:val="28"/>
          <w:highlight w:val="none"/>
        </w:rPr>
        <w:t>）</w:t>
      </w:r>
      <w:r>
        <w:rPr>
          <w:rFonts w:hint="eastAsia" w:ascii="宋体" w:hAnsi="宋体" w:cs="宋体"/>
          <w:color w:val="auto"/>
          <w:sz w:val="28"/>
          <w:szCs w:val="28"/>
          <w:highlight w:val="none"/>
        </w:rPr>
        <w:t>审计报告和评估报告中的保留意见、重要提示、特别事项说明中涉及转让产权的提示提醒等内容见《审计报告》、《资产评估报告》。</w:t>
      </w:r>
    </w:p>
    <w:p>
      <w:pPr>
        <w:keepNext w:val="0"/>
        <w:keepLines w:val="0"/>
        <w:pageBreakBefore w:val="0"/>
        <w:widowControl w:val="0"/>
        <w:kinsoku/>
        <w:wordWrap/>
        <w:overflowPunct/>
        <w:topLinePunct w:val="0"/>
        <w:autoSpaceDE/>
        <w:bidi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（十）标的公司财务交接完成后，转让方对财务交接前标的公司因财务处理瑕疵引起的小额损失（单笔5万元以下）不承担责任。</w:t>
      </w:r>
    </w:p>
    <w:p>
      <w:pPr>
        <w:keepNext w:val="0"/>
        <w:keepLines w:val="0"/>
        <w:pageBreakBefore w:val="0"/>
        <w:widowControl w:val="0"/>
        <w:kinsoku/>
        <w:wordWrap/>
        <w:overflowPunct/>
        <w:topLinePunct w:val="0"/>
        <w:autoSpaceDE/>
        <w:bidi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（十一）标的公司完成交接后，受让方不得以转让方委派人员未尽勤勉义务造成标的公司损</w:t>
      </w:r>
      <w:r>
        <w:rPr>
          <w:rFonts w:hint="eastAsia" w:ascii="宋体" w:hAnsi="宋体" w:cs="宋体"/>
          <w:color w:val="auto"/>
          <w:sz w:val="28"/>
          <w:szCs w:val="28"/>
          <w:highlight w:val="none"/>
          <w:lang w:val="en-US" w:eastAsia="zh-CN"/>
        </w:rPr>
        <w:t>害</w:t>
      </w:r>
      <w:r>
        <w:rPr>
          <w:rFonts w:hint="eastAsia" w:ascii="宋体" w:hAnsi="宋体" w:cs="宋体"/>
          <w:color w:val="auto"/>
          <w:sz w:val="28"/>
          <w:szCs w:val="28"/>
          <w:highlight w:val="none"/>
        </w:rPr>
        <w:t>或者标的公司所签订合同的缺乏合理性为理由要求转让方承担责任，但有恶意损失标的公司利益的情形除外。</w:t>
      </w:r>
    </w:p>
    <w:p>
      <w:pPr>
        <w:keepNext w:val="0"/>
        <w:keepLines w:val="0"/>
        <w:pageBreakBefore w:val="0"/>
        <w:widowControl w:val="0"/>
        <w:kinsoku/>
        <w:wordWrap/>
        <w:overflowPunct/>
        <w:topLinePunct w:val="0"/>
        <w:autoSpaceDE/>
        <w:bidi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（十二）本次转让如因不可抗力及政策性原因，导致挂牌中止，视为不成交，转让方和交易所不负任何责任。意向受让方不得向转让方、交易所追索竞买保证金利息及其他任何费用与责任。</w:t>
      </w:r>
    </w:p>
    <w:p>
      <w:pPr>
        <w:keepNext w:val="0"/>
        <w:keepLines w:val="0"/>
        <w:pageBreakBefore w:val="0"/>
        <w:widowControl w:val="0"/>
        <w:kinsoku/>
        <w:wordWrap/>
        <w:overflowPunct/>
        <w:topLinePunct w:val="0"/>
        <w:autoSpaceDE/>
        <w:bidi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（十三）本次所转让的产权的真实性、完整性及有效性由转让方负责，交易所不负任何责任。</w:t>
      </w:r>
    </w:p>
    <w:p>
      <w:pPr>
        <w:keepNext w:val="0"/>
        <w:keepLines w:val="0"/>
        <w:pageBreakBefore w:val="0"/>
        <w:widowControl w:val="0"/>
        <w:kinsoku/>
        <w:wordWrap/>
        <w:overflowPunct/>
        <w:topLinePunct w:val="0"/>
        <w:autoSpaceDE/>
        <w:bidi w:val="0"/>
        <w:spacing w:line="480" w:lineRule="exact"/>
        <w:ind w:firstLine="560" w:firstLineChars="200"/>
        <w:textAlignment w:val="auto"/>
        <w:rPr>
          <w:color w:val="auto"/>
          <w:kern w:val="0"/>
          <w:sz w:val="28"/>
          <w:szCs w:val="28"/>
          <w:highlight w:val="none"/>
        </w:rPr>
      </w:pPr>
      <w:r>
        <w:rPr>
          <w:rFonts w:hint="eastAsia" w:ascii="宋体" w:hAnsi="宋体" w:cs="宋体"/>
          <w:color w:val="auto"/>
          <w:sz w:val="28"/>
          <w:szCs w:val="28"/>
          <w:highlight w:val="none"/>
        </w:rPr>
        <w:t>（十四）送达地址确认：意向受让方在报名时按交易所提供的格式书写并确认其邮件地址。意向受让方在报名时所填写的送达地址不得拒收，若拒收，仍视为邮件已送达。意向受让方变更送达地址的，应当及时告知，否则仍视为原地址送达。</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十、转让方式、受让对象、义乌公共资源交易平台要求</w:t>
      </w:r>
    </w:p>
    <w:p>
      <w:pPr>
        <w:spacing w:line="500" w:lineRule="exact"/>
        <w:ind w:left="420" w:leftChars="200"/>
        <w:rPr>
          <w:rFonts w:ascii="宋体" w:hAnsi="宋体" w:cs="宋体"/>
          <w:color w:val="auto"/>
          <w:sz w:val="28"/>
          <w:szCs w:val="28"/>
          <w:highlight w:val="none"/>
        </w:rPr>
      </w:pPr>
      <w:r>
        <w:rPr>
          <w:rFonts w:hint="eastAsia" w:ascii="宋体" w:hAnsi="宋体" w:cs="宋体"/>
          <w:color w:val="auto"/>
          <w:sz w:val="28"/>
          <w:szCs w:val="28"/>
          <w:highlight w:val="none"/>
        </w:rPr>
        <w:t>（一）</w:t>
      </w:r>
      <w:r>
        <w:rPr>
          <w:rFonts w:hint="eastAsia" w:ascii="宋体" w:hAnsi="宋体" w:cs="宋体"/>
          <w:b/>
          <w:color w:val="auto"/>
          <w:sz w:val="28"/>
          <w:szCs w:val="28"/>
          <w:highlight w:val="none"/>
        </w:rPr>
        <w:t>转让方式</w:t>
      </w:r>
      <w:r>
        <w:rPr>
          <w:rFonts w:hint="eastAsia" w:ascii="宋体" w:hAnsi="宋体" w:cs="宋体"/>
          <w:color w:val="auto"/>
          <w:sz w:val="28"/>
          <w:szCs w:val="28"/>
          <w:highlight w:val="none"/>
        </w:rPr>
        <w:t>：采用公开挂牌竞价（网络竞价）方式。</w:t>
      </w:r>
      <w:r>
        <w:rPr>
          <w:rFonts w:ascii="宋体" w:hAnsi="宋体" w:cs="宋体"/>
          <w:color w:val="auto"/>
          <w:sz w:val="28"/>
          <w:szCs w:val="28"/>
          <w:highlight w:val="none"/>
        </w:rPr>
        <w:br w:type="textWrapping"/>
      </w:r>
      <w:r>
        <w:rPr>
          <w:rFonts w:ascii="宋体" w:hAnsi="宋体" w:cs="宋体"/>
          <w:color w:val="auto"/>
          <w:sz w:val="28"/>
          <w:szCs w:val="28"/>
          <w:highlight w:val="none"/>
        </w:rPr>
        <w:t>（二）</w:t>
      </w:r>
      <w:r>
        <w:rPr>
          <w:rFonts w:ascii="宋体" w:hAnsi="宋体" w:cs="宋体"/>
          <w:b/>
          <w:color w:val="auto"/>
          <w:sz w:val="28"/>
          <w:szCs w:val="28"/>
          <w:highlight w:val="none"/>
        </w:rPr>
        <w:t>受让对象</w:t>
      </w:r>
      <w:r>
        <w:rPr>
          <w:rFonts w:ascii="宋体" w:hAnsi="宋体" w:cs="宋体"/>
          <w:color w:val="auto"/>
          <w:sz w:val="28"/>
          <w:szCs w:val="28"/>
          <w:highlight w:val="none"/>
        </w:rPr>
        <w:t>：</w:t>
      </w:r>
    </w:p>
    <w:p>
      <w:pPr>
        <w:pStyle w:val="11"/>
        <w:keepNext w:val="0"/>
        <w:keepLines w:val="0"/>
        <w:pageBreakBefore w:val="0"/>
        <w:widowControl w:val="0"/>
        <w:kinsoku/>
        <w:wordWrap/>
        <w:overflowPunct/>
        <w:topLinePunct w:val="0"/>
        <w:bidi w:val="0"/>
        <w:snapToGrid/>
        <w:spacing w:line="480" w:lineRule="exact"/>
        <w:ind w:firstLine="560" w:firstLineChars="200"/>
        <w:textAlignment w:val="auto"/>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1.意向受让方应为在中华人民共和国境内合法注册的企业；意向受让方为自然人的，应当具备完全民事行为能力。</w:t>
      </w:r>
    </w:p>
    <w:p>
      <w:pPr>
        <w:pStyle w:val="11"/>
        <w:keepNext w:val="0"/>
        <w:keepLines w:val="0"/>
        <w:pageBreakBefore w:val="0"/>
        <w:widowControl w:val="0"/>
        <w:kinsoku/>
        <w:wordWrap/>
        <w:overflowPunct/>
        <w:topLinePunct w:val="0"/>
        <w:bidi w:val="0"/>
        <w:snapToGrid/>
        <w:spacing w:line="480" w:lineRule="exact"/>
        <w:ind w:firstLine="560" w:firstLineChars="200"/>
        <w:textAlignment w:val="auto"/>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2.意向受让方为境外投资者的，应当符合外商投资产业指导目录和负面清单管理要求，以及外商投资安全审查有关规定。</w:t>
      </w:r>
    </w:p>
    <w:p>
      <w:pPr>
        <w:pStyle w:val="11"/>
        <w:keepNext w:val="0"/>
        <w:keepLines w:val="0"/>
        <w:pageBreakBefore w:val="0"/>
        <w:widowControl w:val="0"/>
        <w:kinsoku/>
        <w:wordWrap/>
        <w:overflowPunct/>
        <w:topLinePunct w:val="0"/>
        <w:bidi w:val="0"/>
        <w:snapToGrid/>
        <w:spacing w:line="480" w:lineRule="exact"/>
        <w:ind w:firstLine="560" w:firstLineChars="200"/>
        <w:textAlignment w:val="auto"/>
        <w:rPr>
          <w:rFonts w:ascii="宋体" w:hAnsi="宋体" w:eastAsia="宋体" w:cs="宋体"/>
          <w:color w:val="auto"/>
          <w:sz w:val="28"/>
          <w:szCs w:val="28"/>
          <w:highlight w:val="none"/>
        </w:rPr>
      </w:pPr>
      <w:r>
        <w:rPr>
          <w:rFonts w:ascii="宋体" w:hAnsi="宋体" w:cs="宋体"/>
          <w:color w:val="auto"/>
          <w:sz w:val="28"/>
          <w:szCs w:val="28"/>
          <w:highlight w:val="none"/>
        </w:rPr>
        <w:t>（</w:t>
      </w:r>
      <w:r>
        <w:rPr>
          <w:rFonts w:hint="eastAsia" w:ascii="宋体" w:hAnsi="宋体" w:eastAsia="宋体" w:cs="宋体"/>
          <w:color w:val="auto"/>
          <w:sz w:val="28"/>
          <w:szCs w:val="28"/>
          <w:highlight w:val="none"/>
        </w:rPr>
        <w:t>三</w:t>
      </w:r>
      <w:r>
        <w:rPr>
          <w:rFonts w:ascii="宋体" w:hAnsi="宋体" w:cs="宋体"/>
          <w:color w:val="auto"/>
          <w:sz w:val="28"/>
          <w:szCs w:val="28"/>
          <w:highlight w:val="none"/>
        </w:rPr>
        <w:t>）</w:t>
      </w:r>
      <w:r>
        <w:rPr>
          <w:rFonts w:hint="eastAsia" w:ascii="宋体" w:hAnsi="宋体" w:eastAsia="宋体" w:cs="宋体"/>
          <w:color w:val="auto"/>
          <w:sz w:val="28"/>
          <w:szCs w:val="28"/>
          <w:highlight w:val="none"/>
        </w:rPr>
        <w:t>义乌市公共资源交易平台要求：</w:t>
      </w:r>
    </w:p>
    <w:p>
      <w:pPr>
        <w:keepNext w:val="0"/>
        <w:keepLines w:val="0"/>
        <w:pageBreakBefore w:val="0"/>
        <w:widowControl w:val="0"/>
        <w:kinsoku/>
        <w:wordWrap/>
        <w:overflowPunct/>
        <w:topLinePunct w:val="0"/>
        <w:bidi w:val="0"/>
        <w:snapToGrid/>
        <w:spacing w:line="480" w:lineRule="exact"/>
        <w:ind w:firstLine="560" w:firstLineChars="200"/>
        <w:jc w:val="left"/>
        <w:textAlignment w:val="auto"/>
        <w:rPr>
          <w:rFonts w:ascii="宋体" w:hAnsi="宋体"/>
          <w:color w:val="auto"/>
          <w:kern w:val="0"/>
          <w:sz w:val="28"/>
          <w:szCs w:val="28"/>
          <w:highlight w:val="none"/>
        </w:rPr>
      </w:pPr>
      <w:r>
        <w:rPr>
          <w:rFonts w:hint="eastAsia" w:ascii="宋体" w:hAnsi="宋体"/>
          <w:color w:val="auto"/>
          <w:kern w:val="0"/>
          <w:sz w:val="28"/>
          <w:szCs w:val="28"/>
          <w:highlight w:val="none"/>
        </w:rPr>
        <w:t>1.根据《义乌市个人信用管理办法（试行）》（义政办发[2017]112号）、《关于在全市公共资源交易活动中应用信用报告的通知》（义行服管[2017]17号）规定，信用积分在50分以下的个人、信用等级为E类的企业，不得参与项目报名。</w:t>
      </w:r>
    </w:p>
    <w:p>
      <w:pPr>
        <w:keepNext w:val="0"/>
        <w:keepLines w:val="0"/>
        <w:pageBreakBefore w:val="0"/>
        <w:widowControl w:val="0"/>
        <w:kinsoku/>
        <w:wordWrap/>
        <w:overflowPunct/>
        <w:topLinePunct w:val="0"/>
        <w:bidi w:val="0"/>
        <w:snapToGrid/>
        <w:spacing w:line="480" w:lineRule="exact"/>
        <w:ind w:firstLine="560" w:firstLineChars="200"/>
        <w:jc w:val="left"/>
        <w:textAlignment w:val="auto"/>
        <w:rPr>
          <w:rFonts w:ascii="宋体" w:hAnsi="宋体" w:cs="宋体"/>
          <w:color w:val="auto"/>
          <w:sz w:val="28"/>
          <w:szCs w:val="28"/>
          <w:highlight w:val="none"/>
        </w:rPr>
      </w:pPr>
      <w:r>
        <w:rPr>
          <w:rFonts w:hint="eastAsia" w:ascii="宋体" w:hAnsi="宋体"/>
          <w:color w:val="auto"/>
          <w:kern w:val="0"/>
          <w:sz w:val="28"/>
          <w:szCs w:val="28"/>
          <w:highlight w:val="none"/>
        </w:rPr>
        <w:t>2.根据《关于在全市公共资源交易活动中实施行贿犯罪记录查询的通知》，自2018年1月1日起至成交公告发布日期间，意向受让方须无行贿犯罪记录。</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十一、交易机构</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转让方委托义乌产权交易所有限公司（以下简称交易所）作为本次公开挂牌转让的国有产权交易机构。</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十二、公开挂牌转让程序</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（一）发布公告：由转让方委托交易所在义乌产权交易所网站</w:t>
      </w:r>
      <w:r>
        <w:rPr>
          <w:rFonts w:ascii="宋体" w:hAnsi="宋体" w:cs="宋体"/>
          <w:color w:val="auto"/>
          <w:sz w:val="28"/>
          <w:szCs w:val="28"/>
          <w:highlight w:val="none"/>
        </w:rPr>
        <w:t>(</w:t>
      </w:r>
      <w:r>
        <w:rPr>
          <w:color w:val="auto"/>
          <w:highlight w:val="none"/>
        </w:rPr>
        <w:fldChar w:fldCharType="begin"/>
      </w:r>
      <w:r>
        <w:rPr>
          <w:color w:val="auto"/>
          <w:highlight w:val="none"/>
        </w:rPr>
        <w:instrText xml:space="preserve"> HYPERLINK "http://www.ywcq.com" </w:instrText>
      </w:r>
      <w:r>
        <w:rPr>
          <w:color w:val="auto"/>
          <w:highlight w:val="none"/>
        </w:rPr>
        <w:fldChar w:fldCharType="separate"/>
      </w:r>
      <w:r>
        <w:rPr>
          <w:rStyle w:val="10"/>
          <w:rFonts w:ascii="宋体" w:hAnsi="宋体" w:cs="宋体"/>
          <w:color w:val="auto"/>
          <w:sz w:val="28"/>
          <w:szCs w:val="28"/>
          <w:highlight w:val="none"/>
          <w:u w:val="none"/>
        </w:rPr>
        <w:t>www.ywcq.com</w:t>
      </w:r>
      <w:r>
        <w:rPr>
          <w:rStyle w:val="10"/>
          <w:rFonts w:ascii="宋体" w:hAnsi="宋体" w:cs="宋体"/>
          <w:color w:val="auto"/>
          <w:sz w:val="28"/>
          <w:szCs w:val="28"/>
          <w:highlight w:val="none"/>
          <w:u w:val="none"/>
        </w:rPr>
        <w:fldChar w:fldCharType="end"/>
      </w:r>
      <w:r>
        <w:rPr>
          <w:rFonts w:ascii="宋体" w:hAnsi="宋体" w:cs="宋体"/>
          <w:color w:val="auto"/>
          <w:sz w:val="28"/>
          <w:szCs w:val="28"/>
          <w:highlight w:val="none"/>
        </w:rPr>
        <w:t>)</w:t>
      </w:r>
      <w:r>
        <w:rPr>
          <w:rFonts w:hint="eastAsia" w:ascii="宋体" w:hAnsi="宋体" w:cs="宋体"/>
          <w:color w:val="auto"/>
          <w:sz w:val="28"/>
          <w:szCs w:val="28"/>
          <w:highlight w:val="none"/>
        </w:rPr>
        <w:t>、义乌产权交易所微信公众号（</w:t>
      </w:r>
      <w:r>
        <w:rPr>
          <w:rFonts w:ascii="宋体" w:hAnsi="宋体" w:cs="宋体"/>
          <w:color w:val="auto"/>
          <w:sz w:val="28"/>
          <w:szCs w:val="28"/>
          <w:highlight w:val="none"/>
        </w:rPr>
        <w:t>ywcqjys）</w:t>
      </w:r>
      <w:r>
        <w:rPr>
          <w:rFonts w:hint="eastAsia" w:ascii="宋体" w:hAnsi="宋体" w:cs="宋体"/>
          <w:color w:val="auto"/>
          <w:sz w:val="28"/>
          <w:szCs w:val="28"/>
          <w:highlight w:val="none"/>
        </w:rPr>
        <w:t>、</w:t>
      </w:r>
      <w:r>
        <w:rPr>
          <w:rFonts w:hint="eastAsia" w:ascii="宋体" w:hAnsi="宋体"/>
          <w:color w:val="auto"/>
          <w:spacing w:val="-6"/>
          <w:sz w:val="28"/>
          <w:szCs w:val="28"/>
          <w:highlight w:val="none"/>
        </w:rPr>
        <w:t>义乌市公共资源交易网（</w:t>
      </w:r>
      <w:r>
        <w:rPr>
          <w:rFonts w:ascii="宋体" w:hAnsi="宋体" w:cs="宋体"/>
          <w:color w:val="auto"/>
          <w:sz w:val="28"/>
          <w:szCs w:val="28"/>
          <w:highlight w:val="none"/>
        </w:rPr>
        <w:t>http://ggfw.ywjypt.yw.gov.cn/index.html</w:t>
      </w:r>
      <w:r>
        <w:rPr>
          <w:rFonts w:ascii="宋体" w:hAnsi="宋体"/>
          <w:color w:val="auto"/>
          <w:spacing w:val="-6"/>
          <w:sz w:val="28"/>
          <w:szCs w:val="28"/>
          <w:highlight w:val="none"/>
        </w:rPr>
        <w:t>）</w:t>
      </w:r>
      <w:r>
        <w:rPr>
          <w:rFonts w:hint="eastAsia" w:ascii="宋体" w:hAnsi="宋体"/>
          <w:color w:val="auto"/>
          <w:spacing w:val="-6"/>
          <w:sz w:val="28"/>
          <w:szCs w:val="28"/>
          <w:highlight w:val="none"/>
        </w:rPr>
        <w:t>及e交易平台（https://www.ejy365.com)、《义乌商报》</w:t>
      </w:r>
      <w:r>
        <w:rPr>
          <w:rFonts w:hint="eastAsia" w:ascii="宋体" w:hAnsi="宋体" w:cs="宋体"/>
          <w:color w:val="auto"/>
          <w:sz w:val="28"/>
          <w:szCs w:val="28"/>
          <w:highlight w:val="none"/>
        </w:rPr>
        <w:t>媒体上发布转让公告。</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（二）</w:t>
      </w:r>
      <w:r>
        <w:rPr>
          <w:rFonts w:hint="eastAsia" w:ascii="宋体" w:hAnsi="宋体" w:cs="宋体"/>
          <w:color w:val="auto"/>
          <w:sz w:val="28"/>
          <w:szCs w:val="28"/>
          <w:highlight w:val="none"/>
        </w:rPr>
        <w:t>咨询及购买挂牌文件：意向受让方对公开挂牌文件仔细阅读。如需购买挂牌文件，应交纳资料费人民币</w:t>
      </w:r>
      <w:r>
        <w:rPr>
          <w:rFonts w:hint="eastAsia" w:ascii="宋体" w:hAnsi="宋体" w:cs="宋体"/>
          <w:color w:val="auto"/>
          <w:sz w:val="28"/>
          <w:szCs w:val="28"/>
          <w:highlight w:val="none"/>
          <w:u w:val="single"/>
        </w:rPr>
        <w:t>2000</w:t>
      </w:r>
      <w:r>
        <w:rPr>
          <w:rFonts w:hint="eastAsia" w:ascii="宋体" w:hAnsi="宋体" w:cs="宋体"/>
          <w:color w:val="auto"/>
          <w:sz w:val="28"/>
          <w:szCs w:val="28"/>
          <w:highlight w:val="none"/>
        </w:rPr>
        <w:t>元。查阅及购买均需签订《保密协议》。若对本次挂牌文件内容及本次产权转让相关的其它问题有疑问的，应及时向交易所咨询。咨询后仍有疑问的，可在</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17</w:t>
      </w:r>
      <w:r>
        <w:rPr>
          <w:rFonts w:hint="eastAsia" w:ascii="宋体" w:hAnsi="宋体" w:cs="宋体"/>
          <w:color w:val="auto"/>
          <w:sz w:val="28"/>
          <w:szCs w:val="28"/>
          <w:highlight w:val="none"/>
        </w:rPr>
        <w:t>日</w:t>
      </w:r>
      <w:r>
        <w:rPr>
          <w:rFonts w:hint="eastAsia" w:ascii="宋体" w:hAnsi="宋体" w:cs="宋体"/>
          <w:color w:val="auto"/>
          <w:sz w:val="28"/>
          <w:szCs w:val="28"/>
          <w:highlight w:val="none"/>
          <w:lang w:val="en-US" w:eastAsia="zh-CN"/>
        </w:rPr>
        <w:t>16：00</w:t>
      </w:r>
      <w:r>
        <w:rPr>
          <w:rFonts w:hint="eastAsia" w:ascii="宋体" w:hAnsi="宋体" w:cs="宋体"/>
          <w:color w:val="auto"/>
          <w:sz w:val="28"/>
          <w:szCs w:val="28"/>
          <w:highlight w:val="none"/>
        </w:rPr>
        <w:t>前</w:t>
      </w:r>
      <w:r>
        <w:rPr>
          <w:rFonts w:hint="eastAsia" w:ascii="宋体" w:hAnsi="宋体" w:cs="宋体"/>
          <w:color w:val="auto"/>
          <w:sz w:val="28"/>
          <w:szCs w:val="28"/>
          <w:highlight w:val="none"/>
        </w:rPr>
        <w:t>以书面的形式提出。转让方以书面的形式予以答复。</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意向受让方必须在报名截止时间前购买文件、递交相关申请材料，并在规定时间内提出疑问，超过规定时间提交的申请、提疑将不予接收。</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（三）转让方如对挂牌文件有必须澄清或修改的，应及时调整补充披露信息内容，并相应延长信息披露时间。修改公告发布之日后二个工作日内，转让方和交易所应当以书面形式通知所有挂牌文件收受人。</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（四）挂牌公告期间，</w:t>
      </w:r>
      <w:r>
        <w:rPr>
          <w:rFonts w:hint="eastAsia" w:ascii="宋体" w:hAnsi="宋体" w:cs="宋体"/>
          <w:color w:val="auto"/>
          <w:sz w:val="28"/>
          <w:szCs w:val="28"/>
          <w:highlight w:val="none"/>
        </w:rPr>
        <w:t>意向受让方须在公告规定的时间内完成竞买申请手续，并向交易所递交竞买申请材料。在公告规定的挂牌截止时间后提交的竞买申请为无效申请，交易所不予接收。</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（五）</w:t>
      </w:r>
      <w:r>
        <w:rPr>
          <w:rFonts w:hint="eastAsia" w:ascii="宋体" w:hAnsi="宋体" w:cs="宋体"/>
          <w:color w:val="auto"/>
          <w:sz w:val="28"/>
          <w:szCs w:val="28"/>
          <w:highlight w:val="none"/>
        </w:rPr>
        <w:t>通过审核确认的意向受让方在规定的时间内交纳足额竞买保证金。在公告规定的截止时间之后交纳的保证金无效，</w:t>
      </w:r>
      <w:r>
        <w:rPr>
          <w:rFonts w:hint="eastAsia" w:ascii="宋体" w:hAnsi="宋体" w:cs="仿宋_GB2312"/>
          <w:color w:val="auto"/>
          <w:sz w:val="28"/>
          <w:szCs w:val="28"/>
          <w:highlight w:val="none"/>
        </w:rPr>
        <w:t>交易所不予接收</w:t>
      </w:r>
      <w:r>
        <w:rPr>
          <w:rFonts w:hint="eastAsia" w:ascii="宋体" w:hAnsi="宋体" w:cs="宋体"/>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color w:val="auto"/>
          <w:sz w:val="28"/>
          <w:szCs w:val="28"/>
          <w:highlight w:val="none"/>
        </w:rPr>
      </w:pPr>
      <w:r>
        <w:rPr>
          <w:rFonts w:hint="eastAsia" w:ascii="宋体" w:hAnsi="宋体" w:cs="宋体"/>
          <w:color w:val="auto"/>
          <w:sz w:val="28"/>
          <w:szCs w:val="28"/>
          <w:highlight w:val="none"/>
        </w:rPr>
        <w:t>（六）竞买人进行报价或竞价：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kern w:val="0"/>
          <w:sz w:val="28"/>
          <w:szCs w:val="28"/>
          <w:highlight w:val="none"/>
        </w:rPr>
        <w:t>挂牌期满，如仅征集到一个符合条件的意向受让方，</w:t>
      </w:r>
      <w:r>
        <w:rPr>
          <w:rFonts w:hint="eastAsia" w:ascii="宋体" w:hAnsi="宋体" w:cs="宋体"/>
          <w:color w:val="auto"/>
          <w:kern w:val="0"/>
          <w:sz w:val="28"/>
          <w:szCs w:val="28"/>
          <w:highlight w:val="none"/>
          <w:lang w:val="en-US" w:eastAsia="zh-CN"/>
        </w:rPr>
        <w:t>2021</w:t>
      </w:r>
      <w:r>
        <w:rPr>
          <w:rFonts w:hint="eastAsia" w:ascii="宋体" w:hAnsi="宋体" w:cs="宋体"/>
          <w:color w:val="auto"/>
          <w:kern w:val="0"/>
          <w:sz w:val="28"/>
          <w:szCs w:val="28"/>
          <w:highlight w:val="none"/>
        </w:rPr>
        <w:t>年</w:t>
      </w:r>
      <w:r>
        <w:rPr>
          <w:rFonts w:hint="eastAsia" w:ascii="宋体" w:hAnsi="宋体" w:cs="宋体"/>
          <w:color w:val="auto"/>
          <w:kern w:val="0"/>
          <w:sz w:val="28"/>
          <w:szCs w:val="28"/>
          <w:highlight w:val="none"/>
          <w:lang w:val="en-US" w:eastAsia="zh-CN"/>
        </w:rPr>
        <w:t>9</w:t>
      </w:r>
      <w:r>
        <w:rPr>
          <w:rFonts w:hint="eastAsia" w:ascii="宋体" w:hAnsi="宋体" w:cs="宋体"/>
          <w:color w:val="auto"/>
          <w:kern w:val="0"/>
          <w:sz w:val="28"/>
          <w:szCs w:val="28"/>
          <w:highlight w:val="none"/>
        </w:rPr>
        <w:t>月</w:t>
      </w:r>
      <w:r>
        <w:rPr>
          <w:rFonts w:hint="eastAsia" w:ascii="宋体" w:hAnsi="宋体" w:cs="宋体"/>
          <w:color w:val="auto"/>
          <w:kern w:val="0"/>
          <w:sz w:val="28"/>
          <w:szCs w:val="28"/>
          <w:highlight w:val="none"/>
          <w:lang w:val="en-US" w:eastAsia="zh-CN"/>
        </w:rPr>
        <w:t>27</w:t>
      </w:r>
      <w:r>
        <w:rPr>
          <w:rFonts w:hint="eastAsia" w:ascii="宋体" w:hAnsi="宋体" w:cs="宋体"/>
          <w:color w:val="auto"/>
          <w:kern w:val="0"/>
          <w:sz w:val="28"/>
          <w:szCs w:val="28"/>
          <w:highlight w:val="none"/>
        </w:rPr>
        <w:t>日</w:t>
      </w:r>
      <w:r>
        <w:rPr>
          <w:rFonts w:hint="eastAsia" w:ascii="宋体" w:hAnsi="宋体" w:cs="宋体"/>
          <w:color w:val="auto"/>
          <w:kern w:val="0"/>
          <w:sz w:val="28"/>
          <w:szCs w:val="28"/>
          <w:highlight w:val="none"/>
        </w:rPr>
        <w:t xml:space="preserve">通过e交易网站报价，竞买人的报价不低于挂牌转让底价的，则该竞买人为受让方；如征集到两个及以上符合条件的意向受让方，  </w:t>
      </w:r>
      <w:r>
        <w:rPr>
          <w:rFonts w:hint="eastAsia" w:ascii="宋体" w:hAnsi="宋体" w:cs="宋体"/>
          <w:color w:val="auto"/>
          <w:kern w:val="0"/>
          <w:sz w:val="28"/>
          <w:szCs w:val="28"/>
          <w:highlight w:val="none"/>
          <w:lang w:val="en-US" w:eastAsia="zh-CN"/>
        </w:rPr>
        <w:t>2021</w:t>
      </w:r>
      <w:r>
        <w:rPr>
          <w:rFonts w:hint="eastAsia" w:ascii="宋体" w:hAnsi="宋体" w:cs="宋体"/>
          <w:color w:val="auto"/>
          <w:kern w:val="0"/>
          <w:sz w:val="28"/>
          <w:szCs w:val="28"/>
          <w:highlight w:val="none"/>
        </w:rPr>
        <w:t>年</w:t>
      </w:r>
      <w:r>
        <w:rPr>
          <w:rFonts w:hint="eastAsia" w:ascii="宋体" w:hAnsi="宋体" w:cs="宋体"/>
          <w:color w:val="auto"/>
          <w:kern w:val="0"/>
          <w:sz w:val="28"/>
          <w:szCs w:val="28"/>
          <w:highlight w:val="none"/>
          <w:lang w:val="en-US" w:eastAsia="zh-CN"/>
        </w:rPr>
        <w:t>9</w:t>
      </w:r>
      <w:r>
        <w:rPr>
          <w:rFonts w:hint="eastAsia" w:ascii="宋体" w:hAnsi="宋体" w:cs="宋体"/>
          <w:color w:val="auto"/>
          <w:kern w:val="0"/>
          <w:sz w:val="28"/>
          <w:szCs w:val="28"/>
          <w:highlight w:val="none"/>
        </w:rPr>
        <w:t>月</w:t>
      </w:r>
      <w:r>
        <w:rPr>
          <w:rFonts w:hint="eastAsia" w:ascii="宋体" w:hAnsi="宋体" w:cs="宋体"/>
          <w:color w:val="auto"/>
          <w:kern w:val="0"/>
          <w:sz w:val="28"/>
          <w:szCs w:val="28"/>
          <w:highlight w:val="none"/>
          <w:lang w:val="en-US" w:eastAsia="zh-CN"/>
        </w:rPr>
        <w:t>27</w:t>
      </w:r>
      <w:r>
        <w:rPr>
          <w:rFonts w:hint="eastAsia" w:ascii="宋体" w:hAnsi="宋体" w:cs="宋体"/>
          <w:color w:val="auto"/>
          <w:kern w:val="0"/>
          <w:sz w:val="28"/>
          <w:szCs w:val="28"/>
          <w:highlight w:val="none"/>
        </w:rPr>
        <w:t>日</w:t>
      </w:r>
      <w:r>
        <w:rPr>
          <w:rFonts w:hint="eastAsia" w:ascii="宋体" w:hAnsi="宋体" w:cs="宋体"/>
          <w:color w:val="auto"/>
          <w:kern w:val="0"/>
          <w:sz w:val="28"/>
          <w:szCs w:val="28"/>
          <w:highlight w:val="none"/>
        </w:rPr>
        <w:t>通过e交易网站进行网络竞价，经竞价确</w:t>
      </w:r>
      <w:r>
        <w:rPr>
          <w:rFonts w:hint="eastAsia" w:ascii="宋体" w:hAnsi="宋体" w:cs="宋体"/>
          <w:color w:val="auto"/>
          <w:sz w:val="28"/>
          <w:szCs w:val="28"/>
          <w:highlight w:val="none"/>
        </w:rPr>
        <w:t>定最后竞得人。</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（七）竞得人在确定成交后2个工作日内</w:t>
      </w:r>
      <w:r>
        <w:rPr>
          <w:rFonts w:hint="eastAsia" w:ascii="宋体" w:hAnsi="宋体" w:cs="仿宋_GB2312"/>
          <w:color w:val="auto"/>
          <w:sz w:val="28"/>
          <w:szCs w:val="28"/>
          <w:highlight w:val="none"/>
        </w:rPr>
        <w:t>签订《成交确认书》。</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（八）在签订《成交确认书》后5个工作日内，受让方与转让方签订本次《国有产权交易合同》。</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ascii="宋体" w:hAnsi="宋体" w:cs="宋体"/>
          <w:color w:val="auto"/>
          <w:sz w:val="28"/>
          <w:szCs w:val="28"/>
          <w:highlight w:val="none"/>
        </w:rPr>
        <w:t>（</w:t>
      </w:r>
      <w:r>
        <w:rPr>
          <w:rFonts w:hint="eastAsia" w:ascii="宋体" w:hAnsi="宋体" w:cs="宋体"/>
          <w:color w:val="auto"/>
          <w:sz w:val="28"/>
          <w:szCs w:val="28"/>
          <w:highlight w:val="none"/>
        </w:rPr>
        <w:t>九</w:t>
      </w:r>
      <w:r>
        <w:rPr>
          <w:rFonts w:ascii="宋体" w:hAnsi="宋体" w:cs="宋体"/>
          <w:color w:val="auto"/>
          <w:sz w:val="28"/>
          <w:szCs w:val="28"/>
          <w:highlight w:val="none"/>
        </w:rPr>
        <w:t>）受让方根据</w:t>
      </w:r>
      <w:r>
        <w:rPr>
          <w:rFonts w:hint="eastAsia" w:ascii="宋体" w:hAnsi="宋体" w:cs="宋体"/>
          <w:color w:val="auto"/>
          <w:sz w:val="28"/>
          <w:szCs w:val="28"/>
          <w:highlight w:val="none"/>
        </w:rPr>
        <w:t>《国有产权交易合同》要求，付清全部交易款项及交易所服务费。</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（十）在受让方付清全部交易款项及服务费后，交易所出具交易凭证。</w:t>
      </w:r>
    </w:p>
    <w:p>
      <w:pPr>
        <w:keepNext w:val="0"/>
        <w:keepLines w:val="0"/>
        <w:pageBreakBefore w:val="0"/>
        <w:widowControl w:val="0"/>
        <w:kinsoku/>
        <w:wordWrap/>
        <w:overflowPunct/>
        <w:topLinePunct w:val="0"/>
        <w:autoSpaceDE/>
        <w:autoSpaceDN/>
        <w:bidi w:val="0"/>
        <w:adjustRightInd/>
        <w:snapToGrid/>
        <w:spacing w:line="480" w:lineRule="exact"/>
        <w:ind w:left="559" w:leftChars="266"/>
        <w:textAlignment w:val="auto"/>
        <w:rPr>
          <w:rFonts w:ascii="宋体" w:hAnsi="宋体" w:cs="宋体"/>
          <w:color w:val="auto"/>
          <w:sz w:val="28"/>
          <w:szCs w:val="28"/>
          <w:highlight w:val="none"/>
        </w:rPr>
      </w:pPr>
      <w:r>
        <w:rPr>
          <w:rFonts w:hint="eastAsia" w:ascii="宋体" w:hAnsi="宋体" w:cs="宋体"/>
          <w:color w:val="auto"/>
          <w:sz w:val="28"/>
          <w:szCs w:val="28"/>
          <w:highlight w:val="none"/>
        </w:rPr>
        <w:t>（十一）交易所和转让方进行资金结算。</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十三、竞买申请有关事项</w:t>
      </w:r>
    </w:p>
    <w:p>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（一）竞买申请办理时间：</w:t>
      </w:r>
    </w:p>
    <w:p>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意向人递交竞买申请材料、办理竞买申请手续时间：</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8</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24</w:t>
      </w:r>
      <w:r>
        <w:rPr>
          <w:rFonts w:hint="eastAsia" w:ascii="宋体" w:hAnsi="宋体" w:cs="宋体"/>
          <w:color w:val="auto"/>
          <w:sz w:val="28"/>
          <w:szCs w:val="28"/>
          <w:highlight w:val="none"/>
        </w:rPr>
        <w:t>日</w:t>
      </w:r>
      <w:r>
        <w:rPr>
          <w:rFonts w:ascii="宋体" w:hAnsi="宋体" w:cs="宋体"/>
          <w:color w:val="auto"/>
          <w:sz w:val="28"/>
          <w:szCs w:val="28"/>
          <w:highlight w:val="none"/>
        </w:rPr>
        <w:t>—</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22</w:t>
      </w:r>
      <w:r>
        <w:rPr>
          <w:rFonts w:hint="eastAsia" w:ascii="宋体" w:hAnsi="宋体" w:cs="宋体"/>
          <w:color w:val="auto"/>
          <w:sz w:val="28"/>
          <w:szCs w:val="28"/>
          <w:highlight w:val="none"/>
        </w:rPr>
        <w:t>日</w:t>
      </w:r>
      <w:r>
        <w:rPr>
          <w:rFonts w:ascii="宋体" w:hAnsi="宋体" w:cs="宋体"/>
          <w:color w:val="auto"/>
          <w:sz w:val="28"/>
          <w:szCs w:val="28"/>
          <w:highlight w:val="none"/>
        </w:rPr>
        <w:t>16</w:t>
      </w:r>
      <w:r>
        <w:rPr>
          <w:rFonts w:hint="eastAsia" w:ascii="宋体" w:hAnsi="宋体" w:cs="宋体"/>
          <w:color w:val="auto"/>
          <w:sz w:val="28"/>
          <w:szCs w:val="28"/>
          <w:highlight w:val="none"/>
        </w:rPr>
        <w:t>：00止（节假日除外）。</w:t>
      </w:r>
    </w:p>
    <w:p>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（二）竞买申请手续：</w:t>
      </w:r>
    </w:p>
    <w:p>
      <w:pPr>
        <w:keepNext w:val="0"/>
        <w:keepLines w:val="0"/>
        <w:pageBreakBefore w:val="0"/>
        <w:widowControl/>
        <w:kinsoku/>
        <w:wordWrap/>
        <w:overflowPunct/>
        <w:topLinePunct w:val="0"/>
        <w:autoSpaceDE/>
        <w:autoSpaceDN/>
        <w:bidi w:val="0"/>
        <w:adjustRightInd/>
        <w:snapToGrid/>
        <w:spacing w:line="480" w:lineRule="exact"/>
        <w:ind w:firstLine="504" w:firstLineChars="200"/>
        <w:jc w:val="left"/>
        <w:textAlignment w:val="auto"/>
        <w:rPr>
          <w:rFonts w:ascii="宋体" w:hAnsi="宋体" w:cs="宋体"/>
          <w:color w:val="auto"/>
          <w:sz w:val="28"/>
          <w:szCs w:val="28"/>
          <w:highlight w:val="none"/>
        </w:rPr>
      </w:pPr>
      <w:r>
        <w:rPr>
          <w:rFonts w:hint="eastAsia" w:ascii="宋体" w:hAnsi="宋体" w:cs="宋体"/>
          <w:color w:val="auto"/>
          <w:spacing w:val="-14"/>
          <w:kern w:val="0"/>
          <w:sz w:val="28"/>
          <w:szCs w:val="28"/>
          <w:highlight w:val="none"/>
        </w:rPr>
        <w:t>1.注册：登录e交易网（</w:t>
      </w:r>
      <w:r>
        <w:rPr>
          <w:color w:val="auto"/>
          <w:highlight w:val="none"/>
        </w:rPr>
        <w:fldChar w:fldCharType="begin"/>
      </w:r>
      <w:r>
        <w:rPr>
          <w:color w:val="auto"/>
          <w:highlight w:val="none"/>
        </w:rPr>
        <w:instrText xml:space="preserve"> HYPERLINK "http://www.ejy365.com/" </w:instrText>
      </w:r>
      <w:r>
        <w:rPr>
          <w:color w:val="auto"/>
          <w:highlight w:val="none"/>
        </w:rPr>
        <w:fldChar w:fldCharType="separate"/>
      </w:r>
      <w:r>
        <w:rPr>
          <w:rStyle w:val="10"/>
          <w:rFonts w:hint="eastAsia" w:ascii="宋体" w:hAnsi="宋体" w:cs="宋体"/>
          <w:color w:val="auto"/>
          <w:spacing w:val="-14"/>
          <w:sz w:val="28"/>
          <w:szCs w:val="28"/>
          <w:highlight w:val="none"/>
        </w:rPr>
        <w:t>www.ejy365.com</w:t>
      </w:r>
      <w:r>
        <w:rPr>
          <w:rStyle w:val="10"/>
          <w:rFonts w:hint="eastAsia" w:ascii="宋体" w:hAnsi="宋体" w:cs="宋体"/>
          <w:color w:val="auto"/>
          <w:spacing w:val="-14"/>
          <w:sz w:val="28"/>
          <w:szCs w:val="28"/>
          <w:highlight w:val="none"/>
        </w:rPr>
        <w:fldChar w:fldCharType="end"/>
      </w:r>
      <w:r>
        <w:rPr>
          <w:rFonts w:hint="eastAsia" w:ascii="宋体" w:hAnsi="宋体" w:cs="宋体"/>
          <w:color w:val="auto"/>
          <w:kern w:val="0"/>
          <w:sz w:val="28"/>
          <w:szCs w:val="28"/>
          <w:highlight w:val="none"/>
        </w:rPr>
        <w:t>）进行会员注册</w:t>
      </w:r>
      <w:r>
        <w:rPr>
          <w:rFonts w:hint="eastAsia" w:ascii="宋体" w:hAnsi="宋体" w:cs="宋体"/>
          <w:color w:val="auto"/>
          <w:spacing w:val="-14"/>
          <w:kern w:val="0"/>
          <w:sz w:val="28"/>
          <w:szCs w:val="28"/>
          <w:highlight w:val="none"/>
        </w:rPr>
        <w:t>（身份选择“竞买人”），填写完整身份信息，绑定银行账号</w:t>
      </w:r>
      <w:r>
        <w:rPr>
          <w:rFonts w:hint="eastAsia" w:ascii="宋体" w:hAnsi="宋体" w:cs="宋体"/>
          <w:color w:val="auto"/>
          <w:spacing w:val="-14"/>
          <w:kern w:val="0"/>
          <w:sz w:val="28"/>
          <w:szCs w:val="28"/>
          <w:highlight w:val="none"/>
          <w:u w:val="single"/>
        </w:rPr>
        <w:t>（竞买保证金须从该绑定账号汇入保证金专用账号，否则无效）</w:t>
      </w:r>
      <w:r>
        <w:rPr>
          <w:rFonts w:hint="eastAsia" w:ascii="宋体" w:hAnsi="宋体" w:cs="宋体"/>
          <w:color w:val="auto"/>
          <w:spacing w:val="-14"/>
          <w:kern w:val="0"/>
          <w:sz w:val="28"/>
          <w:szCs w:val="28"/>
          <w:highlight w:val="none"/>
        </w:rPr>
        <w:t>。</w:t>
      </w:r>
    </w:p>
    <w:p>
      <w:pPr>
        <w:keepNext w:val="0"/>
        <w:keepLines w:val="0"/>
        <w:pageBreakBefore w:val="0"/>
        <w:widowControl/>
        <w:kinsoku/>
        <w:wordWrap/>
        <w:overflowPunct/>
        <w:topLinePunct w:val="0"/>
        <w:autoSpaceDE/>
        <w:autoSpaceDN/>
        <w:bidi w:val="0"/>
        <w:adjustRightInd/>
        <w:snapToGrid/>
        <w:spacing w:line="480" w:lineRule="exact"/>
        <w:ind w:firstLine="504" w:firstLineChars="200"/>
        <w:jc w:val="left"/>
        <w:textAlignment w:val="auto"/>
        <w:rPr>
          <w:rFonts w:ascii="宋体" w:hAnsi="宋体" w:cs="宋体"/>
          <w:color w:val="auto"/>
          <w:sz w:val="28"/>
          <w:szCs w:val="28"/>
          <w:highlight w:val="none"/>
        </w:rPr>
      </w:pPr>
      <w:r>
        <w:rPr>
          <w:rFonts w:hint="eastAsia" w:ascii="宋体" w:hAnsi="宋体" w:cs="宋体"/>
          <w:color w:val="auto"/>
          <w:spacing w:val="-14"/>
          <w:kern w:val="0"/>
          <w:sz w:val="28"/>
          <w:szCs w:val="28"/>
          <w:highlight w:val="none"/>
        </w:rPr>
        <w:t>2.通过e交易平台上传下列相应竞买申请材料，并提交审核。竞买申请材料须在挂牌截止前邮递至：</w:t>
      </w:r>
      <w:r>
        <w:rPr>
          <w:rFonts w:hint="eastAsia" w:ascii="宋体" w:hAnsi="宋体" w:cs="宋体"/>
          <w:color w:val="auto"/>
          <w:sz w:val="28"/>
          <w:szCs w:val="28"/>
          <w:highlight w:val="none"/>
        </w:rPr>
        <w:t>义乌市稠州北路</w:t>
      </w:r>
      <w:r>
        <w:rPr>
          <w:rFonts w:ascii="宋体" w:hAnsi="宋体" w:cs="宋体"/>
          <w:color w:val="auto"/>
          <w:sz w:val="28"/>
          <w:szCs w:val="28"/>
          <w:highlight w:val="none"/>
        </w:rPr>
        <w:t>505号6楼610</w:t>
      </w:r>
      <w:r>
        <w:rPr>
          <w:rFonts w:hint="eastAsia" w:ascii="宋体" w:hAnsi="宋体" w:cs="宋体"/>
          <w:color w:val="auto"/>
          <w:sz w:val="28"/>
          <w:szCs w:val="28"/>
          <w:highlight w:val="none"/>
        </w:rPr>
        <w:t>室。</w:t>
      </w:r>
    </w:p>
    <w:p>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意向受让方需向义乌产权交易所提供以下材料（企业需加盖公章）：</w:t>
      </w:r>
    </w:p>
    <w:p>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（1）主体资格证明文件（企业法人提供营业执照复印件、法定代表人或负责人身份证复印件；自然人提供身份证复印件；其他经济组织提供相应文件复印件）；</w:t>
      </w:r>
    </w:p>
    <w:p>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（2）意向受让方的基本情况（原件）；</w:t>
      </w:r>
    </w:p>
    <w:p>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（3）现行有效的公司章程或类似组织性文件（法人或其他组织提供，复印件）；</w:t>
      </w:r>
    </w:p>
    <w:p>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（4）如办理报名手续的非公司法定代表人或负责人时，应提供授权委托书（原件）及法定代表人或负责人、代理人身份证（复印件）；</w:t>
      </w:r>
    </w:p>
    <w:p>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（5）同意受让本标的的内部决策文件（法人或其他组织提供），若为国有企业，应提供有权部门同意受让的批文（原件）；</w:t>
      </w:r>
    </w:p>
    <w:p>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（6）《竞买申请书》；</w:t>
      </w:r>
    </w:p>
    <w:p>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kern w:val="0"/>
          <w:sz w:val="28"/>
          <w:szCs w:val="28"/>
          <w:highlight w:val="none"/>
          <w:shd w:val="clear" w:color="auto" w:fill="FFFFFF"/>
        </w:rPr>
      </w:pPr>
      <w:r>
        <w:rPr>
          <w:rFonts w:hint="eastAsia" w:ascii="宋体" w:hAnsi="宋体" w:cs="宋体"/>
          <w:color w:val="auto"/>
          <w:kern w:val="0"/>
          <w:sz w:val="28"/>
          <w:szCs w:val="28"/>
          <w:highlight w:val="none"/>
          <w:shd w:val="clear" w:color="auto" w:fill="FFFFFF"/>
        </w:rPr>
        <w:t>（7）《竞买人承诺函》；</w:t>
      </w:r>
    </w:p>
    <w:p>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sz w:val="28"/>
          <w:szCs w:val="28"/>
          <w:highlight w:val="none"/>
        </w:rPr>
      </w:pPr>
      <w:r>
        <w:rPr>
          <w:rFonts w:hint="eastAsia" w:ascii="宋体" w:hAnsi="宋体" w:cs="宋体"/>
          <w:color w:val="auto"/>
          <w:kern w:val="0"/>
          <w:sz w:val="28"/>
          <w:szCs w:val="28"/>
          <w:highlight w:val="none"/>
        </w:rPr>
        <w:t>（8）</w:t>
      </w:r>
      <w:r>
        <w:rPr>
          <w:rFonts w:hint="eastAsia" w:ascii="宋体" w:hAnsi="宋体" w:cs="宋体"/>
          <w:color w:val="auto"/>
          <w:kern w:val="0"/>
          <w:sz w:val="28"/>
          <w:szCs w:val="28"/>
          <w:highlight w:val="none"/>
          <w:shd w:val="clear" w:color="auto" w:fill="FFFFFF"/>
        </w:rPr>
        <w:t>义乌产权交易所要求的其他材料。</w:t>
      </w:r>
    </w:p>
    <w:p>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（三）竞买申请文件有下列情况之一的，视为无效申请：</w:t>
      </w:r>
    </w:p>
    <w:p>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ascii="宋体" w:hAnsi="宋体" w:cs="宋体"/>
          <w:color w:val="auto"/>
          <w:sz w:val="28"/>
          <w:szCs w:val="28"/>
          <w:highlight w:val="none"/>
        </w:rPr>
        <w:t>1</w:t>
      </w:r>
      <w:r>
        <w:rPr>
          <w:rFonts w:hint="eastAsia" w:ascii="宋体" w:hAnsi="宋体" w:cs="宋体"/>
          <w:color w:val="auto"/>
          <w:sz w:val="28"/>
          <w:szCs w:val="28"/>
          <w:highlight w:val="none"/>
        </w:rPr>
        <w:t>.</w:t>
      </w:r>
      <w:r>
        <w:rPr>
          <w:rFonts w:ascii="宋体" w:hAnsi="宋体" w:cs="宋体"/>
          <w:color w:val="auto"/>
          <w:sz w:val="28"/>
          <w:szCs w:val="28"/>
          <w:highlight w:val="none"/>
        </w:rPr>
        <w:t>竞买人不符合竞买条件的；</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2</w:t>
      </w:r>
      <w:r>
        <w:rPr>
          <w:rFonts w:hint="eastAsia" w:ascii="宋体" w:hAnsi="宋体" w:cs="宋体"/>
          <w:color w:val="auto"/>
          <w:sz w:val="28"/>
          <w:szCs w:val="28"/>
          <w:highlight w:val="none"/>
        </w:rPr>
        <w:t>.</w:t>
      </w:r>
      <w:r>
        <w:rPr>
          <w:rFonts w:ascii="宋体" w:hAnsi="宋体" w:cs="宋体"/>
          <w:color w:val="auto"/>
          <w:sz w:val="28"/>
          <w:szCs w:val="28"/>
          <w:highlight w:val="none"/>
        </w:rPr>
        <w:t>申请文件在申请截止之日后提交的；</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3</w:t>
      </w:r>
      <w:r>
        <w:rPr>
          <w:rFonts w:hint="eastAsia" w:ascii="宋体" w:hAnsi="宋体" w:cs="宋体"/>
          <w:color w:val="auto"/>
          <w:sz w:val="28"/>
          <w:szCs w:val="28"/>
          <w:highlight w:val="none"/>
        </w:rPr>
        <w:t>.</w:t>
      </w:r>
      <w:r>
        <w:rPr>
          <w:rFonts w:ascii="宋体" w:hAnsi="宋体" w:cs="宋体"/>
          <w:color w:val="auto"/>
          <w:sz w:val="28"/>
          <w:szCs w:val="28"/>
          <w:highlight w:val="none"/>
        </w:rPr>
        <w:t>申请文件字迹不清、涂改、未签章或辨认不清的；</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4</w:t>
      </w:r>
      <w:r>
        <w:rPr>
          <w:rFonts w:hint="eastAsia" w:ascii="宋体" w:hAnsi="宋体" w:cs="宋体"/>
          <w:color w:val="auto"/>
          <w:sz w:val="28"/>
          <w:szCs w:val="28"/>
          <w:highlight w:val="none"/>
        </w:rPr>
        <w:t>.</w:t>
      </w:r>
      <w:r>
        <w:rPr>
          <w:rFonts w:ascii="宋体" w:hAnsi="宋体" w:cs="宋体"/>
          <w:color w:val="auto"/>
          <w:sz w:val="28"/>
          <w:szCs w:val="28"/>
          <w:highlight w:val="none"/>
        </w:rPr>
        <w:t>委托他人代理，委托文件不全或不符合上述条款规定的；</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5</w:t>
      </w:r>
      <w:r>
        <w:rPr>
          <w:rFonts w:hint="eastAsia" w:ascii="宋体" w:hAnsi="宋体" w:cs="宋体"/>
          <w:color w:val="auto"/>
          <w:sz w:val="28"/>
          <w:szCs w:val="28"/>
          <w:highlight w:val="none"/>
        </w:rPr>
        <w:t>.</w:t>
      </w:r>
      <w:r>
        <w:rPr>
          <w:rFonts w:ascii="宋体" w:hAnsi="宋体" w:cs="宋体"/>
          <w:color w:val="auto"/>
          <w:sz w:val="28"/>
          <w:szCs w:val="28"/>
          <w:highlight w:val="none"/>
        </w:rPr>
        <w:t>申请文件不齐全或不符合上述条款规定的；</w:t>
      </w:r>
      <w:r>
        <w:rPr>
          <w:rFonts w:ascii="宋体" w:hAnsi="宋体" w:cs="宋体"/>
          <w:color w:val="auto"/>
          <w:sz w:val="28"/>
          <w:szCs w:val="28"/>
          <w:highlight w:val="none"/>
        </w:rPr>
        <w:br w:type="textWrapping"/>
      </w:r>
      <w:r>
        <w:rPr>
          <w:rFonts w:ascii="宋体" w:hAnsi="宋体" w:cs="宋体"/>
          <w:color w:val="auto"/>
          <w:sz w:val="28"/>
          <w:szCs w:val="28"/>
          <w:highlight w:val="none"/>
        </w:rPr>
        <w:t xml:space="preserve">    6</w:t>
      </w:r>
      <w:r>
        <w:rPr>
          <w:rFonts w:hint="eastAsia" w:ascii="宋体" w:hAnsi="宋体" w:cs="宋体"/>
          <w:color w:val="auto"/>
          <w:sz w:val="28"/>
          <w:szCs w:val="28"/>
          <w:highlight w:val="none"/>
        </w:rPr>
        <w:t>.</w:t>
      </w:r>
      <w:r>
        <w:rPr>
          <w:rFonts w:ascii="宋体" w:hAnsi="宋体" w:cs="宋体"/>
          <w:color w:val="auto"/>
          <w:sz w:val="28"/>
          <w:szCs w:val="28"/>
          <w:highlight w:val="none"/>
        </w:rPr>
        <w:t>不按时交纳保证金的。</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color w:val="auto"/>
          <w:sz w:val="28"/>
          <w:szCs w:val="28"/>
          <w:highlight w:val="none"/>
        </w:rPr>
      </w:pPr>
      <w:r>
        <w:rPr>
          <w:rFonts w:hint="eastAsia" w:ascii="宋体" w:hAnsi="宋体" w:cs="宋体"/>
          <w:b/>
          <w:bCs/>
          <w:color w:val="auto"/>
          <w:sz w:val="28"/>
          <w:szCs w:val="28"/>
          <w:highlight w:val="none"/>
        </w:rPr>
        <w:t>十四、现场考察及尽职调查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cs="宋体"/>
          <w:color w:val="auto"/>
          <w:sz w:val="28"/>
          <w:szCs w:val="28"/>
          <w:highlight w:val="none"/>
          <w:lang w:val="en-US" w:eastAsia="zh-CN"/>
        </w:rPr>
      </w:pPr>
      <w:r>
        <w:rPr>
          <w:rFonts w:ascii="宋体" w:hAnsi="宋体" w:cs="宋体"/>
          <w:color w:val="auto"/>
          <w:sz w:val="28"/>
          <w:szCs w:val="28"/>
          <w:highlight w:val="none"/>
        </w:rPr>
        <w:t>1</w:t>
      </w:r>
      <w:r>
        <w:rPr>
          <w:rFonts w:hint="eastAsia" w:ascii="宋体" w:hAnsi="宋体" w:cs="宋体"/>
          <w:color w:val="auto"/>
          <w:sz w:val="28"/>
          <w:szCs w:val="28"/>
          <w:highlight w:val="none"/>
        </w:rPr>
        <w:t>.</w:t>
      </w:r>
      <w:r>
        <w:rPr>
          <w:rFonts w:hint="eastAsia" w:ascii="宋体" w:hAnsi="宋体" w:cs="宋体"/>
          <w:color w:val="auto"/>
          <w:sz w:val="28"/>
          <w:szCs w:val="28"/>
          <w:highlight w:val="none"/>
        </w:rPr>
        <w:t>意向受让方若有</w:t>
      </w:r>
      <w:r>
        <w:rPr>
          <w:rFonts w:hint="eastAsia" w:ascii="宋体" w:hAnsi="宋体" w:cs="宋体"/>
          <w:color w:val="auto"/>
          <w:sz w:val="28"/>
          <w:szCs w:val="28"/>
          <w:highlight w:val="none"/>
          <w:lang w:val="en-US" w:eastAsia="zh-CN"/>
        </w:rPr>
        <w:t>现场考察意向，可在完成报名手续并通过资格审核后</w:t>
      </w:r>
      <w:r>
        <w:rPr>
          <w:rFonts w:hint="eastAsia" w:ascii="宋体" w:hAnsi="宋体" w:eastAsia="宋体" w:cs="宋体"/>
          <w:i w:val="0"/>
          <w:iCs w:val="0"/>
          <w:caps w:val="0"/>
          <w:color w:val="auto"/>
          <w:spacing w:val="0"/>
          <w:sz w:val="28"/>
          <w:szCs w:val="28"/>
          <w:highlight w:val="none"/>
          <w:shd w:val="clear" w:fill="FFFFFF"/>
        </w:rPr>
        <w:t>向交易所递交《现场考察申请》，由转让方在申请日后2个工作日内组织现场考察</w:t>
      </w:r>
      <w:r>
        <w:rPr>
          <w:rFonts w:hint="eastAsia" w:ascii="宋体" w:hAnsi="宋体" w:cs="宋体"/>
          <w:color w:val="auto"/>
          <w:sz w:val="28"/>
          <w:szCs w:val="28"/>
          <w:highlight w:val="none"/>
          <w:lang w:val="en-US" w:eastAsia="zh-CN"/>
        </w:rPr>
        <w:t>。现场考察申请需在2021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17</w:t>
      </w:r>
      <w:r>
        <w:rPr>
          <w:rFonts w:hint="eastAsia" w:ascii="宋体" w:hAnsi="宋体" w:cs="宋体"/>
          <w:color w:val="auto"/>
          <w:sz w:val="28"/>
          <w:szCs w:val="28"/>
          <w:highlight w:val="none"/>
        </w:rPr>
        <w:t>日</w:t>
      </w:r>
      <w:r>
        <w:rPr>
          <w:rFonts w:hint="eastAsia" w:ascii="宋体" w:hAnsi="宋体" w:cs="宋体"/>
          <w:color w:val="auto"/>
          <w:sz w:val="28"/>
          <w:szCs w:val="28"/>
          <w:highlight w:val="none"/>
          <w:lang w:val="en-US" w:eastAsia="zh-CN"/>
        </w:rPr>
        <w:t>16：00</w:t>
      </w:r>
      <w:r>
        <w:rPr>
          <w:rFonts w:hint="eastAsia" w:ascii="宋体" w:hAnsi="宋体" w:cs="宋体"/>
          <w:color w:val="auto"/>
          <w:sz w:val="28"/>
          <w:szCs w:val="28"/>
          <w:highlight w:val="none"/>
        </w:rPr>
        <w:t>前</w:t>
      </w:r>
      <w:r>
        <w:rPr>
          <w:rFonts w:hint="eastAsia" w:ascii="宋体" w:hAnsi="宋体" w:cs="宋体"/>
          <w:color w:val="auto"/>
          <w:sz w:val="28"/>
          <w:szCs w:val="28"/>
          <w:highlight w:val="none"/>
          <w:lang w:val="en-US" w:eastAsia="zh-CN"/>
        </w:rPr>
        <w:t>提出，2021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17</w:t>
      </w:r>
      <w:r>
        <w:rPr>
          <w:rFonts w:hint="eastAsia" w:ascii="宋体" w:hAnsi="宋体" w:cs="宋体"/>
          <w:color w:val="auto"/>
          <w:sz w:val="28"/>
          <w:szCs w:val="28"/>
          <w:highlight w:val="none"/>
        </w:rPr>
        <w:t>日</w:t>
      </w:r>
      <w:r>
        <w:rPr>
          <w:rFonts w:hint="eastAsia" w:ascii="宋体" w:hAnsi="宋体" w:cs="宋体"/>
          <w:color w:val="auto"/>
          <w:sz w:val="28"/>
          <w:szCs w:val="28"/>
          <w:highlight w:val="none"/>
          <w:lang w:val="en-US" w:eastAsia="zh-CN"/>
        </w:rPr>
        <w:t>之后提出的现场考察申请，将不予受理。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考察内容主要为建成项目情况、在建项目情况以及待建项目等情况。现场考察期间应听从公司相关带队人员安排并遵守相关规定和要求，注意安全。</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ascii="宋体" w:hAnsi="宋体" w:cs="宋体"/>
          <w:color w:val="auto"/>
          <w:sz w:val="28"/>
          <w:szCs w:val="28"/>
          <w:highlight w:val="none"/>
        </w:rPr>
        <w:t>2</w:t>
      </w:r>
      <w:r>
        <w:rPr>
          <w:rFonts w:hint="eastAsia" w:ascii="宋体" w:hAnsi="宋体" w:cs="宋体"/>
          <w:color w:val="auto"/>
          <w:sz w:val="28"/>
          <w:szCs w:val="28"/>
          <w:highlight w:val="none"/>
        </w:rPr>
        <w:t>.有意向的受让方应作好尽职调查。此处所指尽职调查，是指意向受让方了解本次转让项目详细信息的过程。正式挂牌公告后，即进入尽职调查期。意向受让方可以通过媒介、前往交易所购买《挂牌文件》，获取转让项目的相关信息和资料，如审计报告、资产评估报告等。通过阅读、研究项目资料，作出是否参与项目受让的决定。意向受让方一旦交纳保证金，</w:t>
      </w:r>
      <w:r>
        <w:rPr>
          <w:rFonts w:hint="eastAsia" w:asciiTheme="minorEastAsia" w:hAnsiTheme="minorEastAsia" w:eastAsiaTheme="minorEastAsia"/>
          <w:color w:val="auto"/>
          <w:sz w:val="28"/>
          <w:szCs w:val="28"/>
          <w:highlight w:val="none"/>
        </w:rPr>
        <w:t>视为已详细阅读并完全认可本项目所涉及文件内容，已完成对本项目的全部尽职调查，并依据该内容以其独立判断决定自愿全部接受公告、细则、《国有产权交易合同（文本）》之内容。意向受让方若以不了解标的公司现状等为由发生逾期或拒绝签署《国有产权交易合同》、拒付成交款、放弃受让等情形的，即可视为违约，其交易保证金将不予返还，并将本项目重新挂牌，由意向受让方承担相关的全部经济责任与风险。</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意向受让方应充分关注、调查、研究与本次产权转让标的相关的所有事宜、信息、或有风险、不确定因素及可能对转让标的企业资产及企业经营管理造成的影响，转让方及交易所不对转让标的企业是否存在或有风险提供保证。</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十五、答疑</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意向受让方对本次挂牌文件内容及本次产权转让相关的其它问题有疑问的，应及时向交易所咨询。咨询后仍有疑问的，须于</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17</w:t>
      </w:r>
      <w:r>
        <w:rPr>
          <w:rFonts w:hint="eastAsia" w:ascii="宋体" w:hAnsi="宋体" w:cs="宋体"/>
          <w:color w:val="auto"/>
          <w:sz w:val="28"/>
          <w:szCs w:val="28"/>
          <w:highlight w:val="none"/>
        </w:rPr>
        <w:t>日</w:t>
      </w:r>
      <w:r>
        <w:rPr>
          <w:rFonts w:hint="eastAsia" w:ascii="宋体" w:hAnsi="宋体" w:cs="宋体"/>
          <w:color w:val="auto"/>
          <w:sz w:val="28"/>
          <w:szCs w:val="28"/>
          <w:highlight w:val="none"/>
          <w:lang w:val="en-US" w:eastAsia="zh-CN"/>
        </w:rPr>
        <w:t>16：00</w:t>
      </w:r>
      <w:r>
        <w:rPr>
          <w:rFonts w:hint="eastAsia" w:ascii="宋体" w:hAnsi="宋体" w:cs="宋体"/>
          <w:color w:val="auto"/>
          <w:sz w:val="28"/>
          <w:szCs w:val="28"/>
          <w:highlight w:val="none"/>
        </w:rPr>
        <w:t>前向交易所递交书面提疑表，</w:t>
      </w:r>
      <w:r>
        <w:rPr>
          <w:rFonts w:hint="eastAsia" w:ascii="宋体" w:hAnsi="宋体" w:cs="宋体"/>
          <w:color w:val="auto"/>
          <w:sz w:val="28"/>
          <w:szCs w:val="28"/>
          <w:highlight w:val="none"/>
        </w:rPr>
        <w:t>转让方</w:t>
      </w:r>
      <w:r>
        <w:rPr>
          <w:rFonts w:hint="eastAsia" w:ascii="宋体" w:hAnsi="宋体" w:cs="宋体"/>
          <w:color w:val="auto"/>
          <w:sz w:val="28"/>
          <w:szCs w:val="28"/>
          <w:highlight w:val="none"/>
          <w:lang w:val="en-US" w:eastAsia="zh-CN"/>
        </w:rPr>
        <w:t>在收到书面提疑表的2个工作日内</w:t>
      </w:r>
      <w:r>
        <w:rPr>
          <w:rFonts w:hint="eastAsia" w:ascii="宋体" w:hAnsi="宋体" w:cs="宋体"/>
          <w:color w:val="auto"/>
          <w:sz w:val="28"/>
          <w:szCs w:val="28"/>
          <w:highlight w:val="none"/>
        </w:rPr>
        <w:t>对意向受让方的书面提疑进行书面答复。若未在规定时间内提出疑问，视为无异议，超过规定时间提交的提疑，将不予受理。</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十六、申请人资格审核</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ascii="宋体" w:hAnsi="宋体" w:cs="宋体"/>
          <w:color w:val="auto"/>
          <w:sz w:val="28"/>
          <w:szCs w:val="28"/>
          <w:highlight w:val="none"/>
        </w:rPr>
        <w:t>（一）</w:t>
      </w:r>
      <w:r>
        <w:rPr>
          <w:rFonts w:hint="eastAsia" w:ascii="宋体" w:hAnsi="宋体" w:cs="宋体"/>
          <w:color w:val="auto"/>
          <w:sz w:val="28"/>
          <w:szCs w:val="28"/>
          <w:highlight w:val="none"/>
        </w:rPr>
        <w:t>对意向受让方递交的申请材料，</w:t>
      </w:r>
      <w:r>
        <w:rPr>
          <w:rFonts w:hint="eastAsia" w:ascii="宋体" w:hAnsi="宋体" w:cs="宋体"/>
          <w:color w:val="auto"/>
          <w:sz w:val="28"/>
          <w:szCs w:val="28"/>
          <w:highlight w:val="none"/>
        </w:rPr>
        <w:t>交易所</w:t>
      </w:r>
      <w:r>
        <w:rPr>
          <w:rFonts w:hint="eastAsia" w:ascii="宋体" w:hAnsi="宋体" w:cs="宋体"/>
          <w:color w:val="auto"/>
          <w:sz w:val="28"/>
          <w:szCs w:val="28"/>
          <w:highlight w:val="none"/>
          <w:lang w:val="en-US" w:eastAsia="zh-CN"/>
        </w:rPr>
        <w:t>将2个工作日内</w:t>
      </w:r>
      <w:r>
        <w:rPr>
          <w:rFonts w:hint="eastAsia" w:ascii="宋体" w:hAnsi="宋体" w:cs="宋体"/>
          <w:color w:val="auto"/>
          <w:sz w:val="28"/>
          <w:szCs w:val="28"/>
          <w:highlight w:val="none"/>
        </w:rPr>
        <w:t>对报名人材料的齐全性等情况进行审核</w:t>
      </w:r>
      <w:r>
        <w:rPr>
          <w:rFonts w:hint="eastAsia" w:ascii="宋体" w:hAnsi="宋体" w:cs="宋体"/>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（二）交易所通知符合资格条件的意向受让方在规定时间内交纳保证金。</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十七、保证金交纳及竞买资格确认</w:t>
      </w:r>
    </w:p>
    <w:p>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ascii="宋体" w:hAnsi="宋体" w:cs="宋体"/>
          <w:color w:val="auto"/>
          <w:sz w:val="28"/>
          <w:szCs w:val="28"/>
          <w:highlight w:val="none"/>
        </w:rPr>
        <w:t>（</w:t>
      </w:r>
      <w:r>
        <w:rPr>
          <w:rFonts w:hint="eastAsia" w:ascii="宋体" w:hAnsi="宋体" w:cs="宋体"/>
          <w:color w:val="auto"/>
          <w:sz w:val="28"/>
          <w:szCs w:val="28"/>
          <w:highlight w:val="none"/>
        </w:rPr>
        <w:t>一</w:t>
      </w:r>
      <w:r>
        <w:rPr>
          <w:rFonts w:ascii="宋体" w:hAnsi="宋体" w:cs="宋体"/>
          <w:color w:val="auto"/>
          <w:sz w:val="28"/>
          <w:szCs w:val="28"/>
          <w:highlight w:val="none"/>
        </w:rPr>
        <w:t>）</w:t>
      </w:r>
      <w:r>
        <w:rPr>
          <w:rFonts w:hint="eastAsia" w:ascii="宋体" w:hAnsi="宋体" w:cs="宋体"/>
          <w:color w:val="auto"/>
          <w:sz w:val="28"/>
          <w:szCs w:val="28"/>
          <w:highlight w:val="none"/>
        </w:rPr>
        <w:t>交纳竞买保证金</w:t>
      </w:r>
      <w:r>
        <w:rPr>
          <w:rFonts w:hint="eastAsia" w:ascii="宋体" w:hAnsi="宋体" w:cs="宋体"/>
          <w:b/>
          <w:color w:val="auto"/>
          <w:sz w:val="28"/>
          <w:szCs w:val="28"/>
          <w:highlight w:val="none"/>
        </w:rPr>
        <w:t>时间</w:t>
      </w:r>
      <w:r>
        <w:rPr>
          <w:rFonts w:hint="eastAsia" w:ascii="宋体" w:hAnsi="宋体" w:cs="宋体"/>
          <w:color w:val="auto"/>
          <w:sz w:val="28"/>
          <w:szCs w:val="28"/>
          <w:highlight w:val="none"/>
        </w:rPr>
        <w:t>：</w:t>
      </w:r>
      <w:r>
        <w:rPr>
          <w:rFonts w:hint="eastAsia" w:ascii="宋体" w:hAnsi="宋体" w:eastAsia="宋体" w:cs="宋体"/>
          <w:caps w:val="0"/>
          <w:color w:val="auto"/>
          <w:spacing w:val="0"/>
          <w:sz w:val="28"/>
          <w:szCs w:val="28"/>
          <w:highlight w:val="none"/>
          <w:shd w:val="clear" w:fill="FFFFFF"/>
        </w:rPr>
        <w:t>意向受让方资格审核通过后应于2021年9月2</w:t>
      </w:r>
      <w:r>
        <w:rPr>
          <w:rFonts w:hint="eastAsia" w:ascii="宋体" w:hAnsi="宋体" w:eastAsia="宋体" w:cs="宋体"/>
          <w:caps w:val="0"/>
          <w:color w:val="auto"/>
          <w:spacing w:val="0"/>
          <w:sz w:val="28"/>
          <w:szCs w:val="28"/>
          <w:highlight w:val="none"/>
          <w:shd w:val="clear" w:fill="FFFFFF"/>
          <w:lang w:val="en-US" w:eastAsia="zh-CN"/>
        </w:rPr>
        <w:t>6</w:t>
      </w:r>
      <w:r>
        <w:rPr>
          <w:rFonts w:hint="eastAsia" w:ascii="宋体" w:hAnsi="宋体" w:eastAsia="宋体" w:cs="宋体"/>
          <w:caps w:val="0"/>
          <w:color w:val="auto"/>
          <w:spacing w:val="0"/>
          <w:sz w:val="28"/>
          <w:szCs w:val="28"/>
          <w:highlight w:val="none"/>
          <w:shd w:val="clear" w:fill="FFFFFF"/>
        </w:rPr>
        <w:t>日16:00前通过注册时填写的银行账户，足额缴纳保证金至指定账户</w:t>
      </w:r>
      <w:r>
        <w:rPr>
          <w:rFonts w:hint="eastAsia" w:ascii="宋体" w:hAnsi="宋体" w:cs="宋体"/>
          <w:color w:val="auto"/>
          <w:sz w:val="28"/>
          <w:szCs w:val="28"/>
          <w:highlight w:val="none"/>
        </w:rPr>
        <w:t>（以银行到账时间为准）；</w:t>
      </w:r>
    </w:p>
    <w:p>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竞买保证金</w:t>
      </w:r>
      <w:r>
        <w:rPr>
          <w:rFonts w:hint="eastAsia" w:ascii="宋体" w:hAnsi="宋体" w:cs="宋体"/>
          <w:b/>
          <w:color w:val="auto"/>
          <w:sz w:val="28"/>
          <w:szCs w:val="28"/>
          <w:highlight w:val="none"/>
        </w:rPr>
        <w:t>数额</w:t>
      </w:r>
      <w:r>
        <w:rPr>
          <w:rFonts w:hint="eastAsia" w:ascii="宋体" w:hAnsi="宋体" w:cs="宋体"/>
          <w:color w:val="auto"/>
          <w:sz w:val="28"/>
          <w:szCs w:val="28"/>
          <w:highlight w:val="none"/>
        </w:rPr>
        <w:t>：人民币</w:t>
      </w:r>
      <w:r>
        <w:rPr>
          <w:rFonts w:hint="eastAsia" w:ascii="宋体" w:hAnsi="宋体" w:cs="宋体"/>
          <w:color w:val="auto"/>
          <w:sz w:val="28"/>
          <w:szCs w:val="28"/>
          <w:highlight w:val="none"/>
          <w:lang w:val="en-US" w:eastAsia="zh-CN"/>
        </w:rPr>
        <w:t>12600万</w:t>
      </w:r>
      <w:r>
        <w:rPr>
          <w:rFonts w:hint="eastAsia" w:ascii="宋体" w:hAnsi="宋体" w:cs="宋体"/>
          <w:color w:val="auto"/>
          <w:sz w:val="28"/>
          <w:szCs w:val="28"/>
          <w:highlight w:val="none"/>
        </w:rPr>
        <w:t>元；</w:t>
      </w:r>
    </w:p>
    <w:p>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ascii="宋体" w:hAnsi="宋体" w:cs="宋体"/>
          <w:color w:val="auto"/>
          <w:sz w:val="28"/>
          <w:szCs w:val="28"/>
          <w:highlight w:val="none"/>
        </w:rPr>
      </w:pPr>
      <w:r>
        <w:rPr>
          <w:rFonts w:hint="eastAsia" w:ascii="宋体" w:hAnsi="宋体" w:cs="宋体"/>
          <w:color w:val="auto"/>
          <w:sz w:val="28"/>
          <w:szCs w:val="28"/>
          <w:highlight w:val="none"/>
        </w:rPr>
        <w:t>竞买保证金的</w:t>
      </w:r>
      <w:r>
        <w:rPr>
          <w:rFonts w:hint="eastAsia" w:ascii="宋体" w:hAnsi="宋体" w:cs="宋体"/>
          <w:b/>
          <w:color w:val="auto"/>
          <w:sz w:val="28"/>
          <w:szCs w:val="28"/>
          <w:highlight w:val="none"/>
        </w:rPr>
        <w:t>交纳</w:t>
      </w:r>
      <w:r>
        <w:rPr>
          <w:rFonts w:hint="eastAsia" w:ascii="宋体" w:hAnsi="宋体" w:cs="宋体"/>
          <w:color w:val="auto"/>
          <w:sz w:val="28"/>
          <w:szCs w:val="28"/>
          <w:highlight w:val="none"/>
        </w:rPr>
        <w:t>：</w:t>
      </w:r>
      <w:r>
        <w:rPr>
          <w:rFonts w:hint="eastAsia" w:ascii="宋体" w:hAnsi="宋体" w:cs="宋体"/>
          <w:color w:val="auto"/>
          <w:spacing w:val="-14"/>
          <w:kern w:val="0"/>
          <w:sz w:val="28"/>
          <w:szCs w:val="28"/>
          <w:highlight w:val="none"/>
        </w:rPr>
        <w:t>报名人与转款人名称必须一致</w:t>
      </w:r>
      <w:r>
        <w:rPr>
          <w:rFonts w:hint="eastAsia" w:ascii="宋体" w:hAnsi="宋体" w:cs="宋体"/>
          <w:color w:val="auto"/>
          <w:spacing w:val="-14"/>
          <w:kern w:val="0"/>
          <w:sz w:val="28"/>
          <w:szCs w:val="28"/>
          <w:highlight w:val="none"/>
          <w:u w:val="single"/>
        </w:rPr>
        <w:t>（不允许代交，代交保证金无效），</w:t>
      </w:r>
      <w:r>
        <w:rPr>
          <w:rFonts w:hint="eastAsia" w:ascii="宋体" w:hAnsi="宋体" w:cs="宋体"/>
          <w:color w:val="auto"/>
          <w:spacing w:val="-14"/>
          <w:kern w:val="0"/>
          <w:sz w:val="28"/>
          <w:szCs w:val="28"/>
          <w:highlight w:val="none"/>
        </w:rPr>
        <w:t>转款时须注明参与项目名称,例如：“八都项目”。保证金、成交款项交款专用账号（此账号专人专用）：</w:t>
      </w:r>
    </w:p>
    <w:p>
      <w:pPr>
        <w:keepNext w:val="0"/>
        <w:keepLines w:val="0"/>
        <w:pageBreakBefore w:val="0"/>
        <w:widowControl/>
        <w:kinsoku/>
        <w:wordWrap/>
        <w:overflowPunct/>
        <w:topLinePunct w:val="0"/>
        <w:autoSpaceDE/>
        <w:autoSpaceDN/>
        <w:bidi w:val="0"/>
        <w:adjustRightInd/>
        <w:snapToGrid/>
        <w:spacing w:line="480" w:lineRule="exact"/>
        <w:ind w:firstLine="504" w:firstLineChars="200"/>
        <w:jc w:val="left"/>
        <w:textAlignment w:val="auto"/>
        <w:rPr>
          <w:rFonts w:ascii="宋体" w:hAnsi="宋体" w:cs="宋体"/>
          <w:color w:val="auto"/>
          <w:sz w:val="28"/>
          <w:szCs w:val="28"/>
          <w:highlight w:val="none"/>
        </w:rPr>
      </w:pPr>
      <w:r>
        <w:rPr>
          <w:rFonts w:hint="eastAsia" w:ascii="宋体" w:hAnsi="宋体" w:cs="宋体"/>
          <w:color w:val="auto"/>
          <w:spacing w:val="-14"/>
          <w:kern w:val="0"/>
          <w:sz w:val="28"/>
          <w:szCs w:val="28"/>
          <w:highlight w:val="none"/>
        </w:rPr>
        <w:t>户  名：义乌产权交易所有限公司</w:t>
      </w:r>
    </w:p>
    <w:p>
      <w:pPr>
        <w:keepNext w:val="0"/>
        <w:keepLines w:val="0"/>
        <w:pageBreakBefore w:val="0"/>
        <w:widowControl/>
        <w:kinsoku/>
        <w:wordWrap/>
        <w:overflowPunct/>
        <w:topLinePunct w:val="0"/>
        <w:autoSpaceDE/>
        <w:autoSpaceDN/>
        <w:bidi w:val="0"/>
        <w:adjustRightInd/>
        <w:snapToGrid/>
        <w:spacing w:line="480" w:lineRule="exact"/>
        <w:ind w:firstLine="504" w:firstLineChars="200"/>
        <w:jc w:val="left"/>
        <w:textAlignment w:val="auto"/>
        <w:rPr>
          <w:rFonts w:ascii="宋体" w:hAnsi="宋体" w:cs="宋体"/>
          <w:color w:val="auto"/>
          <w:sz w:val="28"/>
          <w:szCs w:val="28"/>
          <w:highlight w:val="none"/>
        </w:rPr>
      </w:pPr>
      <w:r>
        <w:rPr>
          <w:rFonts w:hint="eastAsia" w:ascii="宋体" w:hAnsi="宋体" w:cs="宋体"/>
          <w:color w:val="auto"/>
          <w:spacing w:val="-14"/>
          <w:kern w:val="0"/>
          <w:sz w:val="28"/>
          <w:szCs w:val="28"/>
          <w:highlight w:val="none"/>
        </w:rPr>
        <w:t>开户行：工商银行义乌词林支行</w:t>
      </w:r>
    </w:p>
    <w:p>
      <w:pPr>
        <w:keepNext w:val="0"/>
        <w:keepLines w:val="0"/>
        <w:pageBreakBefore w:val="0"/>
        <w:widowControl/>
        <w:kinsoku/>
        <w:wordWrap/>
        <w:overflowPunct/>
        <w:topLinePunct w:val="0"/>
        <w:autoSpaceDE/>
        <w:autoSpaceDN/>
        <w:bidi w:val="0"/>
        <w:adjustRightInd/>
        <w:snapToGrid/>
        <w:spacing w:line="480" w:lineRule="exact"/>
        <w:ind w:firstLine="504" w:firstLineChars="200"/>
        <w:jc w:val="left"/>
        <w:textAlignment w:val="auto"/>
        <w:rPr>
          <w:rFonts w:ascii="宋体" w:hAnsi="宋体" w:cs="宋体"/>
          <w:color w:val="auto"/>
          <w:sz w:val="28"/>
          <w:szCs w:val="28"/>
          <w:highlight w:val="none"/>
        </w:rPr>
      </w:pPr>
      <w:r>
        <w:rPr>
          <w:rFonts w:hint="eastAsia" w:ascii="宋体" w:hAnsi="宋体" w:cs="宋体"/>
          <w:color w:val="auto"/>
          <w:spacing w:val="-14"/>
          <w:kern w:val="0"/>
          <w:sz w:val="28"/>
          <w:szCs w:val="28"/>
          <w:highlight w:val="none"/>
        </w:rPr>
        <w:t>账  号：e交易竞价系统短信发送的专用账号（仅作为交纳竞买保证金、成交款项的临时账号）</w:t>
      </w:r>
    </w:p>
    <w:p>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（二）竞买人交纳的保证金均不计利息，未竞得人的保证金于竞价结束三个工作日内退还，竞得人的竞买保证金可抵交转让款。</w:t>
      </w:r>
    </w:p>
    <w:p>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ascii="宋体" w:hAnsi="宋体" w:cs="仿宋_GB2312"/>
          <w:color w:val="auto"/>
          <w:sz w:val="28"/>
          <w:szCs w:val="28"/>
          <w:highlight w:val="none"/>
        </w:rPr>
      </w:pPr>
      <w:r>
        <w:rPr>
          <w:rFonts w:hint="eastAsia" w:ascii="宋体" w:hAnsi="宋体" w:cs="宋体"/>
          <w:color w:val="auto"/>
          <w:sz w:val="28"/>
          <w:szCs w:val="28"/>
          <w:highlight w:val="none"/>
        </w:rPr>
        <w:t>★</w:t>
      </w:r>
      <w:r>
        <w:rPr>
          <w:rFonts w:hint="eastAsia" w:ascii="宋体" w:hAnsi="宋体" w:cs="宋体"/>
          <w:b/>
          <w:color w:val="auto"/>
          <w:sz w:val="28"/>
          <w:szCs w:val="28"/>
          <w:highlight w:val="none"/>
        </w:rPr>
        <w:t>注意事项：</w:t>
      </w:r>
      <w:r>
        <w:rPr>
          <w:rFonts w:hint="eastAsia" w:ascii="宋体" w:hAnsi="宋体" w:cs="仿宋_GB2312"/>
          <w:b/>
          <w:color w:val="auto"/>
          <w:sz w:val="28"/>
          <w:szCs w:val="28"/>
          <w:highlight w:val="none"/>
        </w:rPr>
        <w:t>意向受让方一旦通过资格确认且交纳保证金，即视为对本细则及相关挂牌文件内容予以认可，已无任何异议，同时其竞买受让申请将不可撤回</w:t>
      </w:r>
      <w:r>
        <w:rPr>
          <w:rFonts w:hint="eastAsia" w:ascii="宋体" w:hAnsi="宋体"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color w:val="auto"/>
          <w:sz w:val="28"/>
          <w:szCs w:val="28"/>
          <w:highlight w:val="none"/>
        </w:rPr>
      </w:pPr>
      <w:r>
        <w:rPr>
          <w:rFonts w:hint="eastAsia" w:ascii="宋体" w:hAnsi="宋体" w:cs="宋体"/>
          <w:b/>
          <w:color w:val="auto"/>
          <w:sz w:val="28"/>
          <w:szCs w:val="28"/>
          <w:highlight w:val="none"/>
        </w:rPr>
        <w:t>十八、网络报价、竞价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（一）仅有一个有效竞买人的情形：</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保证金交纳时间截止后，仅有一个竞买人通过资格审核，且足额交纳保证金的，</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27</w:t>
      </w:r>
      <w:r>
        <w:rPr>
          <w:rFonts w:hint="eastAsia" w:ascii="宋体" w:hAnsi="宋体" w:cs="宋体"/>
          <w:color w:val="auto"/>
          <w:sz w:val="28"/>
          <w:szCs w:val="28"/>
          <w:highlight w:val="none"/>
        </w:rPr>
        <w:t>日</w:t>
      </w:r>
      <w:r>
        <w:rPr>
          <w:rFonts w:hint="eastAsia" w:ascii="宋体" w:hAnsi="宋体" w:cs="宋体"/>
          <w:color w:val="auto"/>
          <w:sz w:val="28"/>
          <w:szCs w:val="28"/>
          <w:highlight w:val="none"/>
        </w:rPr>
        <w:t>通过e交易网站</w:t>
      </w:r>
      <w:r>
        <w:rPr>
          <w:rFonts w:hint="eastAsia" w:ascii="宋体" w:hAnsi="宋体" w:cs="宋体"/>
          <w:color w:val="auto"/>
          <w:kern w:val="0"/>
          <w:sz w:val="28"/>
          <w:szCs w:val="28"/>
          <w:highlight w:val="none"/>
        </w:rPr>
        <w:t>（</w:t>
      </w:r>
      <w:r>
        <w:rPr>
          <w:color w:val="auto"/>
          <w:highlight w:val="none"/>
        </w:rPr>
        <w:fldChar w:fldCharType="begin"/>
      </w:r>
      <w:r>
        <w:rPr>
          <w:color w:val="auto"/>
          <w:highlight w:val="none"/>
        </w:rPr>
        <w:instrText xml:space="preserve"> HYPERLINK "http://www.ejy365.com/" \t "http://www.e-jy.com.cn/ejyzx/eWebEditor/_blank" </w:instrText>
      </w:r>
      <w:r>
        <w:rPr>
          <w:color w:val="auto"/>
          <w:highlight w:val="none"/>
        </w:rPr>
        <w:fldChar w:fldCharType="separate"/>
      </w:r>
      <w:r>
        <w:rPr>
          <w:rStyle w:val="10"/>
          <w:rFonts w:hint="eastAsia" w:ascii="宋体" w:hAnsi="宋体" w:cs="宋体"/>
          <w:color w:val="auto"/>
          <w:sz w:val="28"/>
          <w:szCs w:val="28"/>
          <w:highlight w:val="none"/>
        </w:rPr>
        <w:t>www.ejy365.com</w:t>
      </w:r>
      <w:r>
        <w:rPr>
          <w:rStyle w:val="10"/>
          <w:rFonts w:hint="eastAsia" w:ascii="宋体" w:hAnsi="宋体" w:cs="宋体"/>
          <w:color w:val="auto"/>
          <w:sz w:val="28"/>
          <w:szCs w:val="28"/>
          <w:highlight w:val="none"/>
        </w:rPr>
        <w:fldChar w:fldCharType="end"/>
      </w:r>
      <w:r>
        <w:rPr>
          <w:rFonts w:hint="eastAsia" w:ascii="宋体" w:hAnsi="宋体" w:cs="宋体"/>
          <w:color w:val="auto"/>
          <w:kern w:val="0"/>
          <w:sz w:val="28"/>
          <w:szCs w:val="28"/>
          <w:highlight w:val="none"/>
        </w:rPr>
        <w:t>）</w:t>
      </w:r>
      <w:r>
        <w:rPr>
          <w:rFonts w:hint="eastAsia" w:ascii="宋体" w:hAnsi="宋体" w:cs="宋体"/>
          <w:color w:val="auto"/>
          <w:sz w:val="28"/>
          <w:szCs w:val="28"/>
          <w:highlight w:val="none"/>
        </w:rPr>
        <w:t>报价，竞买人报价不得低于挂牌转让底价。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（二）有两个及以上有效竞买人的情形：</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保证金交纳时间截止后，有两个及以上竞买人的通过资格审核，且足额交纳保证金的，</w:t>
      </w:r>
      <w:r>
        <w:rPr>
          <w:rFonts w:hint="eastAsia" w:ascii="宋体" w:hAnsi="宋体" w:cs="宋体"/>
          <w:color w:val="auto"/>
          <w:sz w:val="28"/>
          <w:szCs w:val="28"/>
          <w:highlight w:val="none"/>
          <w:lang w:val="en-US" w:eastAsia="zh-CN"/>
        </w:rPr>
        <w:t>2021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27</w:t>
      </w:r>
      <w:r>
        <w:rPr>
          <w:rFonts w:hint="eastAsia" w:ascii="宋体" w:hAnsi="宋体" w:cs="宋体"/>
          <w:color w:val="auto"/>
          <w:sz w:val="28"/>
          <w:szCs w:val="28"/>
          <w:highlight w:val="none"/>
        </w:rPr>
        <w:t>日</w:t>
      </w:r>
      <w:r>
        <w:rPr>
          <w:rFonts w:hint="eastAsia" w:ascii="宋体" w:hAnsi="宋体" w:cs="宋体"/>
          <w:color w:val="auto"/>
          <w:sz w:val="28"/>
          <w:szCs w:val="28"/>
          <w:highlight w:val="none"/>
        </w:rPr>
        <w:t>进行网络竞价，竞买人需按以下事项进行报价：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1.本次转让网络竞价采取多</w:t>
      </w:r>
      <w:r>
        <w:rPr>
          <w:rFonts w:ascii="宋体" w:hAnsi="宋体" w:cs="宋体"/>
          <w:color w:val="auto"/>
          <w:sz w:val="28"/>
          <w:szCs w:val="28"/>
          <w:highlight w:val="none"/>
        </w:rPr>
        <w:t>次报价</w:t>
      </w:r>
      <w:r>
        <w:rPr>
          <w:rFonts w:hint="eastAsia" w:ascii="宋体" w:hAnsi="宋体" w:cs="宋体"/>
          <w:color w:val="auto"/>
          <w:sz w:val="28"/>
          <w:szCs w:val="28"/>
          <w:highlight w:val="none"/>
        </w:rPr>
        <w:t>方式；</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2.竞价网站：由各竞买人登录</w:t>
      </w:r>
      <w:r>
        <w:rPr>
          <w:rFonts w:hint="eastAsia" w:ascii="宋体" w:hAnsi="宋体" w:cs="宋体"/>
          <w:color w:val="auto"/>
          <w:kern w:val="0"/>
          <w:sz w:val="28"/>
          <w:szCs w:val="28"/>
          <w:highlight w:val="none"/>
        </w:rPr>
        <w:t>e交易平台进行报价。竞买人可通过</w:t>
      </w:r>
      <w:r>
        <w:rPr>
          <w:rFonts w:hint="eastAsia" w:ascii="宋体" w:hAnsi="宋体" w:cs="宋体"/>
          <w:color w:val="auto"/>
          <w:sz w:val="28"/>
          <w:szCs w:val="28"/>
          <w:highlight w:val="none"/>
        </w:rPr>
        <w:t>系统分发的竞价子账号或注册的e交易账户进入竞价页面，进行报价；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3.进入网络报价页面，了解加价幅度、应价时间等信息；</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4.网络报价从底价开始，竞买人可点击加价倍数进行报价，有效报价须大于当前报价；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5.网络竞价分为两个阶段：第一阶段为自由竞价阶段，竞买人可在此阶段任意时间报价。第二阶段为延时竞价阶段，延时竞价周期为</w:t>
      </w:r>
      <w:r>
        <w:rPr>
          <w:rFonts w:hint="eastAsia" w:ascii="宋体" w:hAnsi="宋体" w:cs="宋体"/>
          <w:color w:val="auto"/>
          <w:sz w:val="28"/>
          <w:szCs w:val="28"/>
          <w:highlight w:val="none"/>
          <w:lang w:val="en-US" w:eastAsia="zh-CN"/>
        </w:rPr>
        <w:t>300</w:t>
      </w:r>
      <w:r>
        <w:rPr>
          <w:rFonts w:hint="eastAsia" w:ascii="宋体" w:hAnsi="宋体" w:cs="宋体"/>
          <w:color w:val="auto"/>
          <w:sz w:val="28"/>
          <w:szCs w:val="28"/>
          <w:highlight w:val="none"/>
        </w:rPr>
        <w:t>秒，竞买人须在规定应价时间段内进行有效报价，若在应价时间段内出现新报价，系统自动延续</w:t>
      </w:r>
      <w:r>
        <w:rPr>
          <w:rFonts w:hint="eastAsia" w:ascii="宋体" w:hAnsi="宋体" w:cs="宋体"/>
          <w:color w:val="auto"/>
          <w:sz w:val="28"/>
          <w:szCs w:val="28"/>
          <w:highlight w:val="none"/>
          <w:lang w:val="en-US" w:eastAsia="zh-CN"/>
        </w:rPr>
        <w:t>300</w:t>
      </w:r>
      <w:r>
        <w:rPr>
          <w:rFonts w:hint="eastAsia" w:ascii="宋体" w:hAnsi="宋体" w:cs="宋体"/>
          <w:color w:val="auto"/>
          <w:sz w:val="28"/>
          <w:szCs w:val="28"/>
          <w:highlight w:val="none"/>
        </w:rPr>
        <w:t>秒，直至应价计时结束，没有出现新的报价；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kern w:val="0"/>
          <w:sz w:val="28"/>
          <w:szCs w:val="28"/>
          <w:highlight w:val="none"/>
        </w:rPr>
      </w:pPr>
      <w:r>
        <w:rPr>
          <w:rFonts w:hint="eastAsia" w:ascii="宋体" w:hAnsi="宋体" w:cs="宋体"/>
          <w:color w:val="auto"/>
          <w:kern w:val="0"/>
          <w:sz w:val="28"/>
          <w:szCs w:val="28"/>
          <w:highlight w:val="none"/>
        </w:rPr>
        <w:t>（三）竞买人在竞价前请详细了解并严格遵守e交易平台（</w:t>
      </w:r>
      <w:r>
        <w:rPr>
          <w:color w:val="auto"/>
          <w:highlight w:val="none"/>
        </w:rPr>
        <w:fldChar w:fldCharType="begin"/>
      </w:r>
      <w:r>
        <w:rPr>
          <w:color w:val="auto"/>
          <w:highlight w:val="none"/>
        </w:rPr>
        <w:instrText xml:space="preserve"> HYPERLINK "http://www.ejy365.com/" \t "http://www.e-jy.com.cn/ejyzx/eWebEditor/_blank" </w:instrText>
      </w:r>
      <w:r>
        <w:rPr>
          <w:color w:val="auto"/>
          <w:highlight w:val="none"/>
        </w:rPr>
        <w:fldChar w:fldCharType="separate"/>
      </w:r>
      <w:r>
        <w:rPr>
          <w:rStyle w:val="10"/>
          <w:rFonts w:hint="eastAsia" w:ascii="宋体" w:hAnsi="宋体" w:cs="宋体"/>
          <w:color w:val="auto"/>
          <w:sz w:val="28"/>
          <w:szCs w:val="28"/>
          <w:highlight w:val="none"/>
        </w:rPr>
        <w:t>www.ejy365.com</w:t>
      </w:r>
      <w:r>
        <w:rPr>
          <w:rStyle w:val="10"/>
          <w:rFonts w:hint="eastAsia" w:ascii="宋体" w:hAnsi="宋体" w:cs="宋体"/>
          <w:color w:val="auto"/>
          <w:sz w:val="28"/>
          <w:szCs w:val="28"/>
          <w:highlight w:val="none"/>
        </w:rPr>
        <w:fldChar w:fldCharType="end"/>
      </w:r>
      <w:r>
        <w:rPr>
          <w:rFonts w:hint="eastAsia" w:ascii="宋体" w:hAnsi="宋体" w:cs="宋体"/>
          <w:color w:val="auto"/>
          <w:kern w:val="0"/>
          <w:sz w:val="28"/>
          <w:szCs w:val="28"/>
          <w:highlight w:val="none"/>
        </w:rPr>
        <w:t>）的 《</w:t>
      </w:r>
      <w:r>
        <w:rPr>
          <w:color w:val="auto"/>
          <w:highlight w:val="none"/>
        </w:rPr>
        <w:fldChar w:fldCharType="begin"/>
      </w:r>
      <w:r>
        <w:rPr>
          <w:color w:val="auto"/>
          <w:highlight w:val="none"/>
        </w:rPr>
        <w:instrText xml:space="preserve"> HYPERLINK "http://www.ejy365.com/newsinfo?infoid=fd28532d-0ae8-43f8-a482-2497e6f7f9f6" \t "http://www.e-jy.com.cn/ejyzx/eWebEditor/_blank" </w:instrText>
      </w:r>
      <w:r>
        <w:rPr>
          <w:color w:val="auto"/>
          <w:highlight w:val="none"/>
        </w:rPr>
        <w:fldChar w:fldCharType="separate"/>
      </w:r>
      <w:r>
        <w:rPr>
          <w:rStyle w:val="10"/>
          <w:rFonts w:hint="eastAsia" w:ascii="宋体" w:hAnsi="宋体" w:cs="宋体"/>
          <w:color w:val="auto"/>
          <w:sz w:val="28"/>
          <w:szCs w:val="28"/>
          <w:highlight w:val="none"/>
        </w:rPr>
        <w:t>e交易平台竞价交易规则</w:t>
      </w:r>
      <w:r>
        <w:rPr>
          <w:rStyle w:val="10"/>
          <w:rFonts w:hint="eastAsia" w:ascii="宋体" w:hAnsi="宋体" w:cs="宋体"/>
          <w:color w:val="auto"/>
          <w:sz w:val="28"/>
          <w:szCs w:val="28"/>
          <w:highlight w:val="none"/>
        </w:rPr>
        <w:fldChar w:fldCharType="end"/>
      </w:r>
      <w:r>
        <w:rPr>
          <w:rFonts w:hint="eastAsia" w:ascii="宋体" w:hAnsi="宋体" w:cs="宋体"/>
          <w:color w:val="auto"/>
          <w:kern w:val="0"/>
          <w:sz w:val="28"/>
          <w:szCs w:val="28"/>
          <w:highlight w:val="none"/>
        </w:rPr>
        <w:t>》、 《</w:t>
      </w:r>
      <w:r>
        <w:rPr>
          <w:color w:val="auto"/>
          <w:highlight w:val="none"/>
        </w:rPr>
        <w:fldChar w:fldCharType="begin"/>
      </w:r>
      <w:r>
        <w:rPr>
          <w:color w:val="auto"/>
          <w:highlight w:val="none"/>
        </w:rPr>
        <w:instrText xml:space="preserve"> HYPERLINK "http://www.ejy365.com/newsinfo?infoid=b74cf4d8-845e-42c0-9ed5-0720ab0d086e" \t "http://www.e-jy.com.cn/ejyzx/eWebEditor/_blank" </w:instrText>
      </w:r>
      <w:r>
        <w:rPr>
          <w:color w:val="auto"/>
          <w:highlight w:val="none"/>
        </w:rPr>
        <w:fldChar w:fldCharType="separate"/>
      </w:r>
      <w:r>
        <w:rPr>
          <w:rStyle w:val="10"/>
          <w:rFonts w:hint="eastAsia" w:ascii="宋体" w:hAnsi="宋体" w:cs="宋体"/>
          <w:color w:val="auto"/>
          <w:sz w:val="28"/>
          <w:szCs w:val="28"/>
          <w:highlight w:val="none"/>
        </w:rPr>
        <w:t>e交易平台产权交易操作指南</w:t>
      </w:r>
      <w:r>
        <w:rPr>
          <w:rStyle w:val="10"/>
          <w:rFonts w:hint="eastAsia" w:ascii="宋体" w:hAnsi="宋体" w:cs="宋体"/>
          <w:color w:val="auto"/>
          <w:sz w:val="28"/>
          <w:szCs w:val="28"/>
          <w:highlight w:val="none"/>
        </w:rPr>
        <w:fldChar w:fldCharType="end"/>
      </w:r>
      <w:r>
        <w:rPr>
          <w:rFonts w:hint="eastAsia" w:ascii="宋体" w:hAnsi="宋体" w:cs="宋体"/>
          <w:color w:val="auto"/>
          <w:kern w:val="0"/>
          <w:sz w:val="28"/>
          <w:szCs w:val="28"/>
          <w:highlight w:val="none"/>
        </w:rPr>
        <w:t>》等要求。</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ascii="宋体" w:hAnsi="宋体" w:cs="宋体"/>
          <w:color w:val="auto"/>
          <w:sz w:val="28"/>
          <w:szCs w:val="28"/>
          <w:highlight w:val="none"/>
        </w:rPr>
        <w:t>★</w:t>
      </w:r>
      <w:r>
        <w:rPr>
          <w:rFonts w:hint="eastAsia" w:ascii="宋体" w:hAnsi="宋体" w:cs="宋体"/>
          <w:color w:val="auto"/>
          <w:sz w:val="28"/>
          <w:szCs w:val="28"/>
          <w:highlight w:val="none"/>
        </w:rPr>
        <w:t>竞买人不得相互串通报价。发现串通报价者，经查实的，按有关法规的规定处罚。</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仿宋_GB2312"/>
          <w:color w:val="auto"/>
          <w:sz w:val="28"/>
          <w:szCs w:val="28"/>
          <w:highlight w:val="none"/>
        </w:rPr>
      </w:pPr>
      <w:r>
        <w:rPr>
          <w:rFonts w:hint="eastAsia" w:ascii="宋体" w:hAnsi="宋体" w:cs="仿宋_GB2312"/>
          <w:color w:val="auto"/>
          <w:sz w:val="28"/>
          <w:szCs w:val="28"/>
          <w:highlight w:val="none"/>
        </w:rPr>
        <w:t>★在挂牌竞价过程中，有下列情况之一，转让无效：</w:t>
      </w:r>
      <w:r>
        <w:rPr>
          <w:rFonts w:ascii="宋体" w:hAnsi="宋体" w:cs="仿宋_GB2312"/>
          <w:color w:val="auto"/>
          <w:sz w:val="28"/>
          <w:szCs w:val="28"/>
          <w:highlight w:val="none"/>
        </w:rPr>
        <w:br w:type="textWrapping"/>
      </w:r>
      <w:r>
        <w:rPr>
          <w:rFonts w:ascii="宋体" w:hAnsi="宋体" w:cs="仿宋_GB2312"/>
          <w:color w:val="auto"/>
          <w:sz w:val="28"/>
          <w:szCs w:val="28"/>
          <w:highlight w:val="none"/>
        </w:rPr>
        <w:t xml:space="preserve">    1</w:t>
      </w:r>
      <w:r>
        <w:rPr>
          <w:rFonts w:hint="eastAsia" w:ascii="宋体" w:hAnsi="宋体" w:cs="仿宋_GB2312"/>
          <w:color w:val="auto"/>
          <w:sz w:val="28"/>
          <w:szCs w:val="28"/>
          <w:highlight w:val="none"/>
        </w:rPr>
        <w:t>.</w:t>
      </w:r>
      <w:r>
        <w:rPr>
          <w:rFonts w:ascii="宋体" w:hAnsi="宋体" w:cs="仿宋_GB2312"/>
          <w:color w:val="auto"/>
          <w:sz w:val="28"/>
          <w:szCs w:val="28"/>
          <w:highlight w:val="none"/>
        </w:rPr>
        <w:t>竞买人在竞价</w:t>
      </w:r>
      <w:r>
        <w:rPr>
          <w:rFonts w:hint="eastAsia" w:ascii="宋体" w:hAnsi="宋体" w:cs="仿宋_GB2312"/>
          <w:color w:val="auto"/>
          <w:sz w:val="28"/>
          <w:szCs w:val="28"/>
          <w:highlight w:val="none"/>
        </w:rPr>
        <w:t>过程</w:t>
      </w:r>
      <w:r>
        <w:rPr>
          <w:rFonts w:ascii="宋体" w:hAnsi="宋体" w:cs="仿宋_GB2312"/>
          <w:color w:val="auto"/>
          <w:sz w:val="28"/>
          <w:szCs w:val="28"/>
          <w:highlight w:val="none"/>
        </w:rPr>
        <w:t>中，恶意串通压低价格的；</w:t>
      </w:r>
      <w:r>
        <w:rPr>
          <w:rFonts w:ascii="宋体" w:hAnsi="宋体" w:cs="仿宋_GB2312"/>
          <w:color w:val="auto"/>
          <w:sz w:val="28"/>
          <w:szCs w:val="28"/>
          <w:highlight w:val="none"/>
        </w:rPr>
        <w:br w:type="textWrapping"/>
      </w:r>
      <w:r>
        <w:rPr>
          <w:rFonts w:ascii="宋体" w:hAnsi="宋体" w:cs="仿宋_GB2312"/>
          <w:color w:val="auto"/>
          <w:sz w:val="28"/>
          <w:szCs w:val="28"/>
          <w:highlight w:val="none"/>
        </w:rPr>
        <w:t xml:space="preserve">    2</w:t>
      </w:r>
      <w:r>
        <w:rPr>
          <w:rFonts w:hint="eastAsia" w:ascii="宋体" w:hAnsi="宋体" w:cs="仿宋_GB2312"/>
          <w:color w:val="auto"/>
          <w:sz w:val="28"/>
          <w:szCs w:val="28"/>
          <w:highlight w:val="none"/>
        </w:rPr>
        <w:t>.</w:t>
      </w:r>
      <w:r>
        <w:rPr>
          <w:rFonts w:ascii="宋体" w:hAnsi="宋体" w:cs="仿宋_GB2312"/>
          <w:color w:val="auto"/>
          <w:sz w:val="28"/>
          <w:szCs w:val="28"/>
          <w:highlight w:val="none"/>
        </w:rPr>
        <w:t>竞买人采取欺诈、隐瞒等手段骗取受让资格；</w:t>
      </w:r>
      <w:r>
        <w:rPr>
          <w:rFonts w:ascii="宋体" w:hAnsi="宋体" w:cs="仿宋_GB2312"/>
          <w:color w:val="auto"/>
          <w:sz w:val="28"/>
          <w:szCs w:val="28"/>
          <w:highlight w:val="none"/>
        </w:rPr>
        <w:br w:type="textWrapping"/>
      </w:r>
      <w:r>
        <w:rPr>
          <w:rFonts w:ascii="宋体" w:hAnsi="宋体" w:cs="仿宋_GB2312"/>
          <w:color w:val="auto"/>
          <w:sz w:val="28"/>
          <w:szCs w:val="28"/>
          <w:highlight w:val="none"/>
        </w:rPr>
        <w:t xml:space="preserve">    3</w:t>
      </w:r>
      <w:r>
        <w:rPr>
          <w:rFonts w:hint="eastAsia" w:ascii="宋体" w:hAnsi="宋体" w:cs="仿宋_GB2312"/>
          <w:color w:val="auto"/>
          <w:sz w:val="28"/>
          <w:szCs w:val="28"/>
          <w:highlight w:val="none"/>
        </w:rPr>
        <w:t>.</w:t>
      </w:r>
      <w:r>
        <w:rPr>
          <w:rFonts w:ascii="宋体" w:hAnsi="宋体" w:cs="仿宋_GB2312"/>
          <w:color w:val="auto"/>
          <w:sz w:val="28"/>
          <w:szCs w:val="28"/>
          <w:highlight w:val="none"/>
        </w:rPr>
        <w:t xml:space="preserve">出现其他违反法律法规的行为。 </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十九、受让方的确定</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按下列规定确定受让方：</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（一）在保证金交纳时间截止后，未征集到有效竞买人或有效竞买人未报价的，则本项目不成交。</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b/>
          <w:color w:val="auto"/>
          <w:sz w:val="28"/>
          <w:szCs w:val="28"/>
          <w:highlight w:val="none"/>
        </w:rPr>
      </w:pPr>
      <w:r>
        <w:rPr>
          <w:rFonts w:hint="eastAsia" w:ascii="宋体" w:hAnsi="宋体" w:cs="宋体"/>
          <w:color w:val="auto"/>
          <w:sz w:val="28"/>
          <w:szCs w:val="28"/>
          <w:highlight w:val="none"/>
        </w:rPr>
        <w:t>（二）在保证金交纳时间截止后，仅征集到一个有效竞买人且该竞买人报价不低于挂牌转让底价的，</w:t>
      </w:r>
      <w:r>
        <w:rPr>
          <w:rFonts w:hint="eastAsia"/>
          <w:color w:val="auto"/>
          <w:sz w:val="28"/>
          <w:szCs w:val="28"/>
          <w:highlight w:val="none"/>
        </w:rPr>
        <w:t>该竞买人为受让方。</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（三）在保证金交纳时间截止后，有2个及以上竞买人通过资格审核并足额交纳保证金的，进行网络竞价，</w:t>
      </w:r>
      <w:r>
        <w:rPr>
          <w:rFonts w:hint="eastAsia" w:ascii="宋体" w:hAnsi="宋体" w:cs="仿宋_GB2312"/>
          <w:color w:val="auto"/>
          <w:sz w:val="28"/>
          <w:szCs w:val="28"/>
          <w:highlight w:val="none"/>
        </w:rPr>
        <w:t>以报价最高者为最终竞得人。</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二十、签订《成交确认书》</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仿宋_GB2312"/>
          <w:color w:val="auto"/>
          <w:sz w:val="28"/>
          <w:szCs w:val="28"/>
          <w:highlight w:val="none"/>
        </w:rPr>
      </w:pPr>
      <w:r>
        <w:rPr>
          <w:rFonts w:hint="eastAsia" w:ascii="宋体" w:hAnsi="宋体" w:cs="仿宋_GB2312"/>
          <w:color w:val="auto"/>
          <w:sz w:val="28"/>
          <w:szCs w:val="28"/>
          <w:highlight w:val="none"/>
        </w:rPr>
        <w:t>在本项目在确定成交后</w:t>
      </w:r>
      <w:r>
        <w:rPr>
          <w:rFonts w:ascii="宋体" w:hAnsi="宋体" w:cs="仿宋_GB2312"/>
          <w:color w:val="auto"/>
          <w:sz w:val="28"/>
          <w:szCs w:val="28"/>
          <w:highlight w:val="none"/>
        </w:rPr>
        <w:t>2个工作日内</w:t>
      </w:r>
      <w:r>
        <w:rPr>
          <w:rFonts w:hint="eastAsia" w:ascii="宋体" w:hAnsi="宋体" w:cs="仿宋_GB2312"/>
          <w:color w:val="auto"/>
          <w:sz w:val="28"/>
          <w:szCs w:val="28"/>
          <w:highlight w:val="none"/>
        </w:rPr>
        <w:t>（</w:t>
      </w:r>
      <w:r>
        <w:rPr>
          <w:rFonts w:hint="eastAsia" w:ascii="宋体" w:hAnsi="宋体" w:cs="仿宋_GB2312"/>
          <w:color w:val="auto"/>
          <w:sz w:val="28"/>
          <w:szCs w:val="28"/>
          <w:highlight w:val="none"/>
          <w:lang w:val="en-US" w:eastAsia="zh-CN"/>
        </w:rPr>
        <w:t>2021</w:t>
      </w:r>
      <w:r>
        <w:rPr>
          <w:rFonts w:hint="eastAsia" w:ascii="宋体" w:hAnsi="宋体" w:cs="仿宋_GB2312"/>
          <w:color w:val="auto"/>
          <w:sz w:val="28"/>
          <w:szCs w:val="28"/>
          <w:highlight w:val="none"/>
        </w:rPr>
        <w:t>年</w:t>
      </w:r>
      <w:r>
        <w:rPr>
          <w:rFonts w:hint="eastAsia" w:ascii="宋体" w:hAnsi="宋体" w:cs="仿宋_GB2312"/>
          <w:color w:val="auto"/>
          <w:sz w:val="28"/>
          <w:szCs w:val="28"/>
          <w:highlight w:val="none"/>
          <w:lang w:val="en-US" w:eastAsia="zh-CN"/>
        </w:rPr>
        <w:t>9</w:t>
      </w:r>
      <w:r>
        <w:rPr>
          <w:rFonts w:hint="eastAsia" w:ascii="宋体" w:hAnsi="宋体" w:cs="仿宋_GB2312"/>
          <w:color w:val="auto"/>
          <w:sz w:val="28"/>
          <w:szCs w:val="28"/>
          <w:highlight w:val="none"/>
        </w:rPr>
        <w:t>月</w:t>
      </w:r>
      <w:r>
        <w:rPr>
          <w:rFonts w:hint="eastAsia" w:ascii="宋体" w:hAnsi="宋体" w:cs="仿宋_GB2312"/>
          <w:color w:val="auto"/>
          <w:sz w:val="28"/>
          <w:szCs w:val="28"/>
          <w:highlight w:val="none"/>
          <w:lang w:val="en-US" w:eastAsia="zh-CN"/>
        </w:rPr>
        <w:t>29</w:t>
      </w:r>
      <w:r>
        <w:rPr>
          <w:rFonts w:hint="eastAsia" w:ascii="宋体" w:hAnsi="宋体" w:cs="仿宋_GB2312"/>
          <w:color w:val="auto"/>
          <w:sz w:val="28"/>
          <w:szCs w:val="28"/>
          <w:highlight w:val="none"/>
        </w:rPr>
        <w:t>日前</w:t>
      </w:r>
      <w:r>
        <w:rPr>
          <w:rFonts w:hint="eastAsia" w:ascii="宋体" w:hAnsi="宋体" w:cs="仿宋_GB2312"/>
          <w:color w:val="auto"/>
          <w:sz w:val="28"/>
          <w:szCs w:val="28"/>
          <w:highlight w:val="none"/>
        </w:rPr>
        <w:t>），竞得人须与交易所签订《成交确认书》。</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二十一、本次挂牌转让涉及受让方服务费</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本项目挂牌转让成交后，受让方需向交易所支付如下标准的服务费：</w:t>
      </w:r>
    </w:p>
    <w:tbl>
      <w:tblPr>
        <w:tblStyle w:val="5"/>
        <w:tblW w:w="0" w:type="auto"/>
        <w:tblInd w:w="817" w:type="dxa"/>
        <w:tblLayout w:type="fixed"/>
        <w:tblCellMar>
          <w:top w:w="0" w:type="dxa"/>
          <w:left w:w="108" w:type="dxa"/>
          <w:bottom w:w="0" w:type="dxa"/>
          <w:right w:w="108" w:type="dxa"/>
        </w:tblCellMar>
      </w:tblPr>
      <w:tblGrid>
        <w:gridCol w:w="3260"/>
        <w:gridCol w:w="3686"/>
      </w:tblGrid>
      <w:tr>
        <w:tblPrEx>
          <w:tblCellMar>
            <w:top w:w="0" w:type="dxa"/>
            <w:left w:w="108" w:type="dxa"/>
            <w:bottom w:w="0" w:type="dxa"/>
            <w:right w:w="108" w:type="dxa"/>
          </w:tblCellMar>
        </w:tblPrEx>
        <w:trPr>
          <w:trHeight w:val="550"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b/>
                <w:bCs/>
                <w:color w:val="auto"/>
                <w:sz w:val="24"/>
                <w:highlight w:val="none"/>
              </w:rPr>
            </w:pPr>
            <w:r>
              <w:rPr>
                <w:rFonts w:hint="eastAsia" w:ascii="宋体" w:hAnsi="宋体"/>
                <w:b/>
                <w:bCs/>
                <w:color w:val="auto"/>
                <w:sz w:val="24"/>
                <w:highlight w:val="none"/>
              </w:rPr>
              <w:t>成交总额（万元）</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b/>
                <w:bCs/>
                <w:color w:val="auto"/>
                <w:sz w:val="24"/>
                <w:highlight w:val="none"/>
              </w:rPr>
            </w:pPr>
            <w:r>
              <w:rPr>
                <w:rFonts w:hint="eastAsia" w:ascii="宋体" w:hAnsi="宋体"/>
                <w:b/>
                <w:bCs/>
                <w:color w:val="auto"/>
                <w:sz w:val="24"/>
                <w:highlight w:val="none"/>
              </w:rPr>
              <w:t>差额计费率（按总成交额计算）</w:t>
            </w:r>
          </w:p>
        </w:tc>
      </w:tr>
      <w:tr>
        <w:tblPrEx>
          <w:tblCellMar>
            <w:top w:w="0" w:type="dxa"/>
            <w:left w:w="108" w:type="dxa"/>
            <w:bottom w:w="0" w:type="dxa"/>
            <w:right w:w="108" w:type="dxa"/>
          </w:tblCellMar>
        </w:tblPrEx>
        <w:trPr>
          <w:trHeight w:val="475"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color w:val="auto"/>
                <w:sz w:val="24"/>
                <w:highlight w:val="none"/>
              </w:rPr>
            </w:pPr>
            <w:r>
              <w:rPr>
                <w:rFonts w:ascii="宋体" w:hAnsi="宋体"/>
                <w:color w:val="auto"/>
                <w:sz w:val="24"/>
                <w:highlight w:val="none"/>
              </w:rPr>
              <w:t>1000</w:t>
            </w:r>
            <w:r>
              <w:rPr>
                <w:rFonts w:hint="eastAsia" w:ascii="宋体" w:hAnsi="宋体"/>
                <w:color w:val="auto"/>
                <w:sz w:val="24"/>
                <w:highlight w:val="none"/>
              </w:rPr>
              <w:t>以下（含</w:t>
            </w:r>
            <w:r>
              <w:rPr>
                <w:rFonts w:ascii="宋体" w:hAnsi="宋体"/>
                <w:color w:val="auto"/>
                <w:sz w:val="24"/>
                <w:highlight w:val="none"/>
              </w:rPr>
              <w:t>1000</w:t>
            </w:r>
            <w:r>
              <w:rPr>
                <w:rFonts w:hint="eastAsia" w:ascii="宋体" w:hAnsi="宋体"/>
                <w:color w:val="auto"/>
                <w:sz w:val="24"/>
                <w:highlight w:val="none"/>
              </w:rPr>
              <w:t>）</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2</w:t>
            </w:r>
            <w:r>
              <w:rPr>
                <w:rFonts w:ascii="宋体"/>
                <w:color w:val="auto"/>
                <w:sz w:val="24"/>
                <w:highlight w:val="none"/>
              </w:rPr>
              <w:t>.00</w:t>
            </w:r>
            <w:r>
              <w:rPr>
                <w:rFonts w:ascii="宋体" w:hAnsi="宋体"/>
                <w:color w:val="auto"/>
                <w:sz w:val="24"/>
                <w:highlight w:val="none"/>
              </w:rPr>
              <w:t>%</w:t>
            </w:r>
          </w:p>
        </w:tc>
      </w:tr>
      <w:tr>
        <w:tblPrEx>
          <w:tblCellMar>
            <w:top w:w="0" w:type="dxa"/>
            <w:left w:w="108" w:type="dxa"/>
            <w:bottom w:w="0" w:type="dxa"/>
            <w:right w:w="108" w:type="dxa"/>
          </w:tblCellMar>
        </w:tblPrEx>
        <w:trPr>
          <w:trHeight w:val="416"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1000</w:t>
            </w:r>
            <w:r>
              <w:rPr>
                <w:rFonts w:hint="eastAsia" w:ascii="宋体" w:hAnsi="宋体"/>
                <w:color w:val="auto"/>
                <w:sz w:val="24"/>
                <w:highlight w:val="none"/>
              </w:rPr>
              <w:t>以上</w:t>
            </w:r>
            <w:r>
              <w:rPr>
                <w:rFonts w:ascii="宋体" w:hAnsi="宋体"/>
                <w:color w:val="auto"/>
                <w:sz w:val="24"/>
                <w:highlight w:val="none"/>
              </w:rPr>
              <w:t>--2000</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1.50%</w:t>
            </w:r>
          </w:p>
        </w:tc>
      </w:tr>
      <w:tr>
        <w:tblPrEx>
          <w:tblCellMar>
            <w:top w:w="0" w:type="dxa"/>
            <w:left w:w="108" w:type="dxa"/>
            <w:bottom w:w="0" w:type="dxa"/>
            <w:right w:w="108" w:type="dxa"/>
          </w:tblCellMar>
        </w:tblPrEx>
        <w:trPr>
          <w:trHeight w:val="280"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2000</w:t>
            </w:r>
            <w:r>
              <w:rPr>
                <w:rFonts w:hint="eastAsia" w:ascii="宋体" w:hAnsi="宋体"/>
                <w:color w:val="auto"/>
                <w:sz w:val="24"/>
                <w:highlight w:val="none"/>
              </w:rPr>
              <w:t>以上</w:t>
            </w:r>
            <w:r>
              <w:rPr>
                <w:rFonts w:ascii="宋体" w:hAnsi="宋体"/>
                <w:color w:val="auto"/>
                <w:sz w:val="24"/>
                <w:highlight w:val="none"/>
              </w:rPr>
              <w:t>--5000</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1</w:t>
            </w:r>
            <w:r>
              <w:rPr>
                <w:rFonts w:ascii="宋体"/>
                <w:color w:val="auto"/>
                <w:sz w:val="24"/>
                <w:highlight w:val="none"/>
              </w:rPr>
              <w:t>.00</w:t>
            </w:r>
            <w:r>
              <w:rPr>
                <w:rFonts w:ascii="宋体" w:hAnsi="宋体"/>
                <w:color w:val="auto"/>
                <w:sz w:val="24"/>
                <w:highlight w:val="none"/>
              </w:rPr>
              <w:t>%</w:t>
            </w:r>
          </w:p>
        </w:tc>
      </w:tr>
      <w:tr>
        <w:tblPrEx>
          <w:tblCellMar>
            <w:top w:w="0" w:type="dxa"/>
            <w:left w:w="108" w:type="dxa"/>
            <w:bottom w:w="0" w:type="dxa"/>
            <w:right w:w="108" w:type="dxa"/>
          </w:tblCellMar>
        </w:tblPrEx>
        <w:trPr>
          <w:trHeight w:val="370"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5000</w:t>
            </w:r>
            <w:r>
              <w:rPr>
                <w:rFonts w:hint="eastAsia" w:ascii="宋体" w:hAnsi="宋体"/>
                <w:color w:val="auto"/>
                <w:sz w:val="24"/>
                <w:highlight w:val="none"/>
              </w:rPr>
              <w:t>以上</w:t>
            </w:r>
            <w:r>
              <w:rPr>
                <w:rFonts w:ascii="宋体" w:hAnsi="宋体"/>
                <w:color w:val="auto"/>
                <w:sz w:val="24"/>
                <w:highlight w:val="none"/>
              </w:rPr>
              <w:t>--10000</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0.50%</w:t>
            </w:r>
          </w:p>
        </w:tc>
      </w:tr>
      <w:tr>
        <w:tblPrEx>
          <w:tblCellMar>
            <w:top w:w="0" w:type="dxa"/>
            <w:left w:w="108" w:type="dxa"/>
            <w:bottom w:w="0" w:type="dxa"/>
            <w:right w:w="108" w:type="dxa"/>
          </w:tblCellMar>
        </w:tblPrEx>
        <w:trPr>
          <w:trHeight w:val="262"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10000</w:t>
            </w:r>
            <w:r>
              <w:rPr>
                <w:rFonts w:hint="eastAsia" w:ascii="宋体" w:hAnsi="宋体"/>
                <w:color w:val="auto"/>
                <w:sz w:val="24"/>
                <w:highlight w:val="none"/>
              </w:rPr>
              <w:t>以上</w:t>
            </w:r>
            <w:r>
              <w:rPr>
                <w:rFonts w:ascii="宋体" w:hAnsi="宋体"/>
                <w:color w:val="auto"/>
                <w:sz w:val="24"/>
                <w:highlight w:val="none"/>
              </w:rPr>
              <w:t>--50000</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hAnsi="宋体"/>
                <w:color w:val="auto"/>
                <w:sz w:val="24"/>
                <w:highlight w:val="none"/>
              </w:rPr>
            </w:pPr>
            <w:r>
              <w:rPr>
                <w:rFonts w:ascii="宋体" w:hAnsi="宋体"/>
                <w:color w:val="auto"/>
                <w:sz w:val="24"/>
                <w:highlight w:val="none"/>
              </w:rPr>
              <w:t>0.30%</w:t>
            </w:r>
          </w:p>
        </w:tc>
      </w:tr>
      <w:tr>
        <w:tblPrEx>
          <w:tblCellMar>
            <w:top w:w="0" w:type="dxa"/>
            <w:left w:w="108" w:type="dxa"/>
            <w:bottom w:w="0" w:type="dxa"/>
            <w:right w:w="108" w:type="dxa"/>
          </w:tblCellMar>
        </w:tblPrEx>
        <w:trPr>
          <w:trHeight w:val="365" w:hRule="atLeast"/>
        </w:trPr>
        <w:tc>
          <w:tcPr>
            <w:tcW w:w="3260"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color w:val="auto"/>
                <w:sz w:val="24"/>
                <w:highlight w:val="none"/>
              </w:rPr>
            </w:pPr>
            <w:r>
              <w:rPr>
                <w:rFonts w:ascii="宋体" w:hAnsi="宋体"/>
                <w:color w:val="auto"/>
                <w:sz w:val="24"/>
                <w:highlight w:val="none"/>
              </w:rPr>
              <w:t>50000</w:t>
            </w:r>
            <w:r>
              <w:rPr>
                <w:rFonts w:hint="eastAsia" w:ascii="宋体" w:hAnsi="宋体"/>
                <w:color w:val="auto"/>
                <w:sz w:val="24"/>
                <w:highlight w:val="none"/>
              </w:rPr>
              <w:t>以上</w:t>
            </w:r>
          </w:p>
        </w:tc>
        <w:tc>
          <w:tcPr>
            <w:tcW w:w="3686" w:type="dxa"/>
            <w:tcBorders>
              <w:top w:val="single" w:color="000000" w:sz="4" w:space="0"/>
              <w:left w:val="single" w:color="000000" w:sz="4" w:space="0"/>
              <w:bottom w:val="single" w:color="000000" w:sz="4" w:space="0"/>
              <w:right w:val="single" w:color="000000" w:sz="4" w:space="0"/>
            </w:tcBorders>
            <w:vAlign w:val="center"/>
          </w:tcPr>
          <w:p>
            <w:pPr>
              <w:autoSpaceDN w:val="0"/>
              <w:spacing w:line="420" w:lineRule="exact"/>
              <w:jc w:val="center"/>
              <w:textAlignment w:val="center"/>
              <w:rPr>
                <w:rFonts w:ascii="宋体"/>
                <w:color w:val="auto"/>
                <w:sz w:val="24"/>
                <w:highlight w:val="none"/>
              </w:rPr>
            </w:pPr>
            <w:r>
              <w:rPr>
                <w:rFonts w:ascii="宋体" w:hAnsi="宋体"/>
                <w:color w:val="auto"/>
                <w:sz w:val="24"/>
                <w:highlight w:val="none"/>
              </w:rPr>
              <w:t>0.20%</w:t>
            </w:r>
          </w:p>
        </w:tc>
      </w:tr>
    </w:tbl>
    <w:p>
      <w:pPr>
        <w:spacing w:line="500" w:lineRule="exact"/>
        <w:ind w:firstLine="562" w:firstLineChars="200"/>
        <w:rPr>
          <w:rFonts w:ascii="宋体" w:hAnsi="宋体" w:cs="宋体"/>
          <w:b/>
          <w:bCs/>
          <w:color w:val="auto"/>
          <w:sz w:val="28"/>
          <w:szCs w:val="28"/>
          <w:highlight w:val="none"/>
        </w:rPr>
      </w:pPr>
      <w:r>
        <w:rPr>
          <w:rFonts w:hint="eastAsia"/>
          <w:b/>
          <w:bCs/>
          <w:color w:val="auto"/>
          <w:sz w:val="28"/>
          <w:szCs w:val="28"/>
          <w:highlight w:val="none"/>
        </w:rPr>
        <w:t>本收费标准以“分档递减累加”作为费率形式。</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二十二、国有产权交易合同签订、款项支付及产权交接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（一）签订《成交确认书》后5</w:t>
      </w:r>
      <w:r>
        <w:rPr>
          <w:rFonts w:ascii="宋体" w:hAnsi="宋体" w:cs="宋体"/>
          <w:color w:val="auto"/>
          <w:sz w:val="28"/>
          <w:szCs w:val="28"/>
          <w:highlight w:val="none"/>
        </w:rPr>
        <w:t>个工作日内</w:t>
      </w:r>
      <w:r>
        <w:rPr>
          <w:rFonts w:hint="eastAsia" w:ascii="宋体" w:hAnsi="宋体" w:cs="宋体"/>
          <w:color w:val="auto"/>
          <w:sz w:val="28"/>
          <w:szCs w:val="28"/>
          <w:highlight w:val="none"/>
        </w:rPr>
        <w:t>，受让方与转让方签订相关《国有产权交易合同》。受让方按本细则的规定以及《国有产权交易合同》的约定</w:t>
      </w:r>
      <w:r>
        <w:rPr>
          <w:rFonts w:ascii="宋体" w:hAnsi="宋体" w:cs="宋体"/>
          <w:color w:val="auto"/>
          <w:sz w:val="28"/>
          <w:szCs w:val="28"/>
          <w:highlight w:val="none"/>
        </w:rPr>
        <w:t>将</w:t>
      </w:r>
      <w:r>
        <w:rPr>
          <w:rFonts w:hint="eastAsia" w:ascii="宋体" w:hAnsi="宋体" w:cs="宋体"/>
          <w:color w:val="auto"/>
          <w:sz w:val="28"/>
          <w:szCs w:val="28"/>
          <w:highlight w:val="none"/>
        </w:rPr>
        <w:t>转让价款、其他交易款项及交易服务费汇入交易所指定账户。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（二）受让方交易款项支付方式：</w:t>
      </w:r>
      <w:r>
        <w:rPr>
          <w:rFonts w:ascii="宋体" w:hAnsi="宋体" w:cs="宋体"/>
          <w:color w:val="auto"/>
          <w:sz w:val="28"/>
          <w:szCs w:val="28"/>
          <w:highlight w:val="none"/>
        </w:rPr>
        <w:t>一次性付款方式</w:t>
      </w:r>
      <w:r>
        <w:rPr>
          <w:rFonts w:hint="eastAsia" w:ascii="宋体" w:hAnsi="宋体" w:cs="宋体"/>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交易中涉及全部款项及交易服务费自合同生效之日起</w:t>
      </w:r>
      <w:r>
        <w:rPr>
          <w:rFonts w:ascii="宋体" w:hAnsi="宋体" w:cs="宋体"/>
          <w:color w:val="auto"/>
          <w:sz w:val="28"/>
          <w:szCs w:val="28"/>
          <w:highlight w:val="none"/>
        </w:rPr>
        <w:t>5个工作日内一次性付清</w:t>
      </w:r>
      <w:r>
        <w:rPr>
          <w:rFonts w:hint="eastAsia" w:ascii="宋体" w:hAnsi="宋体" w:cs="宋体"/>
          <w:color w:val="auto"/>
          <w:sz w:val="28"/>
          <w:szCs w:val="28"/>
          <w:highlight w:val="none"/>
        </w:rPr>
        <w:t>，汇入交易所指定账户。</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（三）在《国有产权交易合同》生效后25个工作日内完成工商变更登记。</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公司变更登记前，转让方和受让方应当完成以下手续：</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标的公司召开股东会会议并作出决议或者直接作出股东决定，解除原董事、监事和经理的职务，选举（或任命）新的董事、监事和经理，并修改章程。</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（四）在工商变更完成后25个工作日内完成产权移交手续。产权移交手续包括但不限于：</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1.标的公司的各项证照、印章（公章、合同章、财务专用立章、法定代表人印鉴等）的交接；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2.标的公司的各项文件（包括但不限于公司章程、股东决定、管理制度、合同文本、往来函件等）的交接；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3.标的公司除不动产外的重大资产（价值5万元以上）的交接；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4.标的公司在建工程的交接（包括但于限于在建工程的档案及技术资料交接、现场管理岗位交接、建设方供应及控制的物料交接等）；</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5.标的公司的财务交接，包括财务资料（财务报表、账簿、记账凭证、财务印鉴等）交接和银行账户交接（在银行变更印鉴、移交U盾等）；</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6.其他重要项目的交接。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交接时应制作交接清单，详细记载交接物的名称、规格、数量，双方签署后即视为交接完毕。</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个别项目无法在上述约定的期限内完成交接的，双方可以协商确定合理的延长期限。</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二十三、发布成交公告</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交易所在交易双方签订《国有产权交易合同》生效日后</w:t>
      </w:r>
      <w:r>
        <w:rPr>
          <w:rFonts w:ascii="宋体" w:hAnsi="宋体" w:cs="宋体"/>
          <w:color w:val="auto"/>
          <w:sz w:val="28"/>
          <w:szCs w:val="28"/>
          <w:highlight w:val="none"/>
        </w:rPr>
        <w:t>2个工作日内在</w:t>
      </w:r>
      <w:r>
        <w:rPr>
          <w:rFonts w:hint="eastAsia" w:ascii="宋体" w:hAnsi="宋体" w:cs="宋体"/>
          <w:color w:val="auto"/>
          <w:sz w:val="28"/>
          <w:szCs w:val="28"/>
          <w:highlight w:val="none"/>
        </w:rPr>
        <w:t>义乌产权交易所网站</w:t>
      </w:r>
      <w:r>
        <w:rPr>
          <w:rFonts w:ascii="宋体" w:hAnsi="宋体" w:cs="宋体"/>
          <w:color w:val="auto"/>
          <w:sz w:val="28"/>
          <w:szCs w:val="28"/>
          <w:highlight w:val="none"/>
        </w:rPr>
        <w:t>(</w:t>
      </w:r>
      <w:r>
        <w:rPr>
          <w:color w:val="auto"/>
          <w:highlight w:val="none"/>
        </w:rPr>
        <w:fldChar w:fldCharType="begin"/>
      </w:r>
      <w:r>
        <w:rPr>
          <w:color w:val="auto"/>
          <w:highlight w:val="none"/>
        </w:rPr>
        <w:instrText xml:space="preserve"> HYPERLINK "http://www.ywcq.com" </w:instrText>
      </w:r>
      <w:r>
        <w:rPr>
          <w:color w:val="auto"/>
          <w:highlight w:val="none"/>
        </w:rPr>
        <w:fldChar w:fldCharType="separate"/>
      </w:r>
      <w:r>
        <w:rPr>
          <w:rStyle w:val="10"/>
          <w:rFonts w:ascii="宋体" w:hAnsi="宋体" w:cs="宋体"/>
          <w:color w:val="auto"/>
          <w:sz w:val="28"/>
          <w:szCs w:val="28"/>
          <w:highlight w:val="none"/>
          <w:u w:val="none"/>
        </w:rPr>
        <w:t>www.ywcq.com</w:t>
      </w:r>
      <w:r>
        <w:rPr>
          <w:rStyle w:val="10"/>
          <w:rFonts w:ascii="宋体" w:hAnsi="宋体" w:cs="宋体"/>
          <w:color w:val="auto"/>
          <w:sz w:val="28"/>
          <w:szCs w:val="28"/>
          <w:highlight w:val="none"/>
          <w:u w:val="none"/>
        </w:rPr>
        <w:fldChar w:fldCharType="end"/>
      </w:r>
      <w:r>
        <w:rPr>
          <w:rFonts w:ascii="宋体" w:hAnsi="宋体" w:cs="宋体"/>
          <w:color w:val="auto"/>
          <w:sz w:val="28"/>
          <w:szCs w:val="28"/>
          <w:highlight w:val="none"/>
        </w:rPr>
        <w:t>)</w:t>
      </w:r>
      <w:r>
        <w:rPr>
          <w:rFonts w:hint="eastAsia" w:ascii="宋体" w:hAnsi="宋体" w:cs="宋体"/>
          <w:color w:val="auto"/>
          <w:sz w:val="28"/>
          <w:szCs w:val="28"/>
          <w:highlight w:val="none"/>
        </w:rPr>
        <w:t>、义乌产权交易所微信公众号（</w:t>
      </w:r>
      <w:r>
        <w:rPr>
          <w:rFonts w:ascii="宋体" w:hAnsi="宋体" w:cs="宋体"/>
          <w:color w:val="auto"/>
          <w:sz w:val="28"/>
          <w:szCs w:val="28"/>
          <w:highlight w:val="none"/>
        </w:rPr>
        <w:t>ywcqjys）</w:t>
      </w:r>
      <w:r>
        <w:rPr>
          <w:rFonts w:hint="eastAsia" w:ascii="宋体" w:hAnsi="宋体" w:cs="宋体"/>
          <w:color w:val="auto"/>
          <w:sz w:val="28"/>
          <w:szCs w:val="28"/>
          <w:highlight w:val="none"/>
        </w:rPr>
        <w:t>和</w:t>
      </w:r>
      <w:r>
        <w:rPr>
          <w:rFonts w:hint="eastAsia" w:ascii="宋体" w:hAnsi="宋体"/>
          <w:color w:val="auto"/>
          <w:spacing w:val="-6"/>
          <w:sz w:val="28"/>
          <w:szCs w:val="28"/>
          <w:highlight w:val="none"/>
        </w:rPr>
        <w:t>义乌市公共资源交易中心网（</w:t>
      </w:r>
      <w:r>
        <w:rPr>
          <w:rFonts w:ascii="宋体" w:hAnsi="宋体" w:cs="宋体"/>
          <w:color w:val="auto"/>
          <w:sz w:val="28"/>
          <w:szCs w:val="28"/>
          <w:highlight w:val="none"/>
        </w:rPr>
        <w:t>http://ggfw.ywjypt.yw.gov.cn/index.html</w:t>
      </w:r>
      <w:r>
        <w:rPr>
          <w:rFonts w:ascii="宋体" w:hAnsi="宋体"/>
          <w:color w:val="auto"/>
          <w:spacing w:val="-6"/>
          <w:sz w:val="28"/>
          <w:szCs w:val="28"/>
          <w:highlight w:val="none"/>
        </w:rPr>
        <w:t>）</w:t>
      </w:r>
      <w:r>
        <w:rPr>
          <w:rFonts w:hint="eastAsia" w:ascii="宋体" w:hAnsi="宋体" w:cs="宋体"/>
          <w:color w:val="auto"/>
          <w:sz w:val="28"/>
          <w:szCs w:val="28"/>
          <w:highlight w:val="none"/>
        </w:rPr>
        <w:t>发布本次成交公告。</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w:t>
      </w:r>
      <w:r>
        <w:rPr>
          <w:rFonts w:hint="eastAsia" w:ascii="宋体" w:hAnsi="宋体" w:cs="宋体"/>
          <w:b/>
          <w:bCs/>
          <w:color w:val="auto"/>
          <w:sz w:val="28"/>
          <w:szCs w:val="28"/>
          <w:highlight w:val="none"/>
        </w:rPr>
        <w:t>十四、违约事项</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（一）在公开竞价过程中，竞买人未按本细则要求履行职责，在本次竞价活动中发生国家法律、法规所禁止的未能履约的行为，转让方有权没收其竞买保证金，并追究其他相关责任；</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（二）竞买人应对《竞买人承诺函》承担责任并全面履行，否则竞买保证金将不予返还；</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（三）竞得人应在规定期限内签订《成交确认书》，否则竞得人的竞买保证金将不予返还；</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（四）竞得人应在规定期限内与转让方签订相关的《国有产权交易合同》，否则竞得人的竞买保证金将不予返还；</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（五）竞得人应在规定时间付清应付款项，若未按期足额支付，转让方有权没收其履约保证金；</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val="0"/>
        <w:snapToGrid w:val="0"/>
        <w:spacing w:line="480" w:lineRule="exact"/>
        <w:ind w:firstLine="560" w:firstLineChars="200"/>
        <w:textAlignment w:val="auto"/>
        <w:rPr>
          <w:rFonts w:ascii="宋体" w:hAnsi="宋体" w:cs="宋体"/>
          <w:color w:val="auto"/>
          <w:sz w:val="28"/>
          <w:szCs w:val="28"/>
          <w:highlight w:val="none"/>
        </w:rPr>
      </w:pPr>
      <w:r>
        <w:rPr>
          <w:rFonts w:hint="eastAsia" w:ascii="宋体" w:hAnsi="宋体" w:cs="宋体"/>
          <w:color w:val="auto"/>
          <w:sz w:val="28"/>
          <w:szCs w:val="28"/>
          <w:highlight w:val="none"/>
        </w:rPr>
        <w:t>（六）竞得人应确保自身资格符合义乌市公共资源交易平台要求（详见第十条），否则竞得人应承担全部法律责任，且其所交纳竞买保证金不予返还。</w:t>
      </w:r>
    </w:p>
    <w:p>
      <w:pPr>
        <w:keepNext w:val="0"/>
        <w:keepLines w:val="0"/>
        <w:pageBreakBefore w:val="0"/>
        <w:widowControl w:val="0"/>
        <w:kinsoku/>
        <w:wordWrap/>
        <w:overflowPunct/>
        <w:topLinePunct w:val="0"/>
        <w:autoSpaceDE/>
        <w:autoSpaceDN/>
        <w:bidi w:val="0"/>
        <w:adjustRightInd/>
        <w:snapToGrid/>
        <w:spacing w:before="63" w:beforeLines="20" w:after="63" w:afterLines="20" w:line="500" w:lineRule="exact"/>
        <w:ind w:firstLine="562" w:firstLineChars="200"/>
        <w:textAlignment w:val="auto"/>
        <w:rPr>
          <w:rFonts w:ascii="宋体" w:hAnsi="宋体" w:cs="宋体"/>
          <w:b/>
          <w:bCs/>
          <w:color w:val="auto"/>
          <w:sz w:val="28"/>
          <w:szCs w:val="28"/>
          <w:highlight w:val="none"/>
        </w:rPr>
      </w:pPr>
      <w:r>
        <w:rPr>
          <w:rFonts w:hint="eastAsia" w:ascii="宋体" w:hAnsi="宋体" w:cs="宋体"/>
          <w:b/>
          <w:bCs/>
          <w:color w:val="auto"/>
          <w:sz w:val="28"/>
          <w:szCs w:val="28"/>
          <w:highlight w:val="none"/>
        </w:rPr>
        <w:t>二十五、附则</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eastAsia" w:ascii="宋体" w:hAnsi="宋体" w:cs="宋体"/>
          <w:color w:val="auto"/>
          <w:sz w:val="28"/>
          <w:szCs w:val="28"/>
          <w:highlight w:val="none"/>
        </w:rPr>
      </w:pPr>
      <w:r>
        <w:rPr>
          <w:rFonts w:hint="eastAsia" w:ascii="宋体" w:hAnsi="宋体" w:cs="宋体"/>
          <w:color w:val="auto"/>
          <w:sz w:val="28"/>
          <w:szCs w:val="28"/>
          <w:highlight w:val="none"/>
        </w:rPr>
        <w:t>本细则解释权归浙江义乌高新区开发建设有限公司和义乌产权交易所有限公司。</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eastAsia" w:ascii="宋体" w:hAnsi="宋体" w:cs="宋体"/>
          <w:color w:val="auto"/>
          <w:sz w:val="28"/>
          <w:szCs w:val="28"/>
          <w:highlight w:val="none"/>
        </w:rPr>
      </w:pP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cs="宋体"/>
          <w:color w:val="auto"/>
          <w:sz w:val="28"/>
          <w:szCs w:val="28"/>
          <w:highlight w:val="none"/>
        </w:rPr>
      </w:pPr>
      <w:bookmarkStart w:id="1" w:name="_GoBack"/>
      <w:bookmarkEnd w:id="1"/>
    </w:p>
    <w:p>
      <w:pPr>
        <w:wordWrap w:val="0"/>
        <w:spacing w:line="500" w:lineRule="exact"/>
        <w:ind w:firstLine="560" w:firstLineChars="200"/>
        <w:jc w:val="right"/>
        <w:rPr>
          <w:rFonts w:ascii="宋体" w:hAnsi="宋体" w:cs="宋体"/>
          <w:color w:val="auto"/>
          <w:sz w:val="28"/>
          <w:szCs w:val="28"/>
          <w:highlight w:val="none"/>
        </w:rPr>
      </w:pPr>
      <w:r>
        <w:rPr>
          <w:rFonts w:hint="eastAsia" w:ascii="宋体" w:hAnsi="宋体" w:cs="宋体"/>
          <w:color w:val="auto"/>
          <w:sz w:val="28"/>
          <w:szCs w:val="28"/>
          <w:highlight w:val="none"/>
        </w:rPr>
        <w:t>挂牌转让方</w:t>
      </w:r>
      <w:r>
        <w:rPr>
          <w:rFonts w:hint="eastAsia" w:ascii="宋体" w:hAnsi="宋体" w:cs="宋体"/>
          <w:color w:val="auto"/>
          <w:spacing w:val="-12"/>
          <w:sz w:val="28"/>
          <w:szCs w:val="28"/>
          <w:highlight w:val="none"/>
        </w:rPr>
        <w:t>：</w:t>
      </w:r>
      <w:r>
        <w:rPr>
          <w:rFonts w:hint="eastAsia" w:ascii="宋体" w:hAnsi="宋体" w:cs="宋体"/>
          <w:color w:val="auto"/>
          <w:sz w:val="28"/>
          <w:szCs w:val="28"/>
          <w:highlight w:val="none"/>
        </w:rPr>
        <w:t xml:space="preserve">浙江义乌高新区开发建设有限公司 </w:t>
      </w:r>
    </w:p>
    <w:p>
      <w:pPr>
        <w:spacing w:line="500" w:lineRule="exact"/>
        <w:jc w:val="right"/>
        <w:rPr>
          <w:rFonts w:ascii="宋体" w:hAnsi="宋体" w:cs="宋体"/>
          <w:color w:val="auto"/>
          <w:sz w:val="28"/>
          <w:szCs w:val="28"/>
          <w:highlight w:val="none"/>
        </w:rPr>
      </w:pPr>
      <w:r>
        <w:rPr>
          <w:rFonts w:ascii="宋体" w:hAnsi="宋体" w:cs="宋体"/>
          <w:color w:val="auto"/>
          <w:sz w:val="28"/>
          <w:szCs w:val="28"/>
          <w:highlight w:val="none"/>
        </w:rPr>
        <w:t>产权交易机构：义乌产权交易所有限公司</w:t>
      </w:r>
      <w:r>
        <w:rPr>
          <w:rFonts w:ascii="宋体" w:hAnsi="宋体" w:cs="宋体"/>
          <w:color w:val="auto"/>
          <w:sz w:val="28"/>
          <w:szCs w:val="28"/>
          <w:highlight w:val="none"/>
        </w:rPr>
        <w:br w:type="textWrapping"/>
      </w:r>
      <w:r>
        <w:rPr>
          <w:rFonts w:hint="eastAsia" w:ascii="宋体" w:hAnsi="宋体" w:cs="宋体"/>
          <w:color w:val="auto"/>
          <w:sz w:val="28"/>
          <w:szCs w:val="28"/>
          <w:highlight w:val="none"/>
        </w:rPr>
        <w:t>日</w:t>
      </w:r>
      <w:r>
        <w:rPr>
          <w:rFonts w:ascii="宋体" w:hAnsi="宋体" w:cs="宋体"/>
          <w:color w:val="auto"/>
          <w:sz w:val="28"/>
          <w:szCs w:val="28"/>
          <w:highlight w:val="none"/>
        </w:rPr>
        <w:t xml:space="preserve">      期：</w:t>
      </w:r>
      <w:r>
        <w:rPr>
          <w:rFonts w:hint="eastAsia" w:ascii="宋体" w:hAnsi="宋体" w:cs="宋体"/>
          <w:color w:val="auto"/>
          <w:sz w:val="28"/>
          <w:szCs w:val="28"/>
          <w:highlight w:val="none"/>
        </w:rPr>
        <w:t>2021年</w:t>
      </w:r>
      <w:r>
        <w:rPr>
          <w:rFonts w:hint="eastAsia" w:ascii="宋体" w:hAnsi="宋体" w:cs="宋体"/>
          <w:color w:val="auto"/>
          <w:sz w:val="28"/>
          <w:szCs w:val="28"/>
          <w:highlight w:val="none"/>
          <w:lang w:val="en-US" w:eastAsia="zh-CN"/>
        </w:rPr>
        <w:t>8</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24</w:t>
      </w:r>
      <w:r>
        <w:rPr>
          <w:rFonts w:hint="eastAsia" w:ascii="宋体" w:hAnsi="宋体" w:cs="宋体"/>
          <w:color w:val="auto"/>
          <w:sz w:val="28"/>
          <w:szCs w:val="28"/>
          <w:highlight w:val="none"/>
        </w:rPr>
        <w:t>日</w:t>
      </w:r>
    </w:p>
    <w:p>
      <w:pPr>
        <w:rPr>
          <w:color w:val="auto"/>
          <w:highlight w:val="none"/>
        </w:rPr>
      </w:pPr>
    </w:p>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p>
  <w:p>
    <w:pPr>
      <w:pStyle w:val="2"/>
      <w:ind w:right="36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7</w:t>
    </w:r>
    <w:r>
      <w:rPr>
        <w:kern w:val="0"/>
        <w:szCs w:val="21"/>
      </w:rPr>
      <w:fldChar w:fldCharType="end"/>
    </w:r>
    <w:r>
      <w:rPr>
        <w:sz w:val="20"/>
      </w:rPr>
      <w:pict>
        <v:line id="_x0000_s1026" o:spid="_x0000_s1026" o:spt="20" style="position:absolute;left:0pt;margin-left:0pt;margin-top:-0.15pt;height:0pt;width:414pt;z-index:251659264;mso-width-relative:page;mso-height-relative:page;" coordsize="21600,21600" o:gfxdata="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NjtubSAAAABAEA&#10;AA8AAAAAAAAAAQAgAAAAIgAAAGRycy9kb3ducmV2LnhtbFBLAQIUABQAAAAIAIdO4kDuX6iE5wEA&#10;ALgDAAAOAAAAAAAAAAEAIAAAACEBAABkcnMvZTJvRG9jLnhtbFBLBQYAAAAABgAGAFkBAAB6BQAA&#10;AAA=&#10;">
          <v:path arrowok="t"/>
          <v:fill focussize="0,0"/>
          <v:stroke/>
          <v:imagedata o:title=""/>
          <o:lock v:ext="edit"/>
        </v:lin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8"/>
      </w:rPr>
    </w:pPr>
    <w:r>
      <w:fldChar w:fldCharType="begin"/>
    </w:r>
    <w:r>
      <w:rPr>
        <w:rStyle w:val="8"/>
      </w:rPr>
      <w:instrText xml:space="preserve">PAGE  </w:instrText>
    </w:r>
    <w:r>
      <w:fldChar w:fldCharType="separate"/>
    </w:r>
    <w:r>
      <w:rPr>
        <w:rStyle w:val="8"/>
      </w:rPr>
      <w:t>6</w:t>
    </w:r>
    <w: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80" w:hanging="480" w:hangingChars="200"/>
      <w:jc w:val="left"/>
      <w:rPr>
        <w:sz w:val="24"/>
      </w:rPr>
    </w:pPr>
    <w:r>
      <w:rPr>
        <w:rFonts w:hint="eastAsia" w:ascii="宋体" w:hAnsi="宋体" w:cs="宋体"/>
        <w:sz w:val="24"/>
        <w:szCs w:val="24"/>
      </w:rPr>
      <w:t>义乌八都房产公司100%股权及2.96亿元债权</w:t>
    </w:r>
    <w:r>
      <w:rPr>
        <w:rFonts w:hint="eastAsia"/>
        <w:sz w:val="24"/>
      </w:rPr>
      <w:t>公开挂牌转让         细   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81CE0"/>
    <w:rsid w:val="00072CDB"/>
    <w:rsid w:val="00075827"/>
    <w:rsid w:val="00093564"/>
    <w:rsid w:val="00110FF2"/>
    <w:rsid w:val="00192F6F"/>
    <w:rsid w:val="001B4371"/>
    <w:rsid w:val="001B4B80"/>
    <w:rsid w:val="001F78AD"/>
    <w:rsid w:val="002011E9"/>
    <w:rsid w:val="002C1F80"/>
    <w:rsid w:val="00312F28"/>
    <w:rsid w:val="00321CA3"/>
    <w:rsid w:val="003653DE"/>
    <w:rsid w:val="00371CD7"/>
    <w:rsid w:val="003E35B9"/>
    <w:rsid w:val="00410FB5"/>
    <w:rsid w:val="00461830"/>
    <w:rsid w:val="00470552"/>
    <w:rsid w:val="00522146"/>
    <w:rsid w:val="00594FD4"/>
    <w:rsid w:val="006067F0"/>
    <w:rsid w:val="006D2920"/>
    <w:rsid w:val="007450C2"/>
    <w:rsid w:val="00781CE0"/>
    <w:rsid w:val="008379B7"/>
    <w:rsid w:val="008C71E1"/>
    <w:rsid w:val="008E4FE7"/>
    <w:rsid w:val="008E6CD6"/>
    <w:rsid w:val="008F2C31"/>
    <w:rsid w:val="009541CE"/>
    <w:rsid w:val="009707AA"/>
    <w:rsid w:val="00992C82"/>
    <w:rsid w:val="009D0511"/>
    <w:rsid w:val="009D2106"/>
    <w:rsid w:val="009E1252"/>
    <w:rsid w:val="009E229A"/>
    <w:rsid w:val="00A22046"/>
    <w:rsid w:val="00B27968"/>
    <w:rsid w:val="00B4619E"/>
    <w:rsid w:val="00B93411"/>
    <w:rsid w:val="00C451B0"/>
    <w:rsid w:val="00C46155"/>
    <w:rsid w:val="00CE0FD4"/>
    <w:rsid w:val="00CE78FD"/>
    <w:rsid w:val="00D0117F"/>
    <w:rsid w:val="00D73F5B"/>
    <w:rsid w:val="00EB4D48"/>
    <w:rsid w:val="00F431B2"/>
    <w:rsid w:val="01336DE6"/>
    <w:rsid w:val="0247427C"/>
    <w:rsid w:val="02A97ABA"/>
    <w:rsid w:val="035F10C2"/>
    <w:rsid w:val="05A9331B"/>
    <w:rsid w:val="06494358"/>
    <w:rsid w:val="06F220A8"/>
    <w:rsid w:val="09952792"/>
    <w:rsid w:val="0A7F3254"/>
    <w:rsid w:val="0C3808BF"/>
    <w:rsid w:val="0D437E96"/>
    <w:rsid w:val="0D5070D8"/>
    <w:rsid w:val="0DD94815"/>
    <w:rsid w:val="0E2260A9"/>
    <w:rsid w:val="0EB20B82"/>
    <w:rsid w:val="0EBA69CD"/>
    <w:rsid w:val="0F1867DF"/>
    <w:rsid w:val="0F5659AE"/>
    <w:rsid w:val="11FE06C8"/>
    <w:rsid w:val="12187F60"/>
    <w:rsid w:val="12324314"/>
    <w:rsid w:val="12524DDB"/>
    <w:rsid w:val="135B0A5F"/>
    <w:rsid w:val="139969AD"/>
    <w:rsid w:val="16091916"/>
    <w:rsid w:val="18BB1297"/>
    <w:rsid w:val="1B4C1F55"/>
    <w:rsid w:val="1C446246"/>
    <w:rsid w:val="1C8754B9"/>
    <w:rsid w:val="1CB85BCE"/>
    <w:rsid w:val="1DA319A6"/>
    <w:rsid w:val="1DBE19D9"/>
    <w:rsid w:val="1EDD10CB"/>
    <w:rsid w:val="20700657"/>
    <w:rsid w:val="22E05789"/>
    <w:rsid w:val="234B5656"/>
    <w:rsid w:val="23B35495"/>
    <w:rsid w:val="28006196"/>
    <w:rsid w:val="294F7F72"/>
    <w:rsid w:val="2AF37F14"/>
    <w:rsid w:val="2B183B6E"/>
    <w:rsid w:val="2BA26E1F"/>
    <w:rsid w:val="2E0E0C57"/>
    <w:rsid w:val="2F193BAC"/>
    <w:rsid w:val="2FE3669D"/>
    <w:rsid w:val="32395EE8"/>
    <w:rsid w:val="32DF5A95"/>
    <w:rsid w:val="34C174FC"/>
    <w:rsid w:val="351B40BF"/>
    <w:rsid w:val="36855B95"/>
    <w:rsid w:val="37000FC8"/>
    <w:rsid w:val="39453B94"/>
    <w:rsid w:val="3E7A5544"/>
    <w:rsid w:val="3FCD553F"/>
    <w:rsid w:val="3FCF4D87"/>
    <w:rsid w:val="3FDD25F4"/>
    <w:rsid w:val="40E96329"/>
    <w:rsid w:val="42075654"/>
    <w:rsid w:val="42B704A6"/>
    <w:rsid w:val="431053E0"/>
    <w:rsid w:val="44F674E2"/>
    <w:rsid w:val="45B35C2C"/>
    <w:rsid w:val="45B63472"/>
    <w:rsid w:val="46480D15"/>
    <w:rsid w:val="465A376E"/>
    <w:rsid w:val="47D71214"/>
    <w:rsid w:val="49D13DBF"/>
    <w:rsid w:val="49F5585E"/>
    <w:rsid w:val="4A0235C2"/>
    <w:rsid w:val="4D72584D"/>
    <w:rsid w:val="4D7C7066"/>
    <w:rsid w:val="4DF379D5"/>
    <w:rsid w:val="4F7C6CFA"/>
    <w:rsid w:val="4FB44399"/>
    <w:rsid w:val="510F3758"/>
    <w:rsid w:val="511E2CFC"/>
    <w:rsid w:val="51745CCE"/>
    <w:rsid w:val="51D7154A"/>
    <w:rsid w:val="52412C33"/>
    <w:rsid w:val="52CE5FDD"/>
    <w:rsid w:val="53394253"/>
    <w:rsid w:val="548F5029"/>
    <w:rsid w:val="556B173F"/>
    <w:rsid w:val="564A28D5"/>
    <w:rsid w:val="56586CB0"/>
    <w:rsid w:val="584842BF"/>
    <w:rsid w:val="5A1E0FED"/>
    <w:rsid w:val="5AA94605"/>
    <w:rsid w:val="5C9F1DA7"/>
    <w:rsid w:val="5E660661"/>
    <w:rsid w:val="5EAA1B67"/>
    <w:rsid w:val="5F9A3F06"/>
    <w:rsid w:val="600A29FD"/>
    <w:rsid w:val="6029318A"/>
    <w:rsid w:val="608452B7"/>
    <w:rsid w:val="62CD13AF"/>
    <w:rsid w:val="646A2D8D"/>
    <w:rsid w:val="64E53A61"/>
    <w:rsid w:val="65CD053A"/>
    <w:rsid w:val="66C124D9"/>
    <w:rsid w:val="696E00EC"/>
    <w:rsid w:val="69F6353D"/>
    <w:rsid w:val="6B7A3CC4"/>
    <w:rsid w:val="6BA51214"/>
    <w:rsid w:val="6CFF4AD1"/>
    <w:rsid w:val="6D32230E"/>
    <w:rsid w:val="6E89532E"/>
    <w:rsid w:val="704B5B94"/>
    <w:rsid w:val="719C252E"/>
    <w:rsid w:val="71CB08A1"/>
    <w:rsid w:val="72F96532"/>
    <w:rsid w:val="737B486C"/>
    <w:rsid w:val="772E4959"/>
    <w:rsid w:val="779370B7"/>
    <w:rsid w:val="79076C78"/>
    <w:rsid w:val="794C470D"/>
    <w:rsid w:val="79AF1FD7"/>
    <w:rsid w:val="7A8176CD"/>
    <w:rsid w:val="7AA079C6"/>
    <w:rsid w:val="7AE775A0"/>
    <w:rsid w:val="7BCD397F"/>
    <w:rsid w:val="7CED09E8"/>
    <w:rsid w:val="7E4E7248"/>
    <w:rsid w:val="7E78294A"/>
    <w:rsid w:val="7EFB15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table" w:styleId="6">
    <w:name w:val="Table Grid"/>
    <w:basedOn w:val="5"/>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FollowedHyperlink"/>
    <w:basedOn w:val="7"/>
    <w:qFormat/>
    <w:uiPriority w:val="0"/>
    <w:rPr>
      <w:color w:val="343434"/>
      <w:u w:val="none"/>
    </w:rPr>
  </w:style>
  <w:style w:type="character" w:styleId="10">
    <w:name w:val="Hyperlink"/>
    <w:basedOn w:val="7"/>
    <w:qFormat/>
    <w:uiPriority w:val="0"/>
    <w:rPr>
      <w:color w:val="0000FF"/>
      <w:u w:val="single"/>
    </w:rPr>
  </w:style>
  <w:style w:type="paragraph" w:customStyle="1" w:styleId="11">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02293E-DEA5-4604-A13E-5D8BDD988925}">
  <ds:schemaRefs/>
</ds:datastoreItem>
</file>

<file path=docProps/app.xml><?xml version="1.0" encoding="utf-8"?>
<Properties xmlns="http://schemas.openxmlformats.org/officeDocument/2006/extended-properties" xmlns:vt="http://schemas.openxmlformats.org/officeDocument/2006/docPropsVTypes">
  <Template>Normal.dotm</Template>
  <Company>PC</Company>
  <Pages>1</Pages>
  <Words>1882</Words>
  <Characters>10733</Characters>
  <Lines>89</Lines>
  <Paragraphs>25</Paragraphs>
  <TotalTime>5</TotalTime>
  <ScaleCrop>false</ScaleCrop>
  <LinksUpToDate>false</LinksUpToDate>
  <CharactersWithSpaces>12590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2021-08-12T02:30:00Z</dcterms:created>
  <dc:creator>fu-pc</dc:creator>
  <cp:lastModifiedBy>fu-pc</cp:lastModifiedBy>
  <cp:lastPrinted>2021-08-12T08:07:00Z</cp:lastPrinted>
  <dcterms:modified xsi:type="dcterms:W3CDTF">2021-08-23T00:40:52Z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5EC6F5C956FF4FDCA7AB3418229BD12F</vt:lpwstr>
  </property>
</Properties>
</file>