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sz w:val="48"/>
          <w:szCs w:val="48"/>
        </w:rPr>
      </w:pPr>
    </w:p>
    <w:p>
      <w:pPr>
        <w:rPr>
          <w:rFonts w:hint="eastAsia" w:ascii="仿宋" w:hAnsi="仿宋" w:eastAsia="仿宋" w:cs="仿宋"/>
          <w:b/>
          <w:sz w:val="48"/>
          <w:szCs w:val="48"/>
        </w:rPr>
      </w:pPr>
    </w:p>
    <w:p>
      <w:pPr>
        <w:rPr>
          <w:rFonts w:hint="eastAsia" w:ascii="仿宋" w:hAnsi="仿宋" w:eastAsia="仿宋" w:cs="仿宋"/>
          <w:b/>
          <w:sz w:val="48"/>
          <w:szCs w:val="48"/>
        </w:rPr>
      </w:pPr>
    </w:p>
    <w:p>
      <w:pPr>
        <w:ind w:firstLine="0" w:firstLineChars="0"/>
        <w:jc w:val="center"/>
        <w:rPr>
          <w:rFonts w:hint="eastAsia" w:ascii="仿宋" w:hAnsi="仿宋" w:eastAsia="仿宋" w:cs="仿宋"/>
          <w:b/>
          <w:sz w:val="84"/>
          <w:szCs w:val="84"/>
        </w:rPr>
      </w:pPr>
      <w:r>
        <w:rPr>
          <w:rFonts w:hint="eastAsia" w:ascii="仿宋" w:hAnsi="仿宋" w:eastAsia="仿宋" w:cs="仿宋"/>
          <w:b/>
          <w:sz w:val="84"/>
          <w:szCs w:val="84"/>
        </w:rPr>
        <w:t>价格评估结论书</w:t>
      </w:r>
    </w:p>
    <w:p>
      <w:pPr>
        <w:ind w:firstLine="0" w:firstLineChars="0"/>
        <w:jc w:val="center"/>
        <w:rPr>
          <w:rFonts w:hint="eastAsia" w:ascii="仿宋" w:hAnsi="仿宋" w:eastAsia="仿宋" w:cs="仿宋"/>
          <w:szCs w:val="28"/>
        </w:rPr>
      </w:pPr>
      <w:r>
        <w:rPr>
          <w:rFonts w:hint="eastAsia" w:ascii="仿宋" w:hAnsi="仿宋" w:eastAsia="仿宋" w:cs="仿宋"/>
          <w:spacing w:val="10"/>
          <w:szCs w:val="28"/>
        </w:rPr>
        <w:t>浙矿价评[2021]08-   号</w:t>
      </w:r>
    </w:p>
    <w:p>
      <w:pPr>
        <w:ind w:firstLine="560"/>
        <w:rPr>
          <w:rFonts w:hint="eastAsia" w:ascii="仿宋" w:hAnsi="仿宋" w:eastAsia="仿宋" w:cs="仿宋"/>
          <w:szCs w:val="28"/>
        </w:rPr>
      </w:pPr>
    </w:p>
    <w:p>
      <w:pPr>
        <w:ind w:firstLine="560"/>
        <w:rPr>
          <w:rFonts w:hint="eastAsia" w:ascii="仿宋" w:hAnsi="仿宋" w:eastAsia="仿宋" w:cs="仿宋"/>
          <w:szCs w:val="28"/>
        </w:rPr>
      </w:pPr>
    </w:p>
    <w:p>
      <w:pPr>
        <w:ind w:firstLine="560"/>
        <w:rPr>
          <w:rFonts w:hint="eastAsia" w:ascii="仿宋" w:hAnsi="仿宋" w:eastAsia="仿宋" w:cs="仿宋"/>
          <w:szCs w:val="28"/>
        </w:rPr>
      </w:pPr>
    </w:p>
    <w:p>
      <w:pPr>
        <w:pStyle w:val="2"/>
        <w:rPr>
          <w:rFonts w:hint="eastAsia" w:ascii="仿宋" w:hAnsi="仿宋" w:eastAsia="仿宋" w:cs="仿宋"/>
          <w:szCs w:val="28"/>
        </w:rPr>
      </w:pPr>
    </w:p>
    <w:p>
      <w:pPr>
        <w:pStyle w:val="2"/>
        <w:rPr>
          <w:rFonts w:hint="eastAsia" w:ascii="仿宋" w:hAnsi="仿宋" w:eastAsia="仿宋" w:cs="仿宋"/>
          <w:szCs w:val="28"/>
        </w:rPr>
      </w:pPr>
    </w:p>
    <w:p>
      <w:pPr>
        <w:ind w:firstLine="560"/>
        <w:rPr>
          <w:rFonts w:hint="eastAsia" w:ascii="仿宋" w:hAnsi="仿宋" w:eastAsia="仿宋" w:cs="仿宋"/>
          <w:szCs w:val="28"/>
        </w:rPr>
      </w:pPr>
    </w:p>
    <w:p>
      <w:pPr>
        <w:ind w:firstLine="560"/>
        <w:rPr>
          <w:rFonts w:hint="eastAsia" w:ascii="仿宋" w:hAnsi="仿宋" w:eastAsia="仿宋" w:cs="仿宋"/>
          <w:szCs w:val="28"/>
        </w:rPr>
      </w:pPr>
    </w:p>
    <w:p>
      <w:pPr>
        <w:ind w:firstLine="560"/>
        <w:rPr>
          <w:rFonts w:hint="eastAsia" w:ascii="仿宋" w:hAnsi="仿宋" w:eastAsia="仿宋" w:cs="仿宋"/>
          <w:szCs w:val="28"/>
        </w:rPr>
      </w:pPr>
    </w:p>
    <w:p>
      <w:pPr>
        <w:pStyle w:val="2"/>
        <w:ind w:firstLine="0" w:firstLineChars="0"/>
        <w:rPr>
          <w:rFonts w:hint="eastAsia" w:ascii="仿宋" w:hAnsi="仿宋" w:eastAsia="仿宋" w:cs="仿宋"/>
        </w:rPr>
      </w:pPr>
    </w:p>
    <w:p>
      <w:pPr>
        <w:pStyle w:val="2"/>
        <w:ind w:firstLine="0" w:firstLineChars="0"/>
        <w:rPr>
          <w:rFonts w:hint="eastAsia" w:ascii="仿宋" w:hAnsi="仿宋" w:eastAsia="仿宋" w:cs="仿宋"/>
        </w:rPr>
      </w:pPr>
    </w:p>
    <w:p>
      <w:pPr>
        <w:spacing w:line="240" w:lineRule="auto"/>
        <w:ind w:left="2525" w:hanging="2525" w:hangingChars="450"/>
        <w:rPr>
          <w:rFonts w:hint="eastAsia" w:ascii="仿宋" w:hAnsi="仿宋" w:eastAsia="仿宋" w:cs="仿宋"/>
          <w:szCs w:val="28"/>
        </w:rPr>
      </w:pPr>
      <w:r>
        <w:rPr>
          <w:rFonts w:hint="eastAsia" w:ascii="仿宋" w:hAnsi="仿宋" w:eastAsia="仿宋" w:cs="仿宋"/>
          <w:b/>
          <w:spacing w:val="140"/>
          <w:kern w:val="0"/>
          <w:szCs w:val="28"/>
        </w:rPr>
        <w:t>项目名称</w:t>
      </w:r>
      <w:r>
        <w:rPr>
          <w:rFonts w:hint="eastAsia" w:ascii="仿宋" w:hAnsi="仿宋" w:eastAsia="仿宋" w:cs="仿宋"/>
          <w:b/>
          <w:kern w:val="0"/>
          <w:szCs w:val="28"/>
        </w:rPr>
        <w:t>：</w:t>
      </w:r>
      <w:r>
        <w:rPr>
          <w:rFonts w:hint="eastAsia" w:ascii="仿宋" w:hAnsi="仿宋" w:eastAsia="仿宋" w:cs="仿宋"/>
          <w:u w:val="single"/>
        </w:rPr>
        <w:t>义乌市苏溪镇东青村旧改区块部分农户地下室开挖石方资源量资源处置价值评估</w:t>
      </w:r>
    </w:p>
    <w:p>
      <w:pPr>
        <w:ind w:firstLine="0" w:firstLineChars="0"/>
        <w:rPr>
          <w:rFonts w:hint="eastAsia" w:ascii="仿宋" w:hAnsi="仿宋" w:eastAsia="仿宋" w:cs="仿宋"/>
          <w:szCs w:val="28"/>
          <w:u w:val="single"/>
        </w:rPr>
      </w:pPr>
      <w:r>
        <w:rPr>
          <w:rFonts w:hint="eastAsia" w:ascii="仿宋" w:hAnsi="仿宋" w:eastAsia="仿宋" w:cs="仿宋"/>
          <w:b/>
          <w:spacing w:val="234"/>
          <w:kern w:val="0"/>
          <w:szCs w:val="28"/>
        </w:rPr>
        <w:t>委托方</w:t>
      </w:r>
      <w:r>
        <w:rPr>
          <w:rFonts w:hint="eastAsia" w:ascii="仿宋" w:hAnsi="仿宋" w:eastAsia="仿宋" w:cs="仿宋"/>
          <w:b/>
          <w:kern w:val="0"/>
          <w:szCs w:val="28"/>
        </w:rPr>
        <w:t>：</w:t>
      </w:r>
      <w:r>
        <w:rPr>
          <w:rFonts w:hint="eastAsia" w:ascii="仿宋" w:hAnsi="仿宋" w:eastAsia="仿宋" w:cs="仿宋"/>
          <w:u w:val="single"/>
        </w:rPr>
        <w:t>义乌市苏溪镇人民政府</w:t>
      </w:r>
    </w:p>
    <w:p>
      <w:pPr>
        <w:ind w:firstLine="0" w:firstLineChars="0"/>
        <w:rPr>
          <w:rFonts w:hint="eastAsia" w:ascii="仿宋" w:hAnsi="仿宋" w:eastAsia="仿宋" w:cs="仿宋"/>
          <w:b/>
          <w:u w:val="single"/>
        </w:rPr>
      </w:pPr>
      <w:r>
        <w:rPr>
          <w:rFonts w:hint="eastAsia" w:ascii="仿宋" w:hAnsi="仿宋" w:eastAsia="仿宋" w:cs="仿宋"/>
          <w:b/>
          <w:kern w:val="0"/>
        </w:rPr>
        <w:t>受托价格评估机构：</w:t>
      </w:r>
      <w:r>
        <w:rPr>
          <w:rFonts w:hint="eastAsia" w:ascii="仿宋" w:hAnsi="仿宋" w:eastAsia="仿宋" w:cs="仿宋"/>
          <w:u w:val="single"/>
        </w:rPr>
        <w:t>浙江矿评房地产资产评估有限公司</w:t>
      </w:r>
    </w:p>
    <w:p>
      <w:pPr>
        <w:autoSpaceDE w:val="0"/>
        <w:autoSpaceDN w:val="0"/>
        <w:adjustRightInd w:val="0"/>
        <w:spacing w:line="660" w:lineRule="exact"/>
        <w:ind w:firstLine="0" w:firstLineChars="0"/>
        <w:jc w:val="left"/>
        <w:rPr>
          <w:rFonts w:hint="eastAsia" w:ascii="仿宋" w:hAnsi="仿宋" w:eastAsia="仿宋" w:cs="仿宋"/>
          <w:spacing w:val="1"/>
          <w:kern w:val="0"/>
          <w:u w:val="single"/>
        </w:rPr>
      </w:pPr>
      <w:r>
        <w:rPr>
          <w:rFonts w:hint="eastAsia" w:ascii="仿宋" w:hAnsi="仿宋" w:eastAsia="仿宋" w:cs="仿宋"/>
          <w:b/>
          <w:spacing w:val="47"/>
          <w:kern w:val="0"/>
        </w:rPr>
        <w:t>报告出具日期</w:t>
      </w:r>
      <w:r>
        <w:rPr>
          <w:rFonts w:hint="eastAsia" w:ascii="仿宋" w:hAnsi="仿宋" w:eastAsia="仿宋" w:cs="仿宋"/>
          <w:b/>
          <w:spacing w:val="-1"/>
          <w:kern w:val="0"/>
        </w:rPr>
        <w:t>：</w:t>
      </w:r>
      <w:r>
        <w:rPr>
          <w:rFonts w:hint="eastAsia" w:ascii="仿宋" w:hAnsi="仿宋" w:eastAsia="仿宋" w:cs="仿宋"/>
          <w:spacing w:val="1"/>
          <w:kern w:val="0"/>
          <w:u w:val="single"/>
        </w:rPr>
        <w:t>二〇二一年八月二十日</w:t>
      </w:r>
    </w:p>
    <w:p>
      <w:pPr>
        <w:spacing w:line="700" w:lineRule="exact"/>
        <w:ind w:firstLine="0" w:firstLineChars="0"/>
        <w:jc w:val="center"/>
        <w:rPr>
          <w:rFonts w:hint="eastAsia" w:ascii="仿宋" w:hAnsi="仿宋" w:eastAsia="仿宋" w:cs="仿宋"/>
          <w:b/>
          <w:bCs/>
          <w:sz w:val="32"/>
          <w:szCs w:val="32"/>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pPr>
        <w:spacing w:line="700" w:lineRule="exact"/>
        <w:ind w:firstLine="0" w:firstLineChars="0"/>
        <w:jc w:val="center"/>
        <w:rPr>
          <w:rFonts w:hint="eastAsia" w:ascii="仿宋" w:hAnsi="仿宋" w:eastAsia="仿宋" w:cs="仿宋"/>
          <w:b/>
          <w:bCs/>
          <w:sz w:val="32"/>
          <w:szCs w:val="32"/>
        </w:rPr>
      </w:pPr>
      <w:r>
        <w:rPr>
          <w:rFonts w:hint="eastAsia" w:ascii="仿宋" w:hAnsi="仿宋" w:eastAsia="仿宋" w:cs="仿宋"/>
          <w:b/>
          <w:bCs/>
          <w:sz w:val="32"/>
          <w:szCs w:val="32"/>
        </w:rPr>
        <w:t>乌市苏溪镇东青村旧改区块部分农户地下室开挖</w:t>
      </w:r>
    </w:p>
    <w:p>
      <w:pPr>
        <w:spacing w:line="700" w:lineRule="exact"/>
        <w:ind w:firstLine="0" w:firstLineChars="0"/>
        <w:jc w:val="center"/>
        <w:rPr>
          <w:rFonts w:hint="eastAsia" w:ascii="仿宋" w:hAnsi="仿宋" w:eastAsia="仿宋" w:cs="仿宋"/>
          <w:b/>
          <w:sz w:val="32"/>
          <w:szCs w:val="32"/>
        </w:rPr>
      </w:pPr>
      <w:r>
        <w:rPr>
          <w:rFonts w:hint="eastAsia" w:ascii="仿宋" w:hAnsi="仿宋" w:eastAsia="仿宋" w:cs="仿宋"/>
          <w:b/>
          <w:bCs/>
          <w:sz w:val="32"/>
          <w:szCs w:val="32"/>
        </w:rPr>
        <w:t>石方资源量</w:t>
      </w:r>
      <w:r>
        <w:rPr>
          <w:rFonts w:hint="eastAsia" w:ascii="仿宋" w:hAnsi="仿宋" w:eastAsia="仿宋" w:cs="仿宋"/>
          <w:b/>
          <w:sz w:val="32"/>
          <w:szCs w:val="32"/>
        </w:rPr>
        <w:t>资源处置价值评估结论书</w:t>
      </w:r>
    </w:p>
    <w:p>
      <w:pPr>
        <w:ind w:firstLine="0" w:firstLineChars="0"/>
        <w:jc w:val="center"/>
        <w:rPr>
          <w:rFonts w:hint="eastAsia" w:ascii="仿宋" w:hAnsi="仿宋" w:eastAsia="仿宋" w:cs="仿宋"/>
          <w:szCs w:val="28"/>
        </w:rPr>
      </w:pPr>
      <w:r>
        <w:rPr>
          <w:rFonts w:hint="eastAsia" w:ascii="仿宋" w:hAnsi="仿宋" w:eastAsia="仿宋" w:cs="仿宋"/>
          <w:spacing w:val="10"/>
          <w:szCs w:val="28"/>
        </w:rPr>
        <w:t>浙矿价评[2021]08-01号</w:t>
      </w:r>
    </w:p>
    <w:p>
      <w:pPr>
        <w:adjustRightInd w:val="0"/>
        <w:snapToGrid w:val="0"/>
        <w:spacing w:before="312" w:beforeLines="100"/>
        <w:ind w:firstLine="0" w:firstLineChars="0"/>
        <w:rPr>
          <w:rFonts w:hint="eastAsia" w:ascii="仿宋" w:hAnsi="仿宋" w:eastAsia="仿宋" w:cs="仿宋"/>
          <w:szCs w:val="28"/>
          <w:u w:val="single"/>
        </w:rPr>
      </w:pPr>
      <w:r>
        <w:rPr>
          <w:rFonts w:hint="eastAsia" w:ascii="仿宋" w:hAnsi="仿宋" w:eastAsia="仿宋" w:cs="仿宋"/>
          <w:b/>
          <w:bCs/>
        </w:rPr>
        <w:t>义乌市苏溪镇人民政府</w:t>
      </w:r>
      <w:r>
        <w:rPr>
          <w:rFonts w:hint="eastAsia" w:ascii="仿宋" w:hAnsi="仿宋" w:eastAsia="仿宋" w:cs="仿宋"/>
          <w:b/>
          <w:bCs/>
          <w:kern w:val="0"/>
        </w:rPr>
        <w:t>：</w:t>
      </w:r>
    </w:p>
    <w:p>
      <w:pPr>
        <w:ind w:firstLine="608"/>
        <w:rPr>
          <w:rFonts w:hint="eastAsia" w:ascii="仿宋" w:hAnsi="仿宋" w:eastAsia="仿宋" w:cs="仿宋"/>
          <w:spacing w:val="12"/>
          <w:szCs w:val="28"/>
        </w:rPr>
      </w:pPr>
      <w:r>
        <w:rPr>
          <w:rFonts w:hint="eastAsia" w:ascii="仿宋" w:hAnsi="仿宋" w:eastAsia="仿宋" w:cs="仿宋"/>
          <w:spacing w:val="12"/>
          <w:szCs w:val="28"/>
        </w:rPr>
        <w:t>受贵方委托，我公司遵循独立、客观、公正的原则，按照规定的标准、程序和方法，对</w:t>
      </w:r>
      <w:r>
        <w:rPr>
          <w:rFonts w:hint="eastAsia" w:ascii="仿宋" w:hAnsi="仿宋" w:eastAsia="仿宋" w:cs="仿宋"/>
        </w:rPr>
        <w:t>义乌市苏溪镇东青村旧改区块部分农户地下室开挖石方资源处置</w:t>
      </w:r>
      <w:r>
        <w:rPr>
          <w:rFonts w:hint="eastAsia" w:ascii="仿宋" w:hAnsi="仿宋" w:eastAsia="仿宋" w:cs="仿宋"/>
          <w:spacing w:val="12"/>
          <w:szCs w:val="28"/>
        </w:rPr>
        <w:t>所对应的处置价值进行评估，现将价格评估情况综述如下：</w:t>
      </w:r>
    </w:p>
    <w:p>
      <w:pPr>
        <w:autoSpaceDE w:val="0"/>
        <w:autoSpaceDN w:val="0"/>
        <w:adjustRightInd w:val="0"/>
        <w:ind w:firstLine="0" w:firstLineChars="0"/>
        <w:jc w:val="left"/>
        <w:rPr>
          <w:rFonts w:hint="eastAsia" w:ascii="仿宋" w:hAnsi="仿宋" w:eastAsia="仿宋" w:cs="仿宋"/>
        </w:rPr>
      </w:pPr>
      <w:bookmarkStart w:id="0" w:name="_Toc19969"/>
      <w:r>
        <w:rPr>
          <w:rFonts w:hint="eastAsia" w:ascii="仿宋" w:hAnsi="仿宋" w:eastAsia="仿宋" w:cs="仿宋"/>
          <w:b/>
          <w:kern w:val="0"/>
        </w:rPr>
        <w:t>一、价格评估标的</w:t>
      </w:r>
      <w:bookmarkEnd w:id="0"/>
      <w:r>
        <w:rPr>
          <w:rFonts w:hint="eastAsia" w:ascii="仿宋" w:hAnsi="仿宋" w:eastAsia="仿宋" w:cs="仿宋"/>
        </w:rPr>
        <w:t>：</w:t>
      </w:r>
    </w:p>
    <w:p>
      <w:pPr>
        <w:ind w:firstLine="560"/>
        <w:rPr>
          <w:rFonts w:hint="eastAsia" w:ascii="仿宋" w:hAnsi="仿宋" w:eastAsia="仿宋" w:cs="仿宋"/>
          <w:b/>
          <w:kern w:val="0"/>
        </w:rPr>
      </w:pPr>
      <w:r>
        <w:rPr>
          <w:rFonts w:hint="eastAsia" w:ascii="仿宋" w:hAnsi="仿宋" w:eastAsia="仿宋" w:cs="仿宋"/>
        </w:rPr>
        <w:t>义乌市苏溪镇东青村旧改区块部分农户地下室开挖石方资源处置</w:t>
      </w:r>
      <w:r>
        <w:rPr>
          <w:rFonts w:hint="eastAsia" w:ascii="仿宋" w:hAnsi="仿宋" w:eastAsia="仿宋" w:cs="仿宋"/>
          <w:spacing w:val="12"/>
          <w:szCs w:val="28"/>
        </w:rPr>
        <w:t>所对应的处置价值（场地交货价）。</w:t>
      </w:r>
    </w:p>
    <w:p>
      <w:pPr>
        <w:autoSpaceDE w:val="0"/>
        <w:autoSpaceDN w:val="0"/>
        <w:adjustRightInd w:val="0"/>
        <w:ind w:firstLine="0" w:firstLineChars="0"/>
        <w:jc w:val="left"/>
        <w:rPr>
          <w:rFonts w:hint="eastAsia" w:ascii="仿宋" w:hAnsi="仿宋" w:eastAsia="仿宋" w:cs="仿宋"/>
          <w:b/>
          <w:kern w:val="0"/>
        </w:rPr>
      </w:pPr>
      <w:bookmarkStart w:id="1" w:name="_Toc7360"/>
      <w:r>
        <w:rPr>
          <w:rFonts w:hint="eastAsia" w:ascii="仿宋" w:hAnsi="仿宋" w:eastAsia="仿宋" w:cs="仿宋"/>
          <w:b/>
          <w:kern w:val="0"/>
        </w:rPr>
        <w:t>二、价格评估目的</w:t>
      </w:r>
      <w:bookmarkEnd w:id="1"/>
      <w:r>
        <w:rPr>
          <w:rFonts w:hint="eastAsia" w:ascii="仿宋" w:hAnsi="仿宋" w:eastAsia="仿宋" w:cs="仿宋"/>
          <w:b/>
          <w:kern w:val="0"/>
        </w:rPr>
        <w:t>：</w:t>
      </w:r>
    </w:p>
    <w:p>
      <w:pPr>
        <w:autoSpaceDE w:val="0"/>
        <w:autoSpaceDN w:val="0"/>
        <w:adjustRightInd w:val="0"/>
        <w:ind w:firstLine="560"/>
        <w:jc w:val="left"/>
        <w:rPr>
          <w:rFonts w:hint="eastAsia" w:ascii="仿宋" w:hAnsi="仿宋" w:eastAsia="仿宋" w:cs="仿宋"/>
          <w:spacing w:val="12"/>
          <w:szCs w:val="28"/>
        </w:rPr>
      </w:pPr>
      <w:r>
        <w:rPr>
          <w:rFonts w:hint="eastAsia" w:ascii="仿宋" w:hAnsi="仿宋" w:eastAsia="仿宋" w:cs="仿宋"/>
          <w:szCs w:val="28"/>
        </w:rPr>
        <w:t>为委托方提供资源</w:t>
      </w:r>
      <w:r>
        <w:rPr>
          <w:rFonts w:hint="eastAsia" w:ascii="仿宋" w:hAnsi="仿宋" w:eastAsia="仿宋" w:cs="仿宋"/>
          <w:spacing w:val="12"/>
          <w:szCs w:val="28"/>
        </w:rPr>
        <w:t>处置</w:t>
      </w:r>
      <w:r>
        <w:rPr>
          <w:rFonts w:hint="eastAsia" w:ascii="仿宋" w:hAnsi="仿宋" w:eastAsia="仿宋" w:cs="仿宋"/>
          <w:szCs w:val="28"/>
        </w:rPr>
        <w:t>价值参考意见</w:t>
      </w:r>
      <w:r>
        <w:rPr>
          <w:rFonts w:hint="eastAsia" w:ascii="仿宋" w:hAnsi="仿宋" w:eastAsia="仿宋" w:cs="仿宋"/>
          <w:spacing w:val="12"/>
          <w:szCs w:val="28"/>
        </w:rPr>
        <w:t>。</w:t>
      </w:r>
    </w:p>
    <w:p>
      <w:pPr>
        <w:autoSpaceDE w:val="0"/>
        <w:autoSpaceDN w:val="0"/>
        <w:adjustRightInd w:val="0"/>
        <w:ind w:firstLine="0" w:firstLineChars="0"/>
        <w:jc w:val="left"/>
        <w:rPr>
          <w:rFonts w:hint="eastAsia" w:ascii="仿宋" w:hAnsi="仿宋" w:eastAsia="仿宋" w:cs="仿宋"/>
          <w:b/>
          <w:kern w:val="0"/>
        </w:rPr>
      </w:pPr>
      <w:bookmarkStart w:id="2" w:name="_Toc22096"/>
      <w:r>
        <w:rPr>
          <w:rFonts w:hint="eastAsia" w:ascii="仿宋" w:hAnsi="仿宋" w:eastAsia="仿宋" w:cs="仿宋"/>
          <w:b/>
          <w:kern w:val="0"/>
        </w:rPr>
        <w:t>三、价格评估基准日</w:t>
      </w:r>
      <w:bookmarkEnd w:id="2"/>
      <w:r>
        <w:rPr>
          <w:rFonts w:hint="eastAsia" w:ascii="仿宋" w:hAnsi="仿宋" w:eastAsia="仿宋" w:cs="仿宋"/>
          <w:b/>
          <w:kern w:val="0"/>
        </w:rPr>
        <w:t>：</w:t>
      </w:r>
    </w:p>
    <w:p>
      <w:pPr>
        <w:autoSpaceDE w:val="0"/>
        <w:autoSpaceDN w:val="0"/>
        <w:adjustRightInd w:val="0"/>
        <w:ind w:firstLine="608"/>
        <w:jc w:val="left"/>
        <w:rPr>
          <w:rFonts w:hint="eastAsia" w:ascii="仿宋" w:hAnsi="仿宋" w:eastAsia="仿宋" w:cs="仿宋"/>
          <w:spacing w:val="12"/>
          <w:szCs w:val="28"/>
        </w:rPr>
      </w:pPr>
      <w:r>
        <w:rPr>
          <w:rFonts w:hint="eastAsia" w:ascii="仿宋" w:hAnsi="仿宋" w:eastAsia="仿宋" w:cs="仿宋"/>
          <w:spacing w:val="12"/>
          <w:szCs w:val="28"/>
        </w:rPr>
        <w:t>二〇二一年八月十五日。</w:t>
      </w:r>
    </w:p>
    <w:p>
      <w:pPr>
        <w:numPr>
          <w:ilvl w:val="0"/>
          <w:numId w:val="1"/>
        </w:numPr>
        <w:autoSpaceDE w:val="0"/>
        <w:autoSpaceDN w:val="0"/>
        <w:adjustRightInd w:val="0"/>
        <w:ind w:firstLine="0" w:firstLineChars="0"/>
        <w:jc w:val="left"/>
        <w:rPr>
          <w:rFonts w:hint="eastAsia" w:ascii="仿宋" w:hAnsi="仿宋" w:eastAsia="仿宋" w:cs="仿宋"/>
          <w:b/>
          <w:kern w:val="0"/>
          <w:szCs w:val="28"/>
        </w:rPr>
      </w:pPr>
      <w:bookmarkStart w:id="3" w:name="_Toc23340"/>
      <w:r>
        <w:rPr>
          <w:rFonts w:hint="eastAsia" w:ascii="仿宋" w:hAnsi="仿宋" w:eastAsia="仿宋" w:cs="仿宋"/>
          <w:b/>
          <w:kern w:val="0"/>
          <w:szCs w:val="28"/>
        </w:rPr>
        <w:t>评估对象基本概况</w:t>
      </w:r>
      <w:bookmarkEnd w:id="3"/>
    </w:p>
    <w:p>
      <w:pPr>
        <w:numPr>
          <w:ilvl w:val="0"/>
          <w:numId w:val="2"/>
        </w:numPr>
        <w:autoSpaceDE w:val="0"/>
        <w:autoSpaceDN w:val="0"/>
        <w:adjustRightInd w:val="0"/>
        <w:ind w:firstLine="0" w:firstLineChars="0"/>
        <w:jc w:val="left"/>
        <w:rPr>
          <w:rFonts w:hint="eastAsia" w:ascii="仿宋" w:hAnsi="仿宋" w:eastAsia="仿宋" w:cs="仿宋"/>
          <w:b/>
          <w:kern w:val="0"/>
          <w:szCs w:val="28"/>
        </w:rPr>
      </w:pPr>
      <w:bookmarkStart w:id="4" w:name="_Toc3875"/>
      <w:r>
        <w:rPr>
          <w:rFonts w:hint="eastAsia" w:ascii="仿宋" w:hAnsi="仿宋" w:eastAsia="仿宋" w:cs="仿宋"/>
          <w:b/>
          <w:bCs/>
          <w:szCs w:val="28"/>
        </w:rPr>
        <w:t>开挖区基本情况</w:t>
      </w:r>
      <w:bookmarkEnd w:id="4"/>
    </w:p>
    <w:p>
      <w:pPr>
        <w:ind w:firstLine="560"/>
        <w:rPr>
          <w:rFonts w:hint="eastAsia" w:ascii="仿宋" w:hAnsi="仿宋" w:eastAsia="仿宋" w:cs="仿宋"/>
        </w:rPr>
      </w:pPr>
      <w:r>
        <w:rPr>
          <w:rFonts w:hint="eastAsia" w:ascii="仿宋" w:hAnsi="仿宋" w:eastAsia="仿宋" w:cs="仿宋"/>
        </w:rPr>
        <w:t>根据《义乌市苏溪镇东青村旧改区块部分农户地下室开挖石方堆放量测算工程测量成果报告书》（以下简称《</w:t>
      </w:r>
      <w:r>
        <w:rPr>
          <w:rFonts w:hint="eastAsia" w:ascii="仿宋" w:hAnsi="仿宋" w:eastAsia="仿宋" w:cs="仿宋"/>
          <w:u w:val="none"/>
          <w:lang w:eastAsia="zh-CN"/>
        </w:rPr>
        <w:t>测量成果</w:t>
      </w:r>
      <w:r>
        <w:rPr>
          <w:rFonts w:hint="eastAsia" w:ascii="仿宋" w:hAnsi="仿宋" w:eastAsia="仿宋" w:cs="仿宋"/>
          <w:u w:val="none"/>
        </w:rPr>
        <w:t>》</w:t>
      </w:r>
      <w:r>
        <w:rPr>
          <w:rFonts w:hint="eastAsia" w:ascii="仿宋" w:hAnsi="仿宋" w:eastAsia="仿宋" w:cs="仿宋"/>
        </w:rPr>
        <w:t>），开挖区位于义乌市苏溪镇东青村旧改区块，开挖区四周地势空旷，交通便利，视线良好。</w:t>
      </w:r>
    </w:p>
    <w:p>
      <w:pPr>
        <w:ind w:firstLine="560"/>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eastAsia="zh-CN"/>
        </w:rPr>
        <w:t>测量成果</w:t>
      </w:r>
      <w:r>
        <w:rPr>
          <w:rFonts w:hint="eastAsia" w:ascii="仿宋" w:hAnsi="仿宋" w:eastAsia="仿宋" w:cs="仿宋"/>
        </w:rPr>
        <w:t>》，其工作目的是利用方格网测量，计算石方量，为苏溪镇东青村旧改区块部分农户地下室开挖石方堆放量提供石方数据；测量工作从2021年8月6日开挖收集准备资料，8月10日内外业工作全部结束；测量采用E级GPS控制点2个，方格网面积2985.10m</w:t>
      </w:r>
      <w:r>
        <w:rPr>
          <w:rFonts w:hint="eastAsia" w:ascii="仿宋" w:hAnsi="仿宋" w:eastAsia="仿宋" w:cs="仿宋"/>
          <w:vertAlign w:val="superscript"/>
        </w:rPr>
        <w:t>2</w:t>
      </w:r>
      <w:r>
        <w:rPr>
          <w:rFonts w:hint="eastAsia" w:ascii="仿宋" w:hAnsi="仿宋" w:eastAsia="仿宋" w:cs="仿宋"/>
        </w:rPr>
        <w:t>，测算开挖区挖方量为12302.08m</w:t>
      </w:r>
      <w:r>
        <w:rPr>
          <w:rFonts w:hint="eastAsia" w:ascii="仿宋" w:hAnsi="仿宋" w:eastAsia="仿宋" w:cs="仿宋"/>
          <w:vertAlign w:val="superscript"/>
        </w:rPr>
        <w:t>3</w:t>
      </w:r>
      <w:r>
        <w:rPr>
          <w:rFonts w:hint="eastAsia" w:ascii="仿宋" w:hAnsi="仿宋" w:eastAsia="仿宋" w:cs="仿宋"/>
        </w:rPr>
        <w:t>。</w:t>
      </w:r>
    </w:p>
    <w:p>
      <w:pPr>
        <w:ind w:firstLine="560"/>
        <w:rPr>
          <w:rFonts w:hint="eastAsia" w:ascii="仿宋" w:hAnsi="仿宋" w:eastAsia="仿宋" w:cs="仿宋"/>
        </w:rPr>
      </w:pPr>
      <w:r>
        <w:rPr>
          <w:rFonts w:hint="eastAsia" w:ascii="仿宋" w:hAnsi="仿宋" w:eastAsia="仿宋" w:cs="仿宋"/>
        </w:rPr>
        <w:t>根据《义乌市苏溪镇东青村更新改造项目东南角建筑基坑开挖资源量估算报告》（以下简称《估算报告》），开挖区石料岩性为白垩系下统高坞组（K</w:t>
      </w:r>
      <w:r>
        <w:rPr>
          <w:rFonts w:hint="eastAsia" w:ascii="仿宋" w:hAnsi="仿宋" w:eastAsia="仿宋" w:cs="仿宋"/>
          <w:vertAlign w:val="subscript"/>
        </w:rPr>
        <w:t>1</w:t>
      </w:r>
      <w:r>
        <w:rPr>
          <w:rFonts w:hint="eastAsia" w:ascii="仿宋" w:hAnsi="仿宋" w:eastAsia="仿宋" w:cs="仿宋"/>
        </w:rPr>
        <w:t>g）浅紫红色晶玻屑凝灰岩，局部含角砾。</w:t>
      </w:r>
    </w:p>
    <w:p>
      <w:pPr>
        <w:numPr>
          <w:ilvl w:val="0"/>
          <w:numId w:val="2"/>
        </w:numPr>
        <w:autoSpaceDE w:val="0"/>
        <w:autoSpaceDN w:val="0"/>
        <w:adjustRightInd w:val="0"/>
        <w:ind w:firstLine="0" w:firstLineChars="0"/>
        <w:jc w:val="left"/>
        <w:rPr>
          <w:rFonts w:hint="eastAsia" w:ascii="仿宋" w:hAnsi="仿宋" w:eastAsia="仿宋" w:cs="仿宋"/>
          <w:b/>
          <w:kern w:val="0"/>
        </w:rPr>
      </w:pPr>
      <w:bookmarkStart w:id="5" w:name="_Toc26121"/>
      <w:r>
        <w:rPr>
          <w:rFonts w:hint="eastAsia" w:ascii="仿宋" w:hAnsi="仿宋" w:eastAsia="仿宋" w:cs="仿宋"/>
          <w:b/>
        </w:rPr>
        <w:t>交通</w:t>
      </w:r>
      <w:r>
        <w:rPr>
          <w:rFonts w:hint="eastAsia" w:ascii="仿宋" w:hAnsi="仿宋" w:eastAsia="仿宋" w:cs="仿宋"/>
          <w:b/>
          <w:bCs/>
          <w:szCs w:val="28"/>
        </w:rPr>
        <w:t>位置</w:t>
      </w:r>
      <w:bookmarkEnd w:id="5"/>
    </w:p>
    <w:p>
      <w:pPr>
        <w:ind w:firstLine="560"/>
        <w:rPr>
          <w:rFonts w:hint="eastAsia" w:ascii="仿宋" w:hAnsi="仿宋" w:eastAsia="仿宋" w:cs="仿宋"/>
        </w:rPr>
      </w:pPr>
      <w:r>
        <w:rPr>
          <w:rFonts w:hint="eastAsia" w:ascii="仿宋" w:hAnsi="仿宋" w:eastAsia="仿宋" w:cs="仿宋"/>
        </w:rPr>
        <w:t>开挖区位于义乌市北侧，苏溪镇北西，直距义乌市区约10km，苏溪镇约3.5km。开挖区所在规划区的中心地理坐标：东经120°05′50″，北纬29°25′36″。稠下线公路从开挖区北侧通过，开挖区交通便利（见图4-1）。</w:t>
      </w:r>
    </w:p>
    <w:p>
      <w:pPr>
        <w:ind w:firstLine="0" w:firstLineChars="0"/>
        <w:jc w:val="center"/>
        <w:rPr>
          <w:rFonts w:hint="eastAsia" w:ascii="仿宋" w:hAnsi="仿宋" w:eastAsia="仿宋" w:cs="仿宋"/>
        </w:rPr>
      </w:pPr>
      <w:r>
        <w:rPr>
          <w:rFonts w:hint="eastAsia" w:ascii="仿宋" w:hAnsi="仿宋" w:eastAsia="仿宋" w:cs="仿宋"/>
        </w:rPr>
        <w:drawing>
          <wp:inline distT="0" distB="0" distL="114300" distR="114300">
            <wp:extent cx="4519930" cy="2379980"/>
            <wp:effectExtent l="0" t="0" r="1397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519930" cy="2379980"/>
                    </a:xfrm>
                    <a:prstGeom prst="rect">
                      <a:avLst/>
                    </a:prstGeom>
                    <a:noFill/>
                    <a:ln>
                      <a:noFill/>
                    </a:ln>
                  </pic:spPr>
                </pic:pic>
              </a:graphicData>
            </a:graphic>
          </wp:inline>
        </w:drawing>
      </w:r>
    </w:p>
    <w:p>
      <w:pPr>
        <w:pStyle w:val="2"/>
        <w:spacing w:line="360" w:lineRule="auto"/>
        <w:ind w:firstLine="0" w:firstLineChars="0"/>
        <w:jc w:val="center"/>
        <w:rPr>
          <w:rFonts w:hint="eastAsia" w:ascii="仿宋" w:hAnsi="仿宋" w:eastAsia="仿宋" w:cs="仿宋"/>
          <w:b/>
          <w:sz w:val="24"/>
        </w:rPr>
      </w:pPr>
      <w:r>
        <w:rPr>
          <w:rFonts w:hint="eastAsia" w:ascii="仿宋" w:hAnsi="仿宋" w:eastAsia="仿宋" w:cs="仿宋"/>
          <w:sz w:val="24"/>
        </w:rPr>
        <w:t>图4-1  开挖区（工程区）交通位置示意图</w:t>
      </w:r>
    </w:p>
    <w:p>
      <w:pPr>
        <w:numPr>
          <w:ilvl w:val="0"/>
          <w:numId w:val="2"/>
        </w:numPr>
        <w:autoSpaceDE w:val="0"/>
        <w:autoSpaceDN w:val="0"/>
        <w:adjustRightInd w:val="0"/>
        <w:ind w:firstLine="0" w:firstLineChars="0"/>
        <w:jc w:val="left"/>
        <w:rPr>
          <w:rFonts w:hint="eastAsia" w:ascii="仿宋" w:hAnsi="仿宋" w:eastAsia="仿宋" w:cs="仿宋"/>
          <w:b/>
          <w:kern w:val="0"/>
        </w:rPr>
      </w:pPr>
      <w:bookmarkStart w:id="6" w:name="_Toc6563"/>
      <w:r>
        <w:rPr>
          <w:rFonts w:hint="eastAsia" w:ascii="仿宋" w:hAnsi="仿宋" w:eastAsia="仿宋" w:cs="仿宋"/>
          <w:b/>
        </w:rPr>
        <w:t>自然</w:t>
      </w:r>
      <w:r>
        <w:rPr>
          <w:rFonts w:hint="eastAsia" w:ascii="仿宋" w:hAnsi="仿宋" w:eastAsia="仿宋" w:cs="仿宋"/>
          <w:b/>
          <w:kern w:val="0"/>
        </w:rPr>
        <w:t>地理和气象</w:t>
      </w:r>
      <w:bookmarkEnd w:id="6"/>
    </w:p>
    <w:p>
      <w:pPr>
        <w:ind w:firstLine="560"/>
        <w:rPr>
          <w:rFonts w:hint="eastAsia" w:ascii="仿宋" w:hAnsi="仿宋" w:eastAsia="仿宋" w:cs="仿宋"/>
        </w:rPr>
      </w:pPr>
      <w:r>
        <w:rPr>
          <w:rFonts w:hint="eastAsia" w:ascii="仿宋" w:hAnsi="仿宋" w:eastAsia="仿宋" w:cs="仿宋"/>
        </w:rPr>
        <w:t>本区属侵蚀剥蚀丘陵地貌。规划区位于丘间谷地原东青村及周边，总体地势北西高，南东低，南、北两侧山峰海拔160~210m，谷地中最低位于南东侧东青河江边，高程为115.75m，最大相对高差94.25m。山脊走向以北西、北东向为主，山体自然坡度一般在20°~30°之间，局部达50°以上，植被发育，以灌木、乔木为主。</w:t>
      </w:r>
    </w:p>
    <w:p>
      <w:pPr>
        <w:ind w:firstLine="560"/>
        <w:rPr>
          <w:rFonts w:hint="eastAsia" w:ascii="仿宋" w:hAnsi="仿宋" w:eastAsia="仿宋" w:cs="仿宋"/>
          <w:szCs w:val="28"/>
        </w:rPr>
      </w:pPr>
      <w:r>
        <w:rPr>
          <w:rFonts w:hint="eastAsia" w:ascii="仿宋" w:hAnsi="仿宋" w:eastAsia="仿宋" w:cs="仿宋"/>
          <w:szCs w:val="28"/>
        </w:rPr>
        <w:t>本区属亚热带季风气候区，受地形影响又具有明显的盆地气候特点，区内四季分明，光照充足，空气湿润，雨量充沛。统计义乌市1987</w:t>
      </w:r>
      <w:r>
        <w:rPr>
          <w:rFonts w:hint="eastAsia" w:ascii="仿宋" w:hAnsi="仿宋" w:eastAsia="仿宋" w:cs="仿宋"/>
        </w:rPr>
        <w:t>~</w:t>
      </w:r>
      <w:r>
        <w:rPr>
          <w:rFonts w:hint="eastAsia" w:ascii="仿宋" w:hAnsi="仿宋" w:eastAsia="仿宋" w:cs="仿宋"/>
          <w:szCs w:val="28"/>
        </w:rPr>
        <w:t>2014年间气象资料，多年平均气温17.1℃，年平均最高气温为22.9℃，年平均最低气温为13.2℃；7月份气温最高，极端最高气温40.9℃；1月份气温最低，极端最低气温为-10.7℃，相对湿度82-93%。</w:t>
      </w:r>
    </w:p>
    <w:p>
      <w:pPr>
        <w:ind w:firstLine="560"/>
        <w:rPr>
          <w:rFonts w:hint="eastAsia" w:ascii="仿宋" w:hAnsi="仿宋" w:eastAsia="仿宋" w:cs="仿宋"/>
          <w:szCs w:val="28"/>
        </w:rPr>
      </w:pPr>
      <w:r>
        <w:rPr>
          <w:rFonts w:hint="eastAsia" w:ascii="仿宋" w:hAnsi="仿宋" w:eastAsia="仿宋" w:cs="仿宋"/>
          <w:szCs w:val="28"/>
        </w:rPr>
        <w:t>本区雨水充沛，降雨量变幅较大，时空分布不均。统计义乌市1987</w:t>
      </w:r>
      <w:r>
        <w:rPr>
          <w:rFonts w:hint="eastAsia" w:ascii="仿宋" w:hAnsi="仿宋" w:eastAsia="仿宋" w:cs="仿宋"/>
        </w:rPr>
        <w:t>~</w:t>
      </w:r>
      <w:r>
        <w:rPr>
          <w:rFonts w:hint="eastAsia" w:ascii="仿宋" w:hAnsi="仿宋" w:eastAsia="仿宋" w:cs="仿宋"/>
          <w:szCs w:val="28"/>
        </w:rPr>
        <w:t>2014年间水文资料，多年平均降雨量为1403.1mm，最大年降水量1848.1mm，最少年降水量861.8mm。降水平均日数152天，最多年175天，最少年120天。降水日数3月最多，12月最少，最多月降水日数达25天，最长连续降水日20天，最长连续无水日数43天。春雨及梅雨季节降水集中，7-8月受副热带高压控制，干旱少雨。</w:t>
      </w:r>
    </w:p>
    <w:p>
      <w:pPr>
        <w:ind w:firstLine="560"/>
        <w:rPr>
          <w:rFonts w:hint="eastAsia" w:ascii="仿宋" w:hAnsi="仿宋" w:eastAsia="仿宋" w:cs="仿宋"/>
          <w:szCs w:val="28"/>
        </w:rPr>
      </w:pPr>
      <w:r>
        <w:rPr>
          <w:rFonts w:hint="eastAsia" w:ascii="仿宋" w:hAnsi="仿宋" w:eastAsia="仿宋" w:cs="仿宋"/>
          <w:szCs w:val="28"/>
        </w:rPr>
        <w:t>本区属钱塘江水系，地表水体主要为义乌江支流东青溪，经东青村中部，自西而东后往南汇入义乌江。地表径流严格受大气降水控制，流量小，自然排泄通畅，枯水期流量小。以水稻、果树种植等的农业经济相对发达，劳动力资源较丰富。人民的生产、生活水准高。区内交通方便，用水供电能满足生产和生活的需求。</w:t>
      </w:r>
    </w:p>
    <w:p>
      <w:pPr>
        <w:numPr>
          <w:ilvl w:val="0"/>
          <w:numId w:val="2"/>
        </w:numPr>
        <w:autoSpaceDE w:val="0"/>
        <w:autoSpaceDN w:val="0"/>
        <w:adjustRightInd w:val="0"/>
        <w:ind w:firstLine="0" w:firstLineChars="0"/>
        <w:jc w:val="left"/>
        <w:rPr>
          <w:rFonts w:hint="eastAsia" w:ascii="仿宋" w:hAnsi="仿宋" w:eastAsia="仿宋" w:cs="仿宋"/>
          <w:b/>
          <w:bCs/>
        </w:rPr>
      </w:pPr>
      <w:r>
        <w:rPr>
          <w:rFonts w:hint="eastAsia" w:ascii="仿宋" w:hAnsi="仿宋" w:eastAsia="仿宋" w:cs="仿宋"/>
          <w:b/>
          <w:bCs/>
        </w:rPr>
        <w:t>开挖区地质</w:t>
      </w:r>
    </w:p>
    <w:p>
      <w:pPr>
        <w:ind w:firstLine="560"/>
        <w:rPr>
          <w:rFonts w:hint="eastAsia" w:ascii="仿宋" w:hAnsi="仿宋" w:eastAsia="仿宋" w:cs="仿宋"/>
          <w:szCs w:val="28"/>
        </w:rPr>
      </w:pPr>
      <w:r>
        <w:rPr>
          <w:rFonts w:hint="eastAsia" w:ascii="仿宋" w:hAnsi="仿宋" w:eastAsia="仿宋" w:cs="仿宋"/>
          <w:szCs w:val="28"/>
        </w:rPr>
        <w:t>开挖区地质内容根据《估算报告》。</w:t>
      </w:r>
    </w:p>
    <w:p>
      <w:pPr>
        <w:pStyle w:val="5"/>
        <w:adjustRightInd w:val="0"/>
        <w:snapToGrid w:val="0"/>
        <w:ind w:firstLine="0" w:firstLineChars="0"/>
        <w:rPr>
          <w:rFonts w:hint="eastAsia" w:ascii="仿宋" w:hAnsi="仿宋" w:eastAsia="仿宋" w:cs="仿宋"/>
          <w:szCs w:val="28"/>
        </w:rPr>
      </w:pPr>
      <w:bookmarkStart w:id="7" w:name="_Toc7142"/>
      <w:r>
        <w:rPr>
          <w:rFonts w:hint="eastAsia" w:ascii="仿宋" w:hAnsi="仿宋" w:eastAsia="仿宋" w:cs="仿宋"/>
          <w:szCs w:val="28"/>
        </w:rPr>
        <w:t xml:space="preserve">4.1  </w:t>
      </w:r>
      <w:bookmarkEnd w:id="7"/>
      <w:r>
        <w:rPr>
          <w:rFonts w:hint="eastAsia" w:ascii="仿宋" w:hAnsi="仿宋" w:eastAsia="仿宋" w:cs="仿宋"/>
          <w:szCs w:val="28"/>
        </w:rPr>
        <w:t>开挖区地质概况</w:t>
      </w:r>
    </w:p>
    <w:p>
      <w:pPr>
        <w:ind w:firstLine="560"/>
        <w:rPr>
          <w:rFonts w:hint="eastAsia" w:ascii="仿宋" w:hAnsi="仿宋" w:eastAsia="仿宋" w:cs="仿宋"/>
        </w:rPr>
      </w:pPr>
      <w:r>
        <w:rPr>
          <w:rFonts w:hint="eastAsia" w:ascii="仿宋" w:hAnsi="仿宋" w:eastAsia="仿宋" w:cs="仿宋"/>
        </w:rPr>
        <w:t>本区大地构造位置处于扬子准地台（Ⅰ1），常山-诸暨台隆（Ⅱ3），寿昌-章村台拱中段（Ⅲ7），区域断裂构造以北东向为主，次为北西向、南北向，褶皱构造不发育。</w:t>
      </w:r>
    </w:p>
    <w:p>
      <w:pPr>
        <w:ind w:firstLine="562"/>
        <w:jc w:val="left"/>
        <w:rPr>
          <w:rFonts w:hint="eastAsia" w:ascii="仿宋" w:hAnsi="仿宋" w:eastAsia="仿宋" w:cs="仿宋"/>
          <w:b/>
          <w:bCs/>
        </w:rPr>
      </w:pPr>
      <w:r>
        <w:rPr>
          <w:rFonts w:hint="eastAsia" w:ascii="仿宋" w:hAnsi="仿宋" w:eastAsia="仿宋" w:cs="仿宋"/>
          <w:b/>
          <w:bCs/>
        </w:rPr>
        <w:t>4.1.1  地层</w:t>
      </w:r>
    </w:p>
    <w:p>
      <w:pPr>
        <w:ind w:firstLine="560"/>
        <w:rPr>
          <w:rFonts w:hint="eastAsia" w:ascii="仿宋" w:hAnsi="仿宋" w:eastAsia="仿宋" w:cs="仿宋"/>
        </w:rPr>
      </w:pPr>
      <w:bookmarkStart w:id="8" w:name="_Toc171131877"/>
      <w:bookmarkStart w:id="9" w:name="_Toc318793171"/>
      <w:r>
        <w:rPr>
          <w:rFonts w:hint="eastAsia" w:ascii="仿宋" w:hAnsi="仿宋" w:eastAsia="仿宋" w:cs="仿宋"/>
        </w:rPr>
        <w:t>开挖区内出露地层为白垩系下统高坞组（K</w:t>
      </w:r>
      <w:r>
        <w:rPr>
          <w:rFonts w:hint="eastAsia" w:ascii="仿宋" w:hAnsi="仿宋" w:eastAsia="仿宋" w:cs="仿宋"/>
          <w:vertAlign w:val="subscript"/>
        </w:rPr>
        <w:t>1</w:t>
      </w:r>
      <w:r>
        <w:rPr>
          <w:rFonts w:hint="eastAsia" w:ascii="仿宋" w:hAnsi="仿宋" w:eastAsia="仿宋" w:cs="仿宋"/>
        </w:rPr>
        <w:t>g）及第四系（Q）。</w:t>
      </w:r>
    </w:p>
    <w:bookmarkEnd w:id="8"/>
    <w:bookmarkEnd w:id="9"/>
    <w:p>
      <w:pPr>
        <w:ind w:firstLine="560"/>
        <w:rPr>
          <w:rFonts w:hint="eastAsia" w:ascii="仿宋" w:hAnsi="仿宋" w:eastAsia="仿宋" w:cs="仿宋"/>
        </w:rPr>
      </w:pPr>
      <w:r>
        <w:rPr>
          <w:rFonts w:hint="eastAsia" w:ascii="仿宋" w:hAnsi="仿宋" w:eastAsia="仿宋" w:cs="仿宋"/>
        </w:rPr>
        <w:t>白垩系下统高坞组（K</w:t>
      </w:r>
      <w:r>
        <w:rPr>
          <w:rFonts w:hint="eastAsia" w:ascii="仿宋" w:hAnsi="仿宋" w:eastAsia="仿宋" w:cs="仿宋"/>
          <w:vertAlign w:val="subscript"/>
        </w:rPr>
        <w:t>1</w:t>
      </w:r>
      <w:r>
        <w:rPr>
          <w:rFonts w:hint="eastAsia" w:ascii="仿宋" w:hAnsi="仿宋" w:eastAsia="仿宋" w:cs="仿宋"/>
        </w:rPr>
        <w:t>g）：岩性为浅紫红色晶玻屑凝灰岩，局部含角砾等。</w:t>
      </w:r>
    </w:p>
    <w:p>
      <w:pPr>
        <w:ind w:firstLine="560"/>
        <w:rPr>
          <w:rFonts w:hint="eastAsia" w:ascii="仿宋" w:hAnsi="仿宋" w:eastAsia="仿宋" w:cs="仿宋"/>
        </w:rPr>
      </w:pPr>
      <w:r>
        <w:rPr>
          <w:rFonts w:hint="eastAsia" w:ascii="仿宋" w:hAnsi="仿宋" w:eastAsia="仿宋" w:cs="仿宋"/>
        </w:rPr>
        <w:t>晶玻屑凝灰岩:浅紫红色，晶、玻屑凝灰结构，块状构造。晶屑成分主要由石英、长石组成，棱角状，大小一般为2～4mm，该区含量一般为35～45%不等。局部可见角砾分布，坚硬致密，岩体完整性较好。</w:t>
      </w:r>
    </w:p>
    <w:p>
      <w:pPr>
        <w:ind w:firstLine="560"/>
        <w:rPr>
          <w:rFonts w:hint="eastAsia" w:ascii="仿宋" w:hAnsi="仿宋" w:eastAsia="仿宋" w:cs="仿宋"/>
        </w:rPr>
      </w:pPr>
      <w:r>
        <w:rPr>
          <w:rFonts w:hint="eastAsia" w:ascii="仿宋" w:hAnsi="仿宋" w:eastAsia="仿宋" w:cs="仿宋"/>
        </w:rPr>
        <w:t>第四系（Q）：分布在自然斜坡、山间沟谷中。主要分布在东青村及周边稻田中，灰色、深灰色等成分主要为粉质粘土、碎石等组成。厚度一般为0.1～1.5m之间，最大可达2.7m以上，碎石成分为风化晶、玻屑凝灰岩等组成，大小一般0.5～10cm之间，含量不均，呈棱角状，强-中风化状为主，总体结构松散。</w:t>
      </w:r>
    </w:p>
    <w:p>
      <w:pPr>
        <w:ind w:firstLine="562"/>
        <w:jc w:val="left"/>
        <w:rPr>
          <w:rFonts w:hint="eastAsia" w:ascii="仿宋" w:hAnsi="仿宋" w:eastAsia="仿宋" w:cs="仿宋"/>
          <w:b/>
          <w:bCs/>
        </w:rPr>
      </w:pPr>
      <w:r>
        <w:rPr>
          <w:rFonts w:hint="eastAsia" w:ascii="仿宋" w:hAnsi="仿宋" w:eastAsia="仿宋" w:cs="仿宋"/>
          <w:b/>
          <w:bCs/>
        </w:rPr>
        <w:t>4.1.2  构造</w:t>
      </w:r>
    </w:p>
    <w:p>
      <w:pPr>
        <w:ind w:firstLine="560"/>
        <w:rPr>
          <w:rFonts w:hint="eastAsia" w:ascii="仿宋" w:hAnsi="仿宋" w:eastAsia="仿宋" w:cs="仿宋"/>
        </w:rPr>
      </w:pPr>
      <w:r>
        <w:rPr>
          <w:rFonts w:hint="eastAsia" w:ascii="仿宋" w:hAnsi="仿宋" w:eastAsia="仿宋" w:cs="仿宋"/>
        </w:rPr>
        <w:t>区内未见断裂构造，以节理裂隙为主，褶皱构造总体不发育，以单斜构造为主，总体倾向北东向，局部北西向。</w:t>
      </w:r>
    </w:p>
    <w:p>
      <w:pPr>
        <w:ind w:firstLine="560"/>
        <w:rPr>
          <w:rFonts w:hint="eastAsia" w:ascii="仿宋" w:hAnsi="仿宋" w:eastAsia="仿宋" w:cs="仿宋"/>
        </w:rPr>
      </w:pPr>
      <w:r>
        <w:rPr>
          <w:rFonts w:hint="eastAsia" w:ascii="仿宋" w:hAnsi="仿宋" w:eastAsia="仿宋" w:cs="仿宋"/>
        </w:rPr>
        <w:t>区内岩体中节理裂隙较发育，以85～94°∠255～73°、138°∠70、172°∠34°、219∠74°、354°∠41等五组最为发育，频度一般1～2条/m，局部密集，延伸长0.5～5m不等，总体具有频项度高、延伸长、节理面平直等发育特征。</w:t>
      </w:r>
    </w:p>
    <w:p>
      <w:pPr>
        <w:ind w:firstLine="562"/>
        <w:jc w:val="left"/>
        <w:rPr>
          <w:rFonts w:hint="eastAsia" w:ascii="仿宋" w:hAnsi="仿宋" w:eastAsia="仿宋" w:cs="仿宋"/>
          <w:b/>
          <w:bCs/>
        </w:rPr>
      </w:pPr>
      <w:r>
        <w:rPr>
          <w:rFonts w:hint="eastAsia" w:ascii="仿宋" w:hAnsi="仿宋" w:eastAsia="仿宋" w:cs="仿宋"/>
          <w:b/>
          <w:bCs/>
        </w:rPr>
        <w:t>4.1.3  侵入岩</w:t>
      </w:r>
    </w:p>
    <w:p>
      <w:pPr>
        <w:ind w:firstLine="560"/>
        <w:rPr>
          <w:rFonts w:hint="eastAsia" w:ascii="仿宋" w:hAnsi="仿宋" w:eastAsia="仿宋" w:cs="仿宋"/>
        </w:rPr>
      </w:pPr>
      <w:r>
        <w:rPr>
          <w:rFonts w:hint="eastAsia" w:ascii="仿宋" w:hAnsi="仿宋" w:eastAsia="仿宋" w:cs="仿宋"/>
        </w:rPr>
        <w:t>开挖区范围内未见侵入岩。</w:t>
      </w:r>
    </w:p>
    <w:p>
      <w:pPr>
        <w:pStyle w:val="5"/>
        <w:adjustRightInd w:val="0"/>
        <w:snapToGrid w:val="0"/>
        <w:ind w:firstLine="0" w:firstLineChars="0"/>
        <w:rPr>
          <w:rFonts w:hint="eastAsia" w:ascii="仿宋" w:hAnsi="仿宋" w:eastAsia="仿宋" w:cs="仿宋"/>
          <w:szCs w:val="28"/>
        </w:rPr>
      </w:pPr>
      <w:bookmarkStart w:id="10" w:name="_Toc31472"/>
      <w:r>
        <w:rPr>
          <w:rFonts w:hint="eastAsia" w:ascii="仿宋" w:hAnsi="仿宋" w:eastAsia="仿宋" w:cs="仿宋"/>
          <w:szCs w:val="28"/>
        </w:rPr>
        <w:t>4.2  矿体特征特征</w:t>
      </w:r>
      <w:bookmarkEnd w:id="10"/>
    </w:p>
    <w:p>
      <w:pPr>
        <w:ind w:firstLine="562"/>
        <w:jc w:val="left"/>
        <w:rPr>
          <w:rFonts w:hint="eastAsia" w:ascii="仿宋" w:hAnsi="仿宋" w:eastAsia="仿宋" w:cs="仿宋"/>
          <w:b/>
          <w:bCs/>
        </w:rPr>
      </w:pPr>
      <w:r>
        <w:rPr>
          <w:rFonts w:hint="eastAsia" w:ascii="仿宋" w:hAnsi="仿宋" w:eastAsia="仿宋" w:cs="仿宋"/>
          <w:b/>
          <w:bCs/>
        </w:rPr>
        <w:t xml:space="preserve">4.2.1  </w:t>
      </w:r>
      <w:r>
        <w:rPr>
          <w:rFonts w:hint="eastAsia" w:ascii="仿宋" w:hAnsi="仿宋" w:eastAsia="仿宋" w:cs="仿宋"/>
          <w:b/>
          <w:bCs/>
          <w:szCs w:val="28"/>
        </w:rPr>
        <w:t>矿体</w:t>
      </w:r>
      <w:r>
        <w:rPr>
          <w:rFonts w:hint="eastAsia" w:ascii="仿宋" w:hAnsi="仿宋" w:eastAsia="仿宋" w:cs="仿宋"/>
          <w:b/>
          <w:bCs/>
        </w:rPr>
        <w:t>特征</w:t>
      </w:r>
    </w:p>
    <w:p>
      <w:pPr>
        <w:ind w:firstLine="560"/>
        <w:rPr>
          <w:rFonts w:hint="eastAsia" w:ascii="仿宋" w:hAnsi="仿宋" w:eastAsia="仿宋" w:cs="仿宋"/>
        </w:rPr>
      </w:pPr>
      <w:r>
        <w:rPr>
          <w:rFonts w:hint="eastAsia" w:ascii="仿宋" w:hAnsi="仿宋" w:eastAsia="仿宋" w:cs="仿宋"/>
        </w:rPr>
        <w:t>区内矿体形态复杂，其矿体特征简述如下：</w:t>
      </w:r>
    </w:p>
    <w:p>
      <w:pPr>
        <w:ind w:firstLine="560"/>
        <w:rPr>
          <w:rFonts w:hint="eastAsia" w:ascii="仿宋" w:hAnsi="仿宋" w:eastAsia="仿宋" w:cs="仿宋"/>
        </w:rPr>
      </w:pPr>
      <w:r>
        <w:rPr>
          <w:rFonts w:hint="eastAsia" w:ascii="仿宋" w:hAnsi="仿宋" w:eastAsia="仿宋" w:cs="仿宋"/>
        </w:rPr>
        <w:t>主要分布在东青村东侧。岩性由晶玻屑凝灰岩组成，灰色，岩性较单一，岩体完整性较好，连续性较好，岩体较坚硬。</w:t>
      </w:r>
    </w:p>
    <w:p>
      <w:pPr>
        <w:ind w:firstLine="562"/>
        <w:jc w:val="left"/>
        <w:rPr>
          <w:rFonts w:hint="eastAsia" w:ascii="仿宋" w:hAnsi="仿宋" w:eastAsia="仿宋" w:cs="仿宋"/>
          <w:b/>
          <w:bCs/>
        </w:rPr>
      </w:pPr>
      <w:bookmarkStart w:id="11" w:name="_Toc317754732"/>
      <w:r>
        <w:rPr>
          <w:rFonts w:hint="eastAsia" w:ascii="仿宋" w:hAnsi="仿宋" w:eastAsia="仿宋" w:cs="仿宋"/>
          <w:b/>
          <w:bCs/>
        </w:rPr>
        <w:t xml:space="preserve">4.2.2  </w:t>
      </w:r>
      <w:bookmarkEnd w:id="11"/>
      <w:r>
        <w:rPr>
          <w:rFonts w:hint="eastAsia" w:ascii="仿宋" w:hAnsi="仿宋" w:eastAsia="仿宋" w:cs="仿宋"/>
          <w:b/>
          <w:bCs/>
        </w:rPr>
        <w:t>矿石质量</w:t>
      </w:r>
    </w:p>
    <w:p>
      <w:pPr>
        <w:ind w:firstLine="560"/>
        <w:rPr>
          <w:rFonts w:hint="eastAsia" w:ascii="仿宋" w:hAnsi="仿宋" w:eastAsia="仿宋" w:cs="仿宋"/>
        </w:rPr>
      </w:pPr>
      <w:r>
        <w:rPr>
          <w:rFonts w:hint="eastAsia" w:ascii="仿宋" w:hAnsi="仿宋" w:eastAsia="仿宋" w:cs="仿宋"/>
        </w:rPr>
        <w:t>中等风化岩类(石料矿）：开挖区矿石岩性为晶玻屑凝灰岩，晶屑成分主要为石英和长石，岩石结构致密坚硬。由浙江省第三地质大队于2018年提交的《义乌市苏溪镇东青村更新改造项目开挖区石料矿资源储量估算报告》样品测试成果：自然状态下的抗压强度最小值为44.4MPa，最大值为49.2MPa，平均值47MPa。参照《浙江省普通建筑石料矿产地质勘查技术要求》附录A，就其抗压强度而言，其抗压强度达到Ⅲ类普通建筑石料矿标准。</w:t>
      </w:r>
    </w:p>
    <w:p>
      <w:pPr>
        <w:pStyle w:val="5"/>
        <w:adjustRightInd w:val="0"/>
        <w:snapToGrid w:val="0"/>
        <w:ind w:firstLine="0" w:firstLineChars="0"/>
        <w:rPr>
          <w:rFonts w:hint="eastAsia" w:ascii="仿宋" w:hAnsi="仿宋" w:eastAsia="仿宋" w:cs="仿宋"/>
          <w:szCs w:val="28"/>
        </w:rPr>
      </w:pPr>
      <w:bookmarkStart w:id="12" w:name="_Toc31633"/>
      <w:r>
        <w:rPr>
          <w:rFonts w:hint="eastAsia" w:ascii="仿宋" w:hAnsi="仿宋" w:eastAsia="仿宋" w:cs="仿宋"/>
          <w:szCs w:val="28"/>
        </w:rPr>
        <w:t>4.3  覆盖层分布特征</w:t>
      </w:r>
      <w:bookmarkEnd w:id="12"/>
    </w:p>
    <w:p>
      <w:pPr>
        <w:ind w:firstLine="560"/>
        <w:rPr>
          <w:rFonts w:hint="eastAsia" w:ascii="仿宋" w:hAnsi="仿宋" w:eastAsia="仿宋" w:cs="仿宋"/>
        </w:rPr>
      </w:pPr>
      <w:r>
        <w:rPr>
          <w:rFonts w:hint="eastAsia" w:ascii="仿宋" w:hAnsi="仿宋" w:eastAsia="仿宋" w:cs="仿宋"/>
        </w:rPr>
        <w:t>覆盖层主要由风化岩和第四系残坡积层组成。风化岩局部岩体破碎，性软弱，质地松软，厚度变化较大，一般为1.0～2.8m。第四系残坡积粉质粘土，原始坡体表层均有分布，灰色、深灰色等，成分主要为粉质粘土、碎石等组成，总体结构松散，硬-可塑状，厚度0.1～2.7m。</w:t>
      </w:r>
    </w:p>
    <w:p>
      <w:pPr>
        <w:ind w:firstLine="0" w:firstLineChars="0"/>
        <w:rPr>
          <w:rFonts w:hint="eastAsia" w:ascii="仿宋" w:hAnsi="仿宋" w:eastAsia="仿宋" w:cs="仿宋"/>
          <w:b/>
          <w:szCs w:val="28"/>
        </w:rPr>
      </w:pPr>
      <w:bookmarkStart w:id="13" w:name="_Toc9633"/>
      <w:r>
        <w:rPr>
          <w:rFonts w:hint="eastAsia" w:ascii="仿宋" w:hAnsi="仿宋" w:eastAsia="仿宋" w:cs="仿宋"/>
          <w:b/>
          <w:szCs w:val="28"/>
        </w:rPr>
        <w:t>5、开采技术条件</w:t>
      </w:r>
      <w:bookmarkEnd w:id="13"/>
    </w:p>
    <w:p>
      <w:pPr>
        <w:pStyle w:val="5"/>
        <w:adjustRightInd w:val="0"/>
        <w:snapToGrid w:val="0"/>
        <w:ind w:firstLine="0" w:firstLineChars="0"/>
        <w:rPr>
          <w:rFonts w:hint="eastAsia" w:ascii="仿宋" w:hAnsi="仿宋" w:eastAsia="仿宋" w:cs="仿宋"/>
          <w:szCs w:val="28"/>
        </w:rPr>
      </w:pPr>
      <w:bookmarkStart w:id="14" w:name="_Toc21515"/>
      <w:r>
        <w:rPr>
          <w:rFonts w:hint="eastAsia" w:ascii="仿宋" w:hAnsi="仿宋" w:eastAsia="仿宋" w:cs="仿宋"/>
          <w:szCs w:val="28"/>
        </w:rPr>
        <w:t>5.1  水文地质条件</w:t>
      </w:r>
      <w:bookmarkEnd w:id="14"/>
    </w:p>
    <w:p>
      <w:pPr>
        <w:ind w:firstLine="560"/>
        <w:rPr>
          <w:rFonts w:hint="eastAsia" w:ascii="仿宋" w:hAnsi="仿宋" w:eastAsia="仿宋" w:cs="仿宋"/>
        </w:rPr>
      </w:pPr>
      <w:r>
        <w:rPr>
          <w:rFonts w:hint="eastAsia" w:ascii="仿宋" w:hAnsi="仿宋" w:eastAsia="仿宋" w:cs="仿宋"/>
        </w:rPr>
        <w:t>根据《估算报告》，区内为剥蚀丘陵地貌，亚热带季风气候，温暖湿润，雨量主要集中于每年的梅雨期与台风季节。</w:t>
      </w:r>
    </w:p>
    <w:p>
      <w:pPr>
        <w:ind w:firstLine="560"/>
        <w:rPr>
          <w:rFonts w:hint="eastAsia" w:ascii="仿宋" w:hAnsi="仿宋" w:eastAsia="仿宋" w:cs="仿宋"/>
        </w:rPr>
      </w:pPr>
      <w:r>
        <w:rPr>
          <w:rFonts w:hint="eastAsia" w:ascii="仿宋" w:hAnsi="仿宋" w:eastAsia="仿宋" w:cs="仿宋"/>
        </w:rPr>
        <w:t>地下水类型有松散岩类孔隙潜水与基岩裂隙水。松散岩类孔隙潜水赋存于第四系残坡积层中，水量贫乏；基岩裂隙水赋存于凝灰岩节理裂隙中，裂隙含水贫乏或极贫乏。主要由大气降水补给，而基坑拟开挖区经过前期整平后基岩大量裸露，大气降水只少量渗入地下。开采底板高于当地的侵蚀基准面，排水通畅。</w:t>
      </w:r>
    </w:p>
    <w:p>
      <w:pPr>
        <w:ind w:firstLine="560"/>
        <w:rPr>
          <w:rFonts w:hint="eastAsia" w:ascii="仿宋" w:hAnsi="仿宋" w:eastAsia="仿宋" w:cs="仿宋"/>
        </w:rPr>
      </w:pPr>
      <w:r>
        <w:rPr>
          <w:rFonts w:hint="eastAsia" w:ascii="仿宋" w:hAnsi="仿宋" w:eastAsia="仿宋" w:cs="仿宋"/>
        </w:rPr>
        <w:t>开挖区水文地质条件简单。</w:t>
      </w:r>
    </w:p>
    <w:p>
      <w:pPr>
        <w:pStyle w:val="5"/>
        <w:adjustRightInd w:val="0"/>
        <w:snapToGrid w:val="0"/>
        <w:ind w:firstLine="0" w:firstLineChars="0"/>
        <w:rPr>
          <w:rFonts w:hint="eastAsia" w:ascii="仿宋" w:hAnsi="仿宋" w:eastAsia="仿宋" w:cs="仿宋"/>
          <w:szCs w:val="28"/>
        </w:rPr>
      </w:pPr>
      <w:bookmarkStart w:id="15" w:name="_Toc29098"/>
      <w:r>
        <w:rPr>
          <w:rFonts w:hint="eastAsia" w:ascii="仿宋" w:hAnsi="仿宋" w:eastAsia="仿宋" w:cs="仿宋"/>
          <w:szCs w:val="28"/>
        </w:rPr>
        <w:t>5.2  工程地质条件</w:t>
      </w:r>
      <w:bookmarkEnd w:id="15"/>
    </w:p>
    <w:p>
      <w:pPr>
        <w:ind w:firstLine="560"/>
        <w:rPr>
          <w:rFonts w:hint="eastAsia" w:ascii="仿宋" w:hAnsi="仿宋" w:eastAsia="仿宋" w:cs="仿宋"/>
        </w:rPr>
      </w:pPr>
      <w:r>
        <w:rPr>
          <w:rFonts w:hint="eastAsia" w:ascii="仿宋" w:hAnsi="仿宋" w:eastAsia="仿宋" w:cs="仿宋"/>
        </w:rPr>
        <w:t>根据《估算报告》，开挖区基岩由白垩系下统高坞组（K</w:t>
      </w:r>
      <w:r>
        <w:rPr>
          <w:rFonts w:hint="eastAsia" w:ascii="仿宋" w:hAnsi="仿宋" w:eastAsia="仿宋" w:cs="仿宋"/>
          <w:vertAlign w:val="subscript"/>
        </w:rPr>
        <w:t>1</w:t>
      </w:r>
      <w:r>
        <w:rPr>
          <w:rFonts w:hint="eastAsia" w:ascii="仿宋" w:hAnsi="仿宋" w:eastAsia="仿宋" w:cs="仿宋"/>
        </w:rPr>
        <w:t>g）中风化晶玻屑凝灰岩组成，晶屑成分主要为长石，棱角状，局部可见条带状浆屑等，岩质较硬，结构致密。风化裂隙较发育，岩体以块状为主，工程性质较好，地质构造较简单。</w:t>
      </w:r>
    </w:p>
    <w:p>
      <w:pPr>
        <w:ind w:firstLine="560"/>
        <w:rPr>
          <w:rFonts w:hint="eastAsia" w:ascii="仿宋" w:hAnsi="仿宋" w:eastAsia="仿宋" w:cs="仿宋"/>
        </w:rPr>
      </w:pPr>
      <w:r>
        <w:rPr>
          <w:rFonts w:hint="eastAsia" w:ascii="仿宋" w:hAnsi="仿宋" w:eastAsia="仿宋" w:cs="仿宋"/>
        </w:rPr>
        <w:t>开挖区工程地质条件简单。</w:t>
      </w:r>
    </w:p>
    <w:p>
      <w:pPr>
        <w:pStyle w:val="5"/>
        <w:adjustRightInd w:val="0"/>
        <w:snapToGrid w:val="0"/>
        <w:ind w:firstLine="0" w:firstLineChars="0"/>
        <w:rPr>
          <w:rFonts w:hint="eastAsia" w:ascii="仿宋" w:hAnsi="仿宋" w:eastAsia="仿宋" w:cs="仿宋"/>
          <w:szCs w:val="28"/>
        </w:rPr>
      </w:pPr>
      <w:bookmarkStart w:id="16" w:name="_Toc21032"/>
      <w:r>
        <w:rPr>
          <w:rFonts w:hint="eastAsia" w:ascii="仿宋" w:hAnsi="仿宋" w:eastAsia="仿宋" w:cs="仿宋"/>
          <w:szCs w:val="28"/>
        </w:rPr>
        <w:t>5.3  环境技术条件</w:t>
      </w:r>
      <w:bookmarkEnd w:id="16"/>
    </w:p>
    <w:p>
      <w:pPr>
        <w:ind w:firstLine="560"/>
        <w:rPr>
          <w:rFonts w:hint="eastAsia" w:ascii="仿宋" w:hAnsi="仿宋" w:eastAsia="仿宋" w:cs="仿宋"/>
        </w:rPr>
      </w:pPr>
      <w:r>
        <w:rPr>
          <w:rFonts w:hint="eastAsia" w:ascii="仿宋" w:hAnsi="仿宋" w:eastAsia="仿宋" w:cs="仿宋"/>
        </w:rPr>
        <w:t>根据《估算报告》，据《浙江省地震参数区划图》（GB18306-2015）及浙江省建设厅[2001]167号文，本区地震动峰值加速度为0.05g，相当于地震基本烈度为Ⅵ度，属区域地壳稳定的地区。</w:t>
      </w:r>
    </w:p>
    <w:p>
      <w:pPr>
        <w:ind w:firstLine="560"/>
        <w:rPr>
          <w:rFonts w:hint="eastAsia" w:ascii="仿宋" w:hAnsi="仿宋" w:eastAsia="仿宋" w:cs="仿宋"/>
        </w:rPr>
      </w:pPr>
      <w:r>
        <w:rPr>
          <w:rFonts w:hint="eastAsia" w:ascii="仿宋" w:hAnsi="仿宋" w:eastAsia="仿宋" w:cs="仿宋"/>
        </w:rPr>
        <w:t>开挖区经过以往开挖整平后现状已无高陡边坡，也未见地质灾害分布。开挖区环境地质条件简单。</w:t>
      </w:r>
    </w:p>
    <w:p>
      <w:pPr>
        <w:ind w:firstLine="560"/>
        <w:rPr>
          <w:rFonts w:hint="eastAsia" w:ascii="仿宋" w:hAnsi="仿宋" w:eastAsia="仿宋" w:cs="仿宋"/>
        </w:rPr>
      </w:pPr>
      <w:r>
        <w:rPr>
          <w:rFonts w:hint="eastAsia" w:ascii="仿宋" w:hAnsi="仿宋" w:eastAsia="仿宋" w:cs="仿宋"/>
        </w:rPr>
        <w:t>综上，开挖区水文地质条件简单、工程地质条件简单、环境地质条件良好，属于开采技术条件简单的矿床。</w:t>
      </w:r>
    </w:p>
    <w:p>
      <w:pPr>
        <w:ind w:firstLine="0" w:firstLineChars="0"/>
        <w:rPr>
          <w:rFonts w:hint="eastAsia" w:ascii="仿宋" w:hAnsi="仿宋" w:eastAsia="仿宋" w:cs="仿宋"/>
          <w:b/>
          <w:szCs w:val="28"/>
        </w:rPr>
      </w:pPr>
      <w:bookmarkStart w:id="17" w:name="_Toc10445"/>
      <w:r>
        <w:rPr>
          <w:rFonts w:hint="eastAsia" w:ascii="仿宋" w:hAnsi="仿宋" w:eastAsia="仿宋" w:cs="仿宋"/>
          <w:b/>
          <w:szCs w:val="28"/>
        </w:rPr>
        <w:t>6、开挖资源量</w:t>
      </w:r>
      <w:bookmarkEnd w:id="17"/>
    </w:p>
    <w:p>
      <w:pPr>
        <w:pStyle w:val="2"/>
        <w:rPr>
          <w:rFonts w:hint="eastAsia" w:ascii="仿宋" w:hAnsi="仿宋" w:eastAsia="仿宋" w:cs="仿宋"/>
          <w:szCs w:val="28"/>
        </w:rPr>
      </w:pPr>
      <w:r>
        <w:rPr>
          <w:rFonts w:hint="eastAsia" w:ascii="仿宋" w:hAnsi="仿宋" w:eastAsia="仿宋" w:cs="仿宋"/>
          <w:snapToGrid w:val="0"/>
          <w:szCs w:val="28"/>
        </w:rPr>
        <w:t>根据</w:t>
      </w:r>
      <w:r>
        <w:rPr>
          <w:rFonts w:hint="eastAsia" w:ascii="仿宋" w:hAnsi="仿宋" w:eastAsia="仿宋" w:cs="仿宋"/>
          <w:szCs w:val="28"/>
        </w:rPr>
        <w:t>《</w:t>
      </w:r>
      <w:r>
        <w:rPr>
          <w:rFonts w:hint="eastAsia" w:ascii="仿宋" w:hAnsi="仿宋" w:eastAsia="仿宋" w:cs="仿宋"/>
          <w:szCs w:val="28"/>
          <w:lang w:eastAsia="zh-CN"/>
        </w:rPr>
        <w:t>测量成果</w:t>
      </w:r>
      <w:r>
        <w:rPr>
          <w:rFonts w:hint="eastAsia" w:ascii="仿宋" w:hAnsi="仿宋" w:eastAsia="仿宋" w:cs="仿宋"/>
          <w:szCs w:val="28"/>
        </w:rPr>
        <w:t>》，</w:t>
      </w:r>
      <w:r>
        <w:rPr>
          <w:rFonts w:hint="eastAsia" w:ascii="仿宋" w:hAnsi="仿宋" w:eastAsia="仿宋" w:cs="仿宋"/>
          <w:snapToGrid w:val="0"/>
          <w:szCs w:val="28"/>
        </w:rPr>
        <w:t>估算开挖区内开挖石方量为12302.08</w:t>
      </w:r>
      <w:r>
        <w:rPr>
          <w:rFonts w:hint="eastAsia" w:ascii="仿宋" w:hAnsi="仿宋" w:eastAsia="仿宋" w:cs="仿宋"/>
        </w:rPr>
        <w:t>m</w:t>
      </w:r>
      <w:r>
        <w:rPr>
          <w:rFonts w:hint="eastAsia" w:ascii="仿宋" w:hAnsi="仿宋" w:eastAsia="仿宋" w:cs="仿宋"/>
          <w:vertAlign w:val="superscript"/>
        </w:rPr>
        <w:t>3</w:t>
      </w:r>
      <w:r>
        <w:rPr>
          <w:rFonts w:hint="eastAsia" w:ascii="仿宋" w:hAnsi="仿宋" w:eastAsia="仿宋" w:cs="仿宋"/>
          <w:szCs w:val="28"/>
        </w:rPr>
        <w:t>。</w:t>
      </w:r>
    </w:p>
    <w:p>
      <w:pPr>
        <w:ind w:firstLine="0" w:firstLineChars="0"/>
        <w:rPr>
          <w:rFonts w:hint="eastAsia" w:ascii="仿宋" w:hAnsi="仿宋" w:eastAsia="仿宋" w:cs="仿宋"/>
          <w:b/>
          <w:szCs w:val="28"/>
        </w:rPr>
      </w:pPr>
      <w:bookmarkStart w:id="18" w:name="_Toc4084"/>
      <w:r>
        <w:rPr>
          <w:rFonts w:hint="eastAsia" w:ascii="仿宋" w:hAnsi="仿宋" w:eastAsia="仿宋" w:cs="仿宋"/>
          <w:b/>
          <w:szCs w:val="28"/>
        </w:rPr>
        <w:t>7、</w:t>
      </w:r>
      <w:r>
        <w:rPr>
          <w:rFonts w:hint="eastAsia" w:ascii="仿宋" w:hAnsi="仿宋" w:eastAsia="仿宋" w:cs="仿宋"/>
          <w:b/>
        </w:rPr>
        <w:t>评估</w:t>
      </w:r>
      <w:r>
        <w:rPr>
          <w:rFonts w:hint="eastAsia" w:ascii="仿宋" w:hAnsi="仿宋" w:eastAsia="仿宋" w:cs="仿宋"/>
          <w:b/>
          <w:szCs w:val="28"/>
        </w:rPr>
        <w:t>利用资源量</w:t>
      </w:r>
      <w:bookmarkEnd w:id="18"/>
    </w:p>
    <w:p>
      <w:pPr>
        <w:ind w:firstLine="560"/>
        <w:rPr>
          <w:rFonts w:hint="eastAsia" w:ascii="仿宋" w:hAnsi="仿宋" w:eastAsia="仿宋" w:cs="仿宋"/>
        </w:rPr>
      </w:pPr>
      <w:r>
        <w:rPr>
          <w:rFonts w:hint="eastAsia" w:ascii="仿宋" w:hAnsi="仿宋" w:eastAsia="仿宋" w:cs="仿宋"/>
        </w:rPr>
        <w:t>根据</w:t>
      </w:r>
      <w:r>
        <w:rPr>
          <w:rFonts w:hint="eastAsia" w:ascii="仿宋" w:hAnsi="仿宋" w:eastAsia="仿宋" w:cs="仿宋"/>
          <w:szCs w:val="28"/>
        </w:rPr>
        <w:t>《评估委托书及承诺函》，评估利用资源量以《</w:t>
      </w:r>
      <w:r>
        <w:rPr>
          <w:rFonts w:hint="eastAsia" w:ascii="仿宋" w:hAnsi="仿宋" w:eastAsia="仿宋" w:cs="仿宋"/>
          <w:szCs w:val="28"/>
          <w:lang w:eastAsia="zh-CN"/>
        </w:rPr>
        <w:t>测量成果</w:t>
      </w:r>
      <w:r>
        <w:rPr>
          <w:rFonts w:hint="eastAsia" w:ascii="仿宋" w:hAnsi="仿宋" w:eastAsia="仿宋" w:cs="仿宋"/>
          <w:szCs w:val="28"/>
        </w:rPr>
        <w:t>》估算的开挖方量为准</w:t>
      </w:r>
      <w:r>
        <w:rPr>
          <w:rFonts w:hint="eastAsia" w:ascii="仿宋" w:hAnsi="仿宋" w:eastAsia="仿宋" w:cs="仿宋"/>
        </w:rPr>
        <w:t>，本次评估利用的石方资源量为12302.08m</w:t>
      </w:r>
      <w:r>
        <w:rPr>
          <w:rFonts w:hint="eastAsia" w:ascii="仿宋" w:hAnsi="仿宋" w:eastAsia="仿宋" w:cs="仿宋"/>
          <w:vertAlign w:val="superscript"/>
        </w:rPr>
        <w:t>3</w:t>
      </w:r>
      <w:r>
        <w:rPr>
          <w:rFonts w:hint="eastAsia" w:ascii="仿宋" w:hAnsi="仿宋" w:eastAsia="仿宋" w:cs="仿宋"/>
          <w:szCs w:val="28"/>
        </w:rPr>
        <w:t>。</w:t>
      </w:r>
    </w:p>
    <w:p>
      <w:pPr>
        <w:ind w:firstLine="0" w:firstLineChars="0"/>
        <w:rPr>
          <w:rFonts w:hint="eastAsia" w:ascii="仿宋" w:hAnsi="仿宋" w:eastAsia="仿宋" w:cs="仿宋"/>
          <w:b/>
          <w:szCs w:val="28"/>
        </w:rPr>
      </w:pPr>
      <w:bookmarkStart w:id="19" w:name="_Toc24300"/>
      <w:r>
        <w:rPr>
          <w:rFonts w:hint="eastAsia" w:ascii="仿宋" w:hAnsi="仿宋" w:eastAsia="仿宋" w:cs="仿宋"/>
          <w:b/>
          <w:szCs w:val="28"/>
        </w:rPr>
        <w:t>8、产品方案</w:t>
      </w:r>
      <w:bookmarkEnd w:id="19"/>
    </w:p>
    <w:p>
      <w:pPr>
        <w:adjustRightInd w:val="0"/>
        <w:snapToGrid w:val="0"/>
        <w:ind w:firstLine="560"/>
        <w:rPr>
          <w:rFonts w:hint="eastAsia" w:ascii="仿宋" w:hAnsi="仿宋" w:eastAsia="仿宋" w:cs="仿宋"/>
          <w:szCs w:val="28"/>
        </w:rPr>
      </w:pPr>
      <w:r>
        <w:rPr>
          <w:rFonts w:hint="eastAsia" w:ascii="仿宋" w:hAnsi="仿宋" w:eastAsia="仿宋" w:cs="仿宋"/>
          <w:szCs w:val="28"/>
          <w:lang w:eastAsia="zh-CN"/>
        </w:rPr>
        <w:t>根据《估算报告》，开挖区内开挖石方为白垩系下统高坞组（K</w:t>
      </w:r>
      <w:r>
        <w:rPr>
          <w:rFonts w:hint="eastAsia" w:ascii="仿宋" w:hAnsi="仿宋" w:eastAsia="仿宋" w:cs="仿宋"/>
          <w:szCs w:val="28"/>
          <w:vertAlign w:val="subscript"/>
          <w:lang w:eastAsia="zh-CN"/>
        </w:rPr>
        <w:t>1</w:t>
      </w:r>
      <w:r>
        <w:rPr>
          <w:rFonts w:hint="eastAsia" w:ascii="仿宋" w:hAnsi="仿宋" w:eastAsia="仿宋" w:cs="仿宋"/>
          <w:szCs w:val="28"/>
          <w:lang w:eastAsia="zh-CN"/>
        </w:rPr>
        <w:t>g）浅紫红色晶玻屑凝灰岩，岩体完整性较好，岩体较坚硬，结合</w:t>
      </w:r>
      <w:r>
        <w:rPr>
          <w:rFonts w:hint="eastAsia" w:ascii="仿宋" w:hAnsi="仿宋" w:eastAsia="仿宋" w:cs="仿宋"/>
          <w:szCs w:val="28"/>
        </w:rPr>
        <w:t>评估人员现场踏勘时据委托方介绍，未来工程开挖产出的石料均以原矿方式对外拉运，评估组通过对工程现状和岩性状态的综合分析，从对矿产资源相对最佳利用角度考虑，本次评估认为产品方案为乱石统料。</w:t>
      </w:r>
    </w:p>
    <w:p>
      <w:pPr>
        <w:numPr>
          <w:ilvl w:val="255"/>
          <w:numId w:val="0"/>
        </w:numPr>
        <w:autoSpaceDE w:val="0"/>
        <w:autoSpaceDN w:val="0"/>
        <w:adjustRightInd w:val="0"/>
        <w:jc w:val="left"/>
        <w:rPr>
          <w:rFonts w:hint="eastAsia" w:ascii="仿宋" w:hAnsi="仿宋" w:eastAsia="仿宋" w:cs="仿宋"/>
          <w:b/>
          <w:szCs w:val="28"/>
        </w:rPr>
      </w:pPr>
      <w:bookmarkStart w:id="20" w:name="_Toc21417"/>
      <w:r>
        <w:rPr>
          <w:rFonts w:hint="eastAsia" w:ascii="仿宋" w:hAnsi="仿宋" w:eastAsia="仿宋" w:cs="仿宋"/>
          <w:b/>
          <w:szCs w:val="28"/>
        </w:rPr>
        <w:t>五、</w:t>
      </w:r>
      <w:r>
        <w:rPr>
          <w:rFonts w:hint="eastAsia" w:ascii="仿宋" w:hAnsi="仿宋" w:eastAsia="仿宋" w:cs="仿宋"/>
          <w:b/>
          <w:kern w:val="0"/>
          <w:szCs w:val="28"/>
        </w:rPr>
        <w:t>价格</w:t>
      </w:r>
      <w:r>
        <w:rPr>
          <w:rFonts w:hint="eastAsia" w:ascii="仿宋" w:hAnsi="仿宋" w:eastAsia="仿宋" w:cs="仿宋"/>
          <w:b/>
          <w:szCs w:val="28"/>
        </w:rPr>
        <w:t>定义</w:t>
      </w:r>
      <w:bookmarkEnd w:id="20"/>
      <w:r>
        <w:rPr>
          <w:rFonts w:hint="eastAsia" w:ascii="仿宋" w:hAnsi="仿宋" w:eastAsia="仿宋" w:cs="仿宋"/>
          <w:b/>
          <w:szCs w:val="28"/>
        </w:rPr>
        <w:t>：</w:t>
      </w:r>
    </w:p>
    <w:p>
      <w:pPr>
        <w:pStyle w:val="2"/>
        <w:snapToGrid w:val="0"/>
        <w:spacing w:line="360" w:lineRule="auto"/>
        <w:rPr>
          <w:rFonts w:hint="eastAsia" w:ascii="仿宋" w:hAnsi="仿宋" w:eastAsia="仿宋" w:cs="仿宋"/>
          <w:szCs w:val="28"/>
        </w:rPr>
      </w:pPr>
      <w:bookmarkStart w:id="21" w:name="_Toc17335"/>
      <w:r>
        <w:rPr>
          <w:rFonts w:hint="eastAsia" w:ascii="仿宋" w:hAnsi="仿宋" w:eastAsia="仿宋" w:cs="仿宋"/>
          <w:szCs w:val="28"/>
        </w:rPr>
        <w:t>价格评估结论所指价格是：评估标的在评估基准日，采用公开市场价值标准确定的市场公允价格，并在市场公允价格基础上考虑合理利润率后确定是资源出让价值。</w:t>
      </w:r>
      <w:bookmarkStart w:id="42" w:name="_GoBack"/>
      <w:bookmarkEnd w:id="42"/>
    </w:p>
    <w:p>
      <w:pPr>
        <w:numPr>
          <w:ilvl w:val="255"/>
          <w:numId w:val="0"/>
        </w:numPr>
        <w:autoSpaceDE w:val="0"/>
        <w:autoSpaceDN w:val="0"/>
        <w:adjustRightInd w:val="0"/>
        <w:jc w:val="left"/>
        <w:rPr>
          <w:rFonts w:hint="eastAsia" w:ascii="仿宋" w:hAnsi="仿宋" w:eastAsia="仿宋" w:cs="仿宋"/>
          <w:b/>
          <w:kern w:val="0"/>
          <w:szCs w:val="28"/>
        </w:rPr>
      </w:pPr>
      <w:r>
        <w:rPr>
          <w:rFonts w:hint="eastAsia" w:ascii="仿宋" w:hAnsi="仿宋" w:eastAsia="仿宋" w:cs="仿宋"/>
          <w:b/>
          <w:kern w:val="0"/>
          <w:szCs w:val="28"/>
        </w:rPr>
        <w:t>六、价格评估依据</w:t>
      </w:r>
      <w:bookmarkEnd w:id="21"/>
      <w:r>
        <w:rPr>
          <w:rFonts w:hint="eastAsia" w:ascii="仿宋" w:hAnsi="仿宋" w:eastAsia="仿宋" w:cs="仿宋"/>
          <w:b/>
          <w:kern w:val="0"/>
          <w:szCs w:val="28"/>
        </w:rPr>
        <w:t>：</w:t>
      </w:r>
    </w:p>
    <w:p>
      <w:pPr>
        <w:numPr>
          <w:ilvl w:val="0"/>
          <w:numId w:val="3"/>
        </w:num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《中华人民共和国价格法》；</w:t>
      </w:r>
    </w:p>
    <w:p>
      <w:pPr>
        <w:numPr>
          <w:ilvl w:val="0"/>
          <w:numId w:val="3"/>
        </w:numPr>
        <w:autoSpaceDE w:val="0"/>
        <w:autoSpaceDN w:val="0"/>
        <w:adjustRightInd w:val="0"/>
        <w:ind w:firstLine="600"/>
        <w:jc w:val="left"/>
        <w:rPr>
          <w:rFonts w:hint="eastAsia" w:ascii="仿宋" w:hAnsi="仿宋" w:eastAsia="仿宋" w:cs="仿宋"/>
          <w:szCs w:val="28"/>
        </w:rPr>
      </w:pPr>
      <w:r>
        <w:rPr>
          <w:rFonts w:hint="eastAsia" w:ascii="仿宋" w:hAnsi="仿宋" w:eastAsia="仿宋" w:cs="仿宋"/>
          <w:spacing w:val="10"/>
          <w:szCs w:val="28"/>
        </w:rPr>
        <w:t>《</w:t>
      </w:r>
      <w:r>
        <w:rPr>
          <w:rFonts w:hint="eastAsia" w:ascii="仿宋" w:hAnsi="仿宋" w:eastAsia="仿宋" w:cs="仿宋"/>
          <w:szCs w:val="28"/>
        </w:rPr>
        <w:t>中华人民共和国资产评估法</w:t>
      </w:r>
      <w:r>
        <w:rPr>
          <w:rFonts w:hint="eastAsia" w:ascii="仿宋" w:hAnsi="仿宋" w:eastAsia="仿宋" w:cs="仿宋"/>
          <w:spacing w:val="10"/>
          <w:szCs w:val="28"/>
        </w:rPr>
        <w:t>》</w:t>
      </w:r>
      <w:r>
        <w:rPr>
          <w:rFonts w:hint="eastAsia" w:ascii="仿宋" w:hAnsi="仿宋" w:eastAsia="仿宋" w:cs="仿宋"/>
          <w:szCs w:val="28"/>
        </w:rPr>
        <w:t>；</w:t>
      </w:r>
    </w:p>
    <w:p>
      <w:pPr>
        <w:pStyle w:val="2"/>
        <w:spacing w:line="360" w:lineRule="auto"/>
        <w:rPr>
          <w:rFonts w:hint="eastAsia" w:ascii="仿宋" w:hAnsi="仿宋" w:eastAsia="仿宋" w:cs="仿宋"/>
          <w:kern w:val="2"/>
          <w:szCs w:val="28"/>
        </w:rPr>
      </w:pPr>
      <w:r>
        <w:rPr>
          <w:rFonts w:hint="eastAsia" w:ascii="仿宋" w:hAnsi="仿宋" w:eastAsia="仿宋" w:cs="仿宋"/>
          <w:kern w:val="2"/>
          <w:szCs w:val="28"/>
        </w:rPr>
        <w:t>3、《价格鉴证评估执业规范》；</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4、其他有关价格评估的法律、法规、政策；</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5、《评估委托书及承诺函》；</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6、</w:t>
      </w:r>
      <w:r>
        <w:rPr>
          <w:rFonts w:hint="eastAsia" w:ascii="仿宋" w:hAnsi="仿宋" w:eastAsia="仿宋" w:cs="仿宋"/>
        </w:rPr>
        <w:t>《义乌市苏溪镇东青村旧改区块部分农户地下室开挖石方堆放量测算工程测量成果报告书》（金华市天立测绘有限公司，2021年8月）；</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7、《</w:t>
      </w:r>
      <w:r>
        <w:rPr>
          <w:rFonts w:hint="eastAsia" w:ascii="仿宋" w:hAnsi="仿宋" w:eastAsia="仿宋" w:cs="仿宋"/>
        </w:rPr>
        <w:t>义乌市苏溪镇东青村旧改区块部分农户地下室开挖石方资源量估算报告</w:t>
      </w:r>
      <w:r>
        <w:rPr>
          <w:rFonts w:hint="eastAsia" w:ascii="仿宋" w:hAnsi="仿宋" w:eastAsia="仿宋" w:cs="仿宋"/>
          <w:szCs w:val="28"/>
        </w:rPr>
        <w:t>》（浙江煤炭地质局勘探二队，2021年07月）；</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8、《浙江交通建设工程质监与造价》（2020年第八期～2021年第七期）；</w:t>
      </w:r>
    </w:p>
    <w:p>
      <w:pPr>
        <w:autoSpaceDE w:val="0"/>
        <w:autoSpaceDN w:val="0"/>
        <w:adjustRightInd w:val="0"/>
        <w:ind w:firstLine="560"/>
        <w:jc w:val="left"/>
        <w:rPr>
          <w:rFonts w:hint="eastAsia" w:ascii="仿宋" w:hAnsi="仿宋" w:eastAsia="仿宋" w:cs="仿宋"/>
          <w:szCs w:val="28"/>
        </w:rPr>
      </w:pPr>
      <w:r>
        <w:rPr>
          <w:rFonts w:hint="eastAsia" w:ascii="仿宋" w:hAnsi="仿宋" w:eastAsia="仿宋" w:cs="仿宋"/>
          <w:szCs w:val="28"/>
        </w:rPr>
        <w:t>9、委托方提供的相关资料；</w:t>
      </w:r>
    </w:p>
    <w:p>
      <w:pPr>
        <w:autoSpaceDE w:val="0"/>
        <w:autoSpaceDN w:val="0"/>
        <w:adjustRightInd w:val="0"/>
        <w:ind w:firstLine="560"/>
        <w:jc w:val="left"/>
        <w:rPr>
          <w:rFonts w:hint="eastAsia" w:ascii="仿宋" w:hAnsi="仿宋" w:eastAsia="仿宋" w:cs="仿宋"/>
        </w:rPr>
      </w:pPr>
      <w:r>
        <w:rPr>
          <w:rFonts w:hint="eastAsia" w:ascii="仿宋" w:hAnsi="仿宋" w:eastAsia="仿宋" w:cs="仿宋"/>
        </w:rPr>
        <w:t>10、价格评估人员现场勘查情况及市场行情调查的资料。</w:t>
      </w:r>
    </w:p>
    <w:p>
      <w:pPr>
        <w:numPr>
          <w:ilvl w:val="255"/>
          <w:numId w:val="0"/>
        </w:numPr>
        <w:autoSpaceDE w:val="0"/>
        <w:autoSpaceDN w:val="0"/>
        <w:adjustRightInd w:val="0"/>
        <w:jc w:val="left"/>
        <w:rPr>
          <w:rFonts w:hint="eastAsia" w:ascii="仿宋" w:hAnsi="仿宋" w:eastAsia="仿宋" w:cs="仿宋"/>
          <w:b/>
          <w:kern w:val="0"/>
          <w:szCs w:val="28"/>
        </w:rPr>
      </w:pPr>
      <w:bookmarkStart w:id="22" w:name="_Toc28458"/>
      <w:r>
        <w:rPr>
          <w:rFonts w:hint="eastAsia" w:ascii="仿宋" w:hAnsi="仿宋" w:eastAsia="仿宋" w:cs="仿宋"/>
          <w:b/>
          <w:kern w:val="0"/>
          <w:szCs w:val="28"/>
        </w:rPr>
        <w:t>七、价格评估方法</w:t>
      </w:r>
      <w:bookmarkEnd w:id="22"/>
      <w:r>
        <w:rPr>
          <w:rFonts w:hint="eastAsia" w:ascii="仿宋" w:hAnsi="仿宋" w:eastAsia="仿宋" w:cs="仿宋"/>
          <w:b/>
          <w:kern w:val="0"/>
          <w:szCs w:val="28"/>
        </w:rPr>
        <w:t>：</w:t>
      </w:r>
    </w:p>
    <w:p>
      <w:pPr>
        <w:ind w:firstLine="560"/>
        <w:rPr>
          <w:rFonts w:hint="eastAsia" w:ascii="仿宋" w:hAnsi="仿宋" w:eastAsia="仿宋" w:cs="仿宋"/>
        </w:rPr>
      </w:pPr>
      <w:r>
        <w:rPr>
          <w:rFonts w:hint="eastAsia" w:ascii="仿宋" w:hAnsi="仿宋" w:eastAsia="仿宋" w:cs="仿宋"/>
        </w:rPr>
        <w:t>评估对象属建设项目工程开挖采出的建筑用石料资源，提供有《</w:t>
      </w:r>
      <w:r>
        <w:rPr>
          <w:rFonts w:hint="eastAsia" w:ascii="仿宋" w:hAnsi="仿宋" w:eastAsia="仿宋" w:cs="仿宋"/>
          <w:lang w:eastAsia="zh-CN"/>
        </w:rPr>
        <w:t>测量成果</w:t>
      </w:r>
      <w:r>
        <w:rPr>
          <w:rFonts w:hint="eastAsia" w:ascii="仿宋" w:hAnsi="仿宋" w:eastAsia="仿宋" w:cs="仿宋"/>
        </w:rPr>
        <w:t>》和《估算报告》，评估小组根据现有资料和评估的目的，同时从为保障资源受让人的相对合理利益考虑，确定本次评估方法为市场法，其计算公式为：</w:t>
      </w:r>
    </w:p>
    <w:p>
      <w:pPr>
        <w:ind w:firstLine="560"/>
        <w:rPr>
          <w:rFonts w:hint="eastAsia" w:ascii="仿宋" w:hAnsi="仿宋" w:eastAsia="仿宋" w:cs="仿宋"/>
        </w:rPr>
      </w:pPr>
      <w:r>
        <w:rPr>
          <w:rFonts w:hint="eastAsia" w:ascii="仿宋" w:hAnsi="仿宋" w:eastAsia="仿宋" w:cs="仿宋"/>
        </w:rPr>
        <w:t>评估利用资源处置价值＝产品产量×产品市场价格×（1-合理利润</w:t>
      </w:r>
      <w:r>
        <w:rPr>
          <w:rFonts w:hint="eastAsia" w:ascii="仿宋" w:hAnsi="仿宋" w:eastAsia="仿宋" w:cs="仿宋"/>
          <w:szCs w:val="28"/>
        </w:rPr>
        <w:t>率）</w:t>
      </w:r>
    </w:p>
    <w:p>
      <w:pPr>
        <w:numPr>
          <w:ilvl w:val="255"/>
          <w:numId w:val="0"/>
        </w:numPr>
        <w:autoSpaceDE w:val="0"/>
        <w:autoSpaceDN w:val="0"/>
        <w:adjustRightInd w:val="0"/>
        <w:jc w:val="left"/>
        <w:rPr>
          <w:rFonts w:hint="eastAsia" w:ascii="仿宋" w:hAnsi="仿宋" w:eastAsia="仿宋" w:cs="仿宋"/>
          <w:b/>
          <w:kern w:val="0"/>
          <w:szCs w:val="28"/>
        </w:rPr>
      </w:pPr>
      <w:bookmarkStart w:id="23" w:name="_Toc1711"/>
      <w:r>
        <w:rPr>
          <w:rFonts w:hint="eastAsia" w:ascii="仿宋" w:hAnsi="仿宋" w:eastAsia="仿宋" w:cs="仿宋"/>
          <w:b/>
          <w:kern w:val="0"/>
          <w:szCs w:val="28"/>
        </w:rPr>
        <w:t>八、价格评估过程</w:t>
      </w:r>
      <w:bookmarkEnd w:id="23"/>
      <w:r>
        <w:rPr>
          <w:rFonts w:hint="eastAsia" w:ascii="仿宋" w:hAnsi="仿宋" w:eastAsia="仿宋" w:cs="仿宋"/>
          <w:b/>
          <w:kern w:val="0"/>
          <w:szCs w:val="28"/>
        </w:rPr>
        <w:t>：</w:t>
      </w:r>
    </w:p>
    <w:p>
      <w:pPr>
        <w:ind w:firstLine="560"/>
        <w:rPr>
          <w:rFonts w:hint="eastAsia" w:ascii="仿宋" w:hAnsi="仿宋" w:eastAsia="仿宋" w:cs="仿宋"/>
        </w:rPr>
      </w:pPr>
      <w:r>
        <w:rPr>
          <w:rFonts w:hint="eastAsia" w:ascii="仿宋" w:hAnsi="仿宋" w:eastAsia="仿宋" w:cs="仿宋"/>
        </w:rPr>
        <w:t>我公司接受委托后，成立了专门的价格评估小组，制定了价格评估作业方案，评估人员会同委托方相关工作人员于2021年08月15日标的物所在的附近区域的建筑石料矿山和当地市场价格进行了现场调查，并根据价格评估有关规定，结合标的物特点，确定采用市场法进行价格评估，具体评估过程如下:</w:t>
      </w:r>
    </w:p>
    <w:p>
      <w:pPr>
        <w:pStyle w:val="5"/>
        <w:adjustRightInd w:val="0"/>
        <w:snapToGrid w:val="0"/>
        <w:ind w:firstLine="0" w:firstLineChars="0"/>
        <w:rPr>
          <w:rFonts w:hint="eastAsia" w:ascii="仿宋" w:hAnsi="仿宋" w:eastAsia="仿宋" w:cs="仿宋"/>
          <w:szCs w:val="28"/>
        </w:rPr>
      </w:pPr>
      <w:bookmarkStart w:id="24" w:name="_Toc3191"/>
      <w:r>
        <w:rPr>
          <w:rFonts w:hint="eastAsia" w:ascii="仿宋" w:hAnsi="仿宋" w:eastAsia="仿宋" w:cs="仿宋"/>
          <w:szCs w:val="28"/>
        </w:rPr>
        <w:t>8.1  产品产量</w:t>
      </w:r>
      <w:bookmarkEnd w:id="24"/>
    </w:p>
    <w:p>
      <w:pPr>
        <w:ind w:firstLine="560"/>
        <w:rPr>
          <w:rFonts w:hint="eastAsia" w:ascii="仿宋" w:hAnsi="仿宋" w:eastAsia="仿宋" w:cs="仿宋"/>
        </w:rPr>
      </w:pPr>
      <w:r>
        <w:rPr>
          <w:rFonts w:hint="eastAsia" w:ascii="仿宋" w:hAnsi="仿宋" w:eastAsia="仿宋" w:cs="仿宋"/>
        </w:rPr>
        <w:t>开挖区未来产品为乱石统料，</w:t>
      </w:r>
      <w:r>
        <w:rPr>
          <w:rFonts w:hint="eastAsia" w:ascii="仿宋" w:hAnsi="仿宋" w:eastAsia="仿宋" w:cs="仿宋"/>
          <w:szCs w:val="28"/>
        </w:rPr>
        <w:t>根据评估小组对同类型工程的了解，产品在开采过程中基本无损耗，评估利用资源储量可视为产品产量，</w:t>
      </w:r>
      <w:r>
        <w:rPr>
          <w:rFonts w:hint="eastAsia" w:ascii="仿宋" w:hAnsi="仿宋" w:eastAsia="仿宋" w:cs="仿宋"/>
        </w:rPr>
        <w:t>即开挖区乱石统料产品产量为12302.08m</w:t>
      </w:r>
      <w:r>
        <w:rPr>
          <w:rFonts w:hint="eastAsia" w:ascii="仿宋" w:hAnsi="仿宋" w:eastAsia="仿宋" w:cs="仿宋"/>
          <w:vertAlign w:val="superscript"/>
        </w:rPr>
        <w:t>3</w:t>
      </w:r>
      <w:r>
        <w:rPr>
          <w:rFonts w:hint="eastAsia" w:ascii="仿宋" w:hAnsi="仿宋" w:eastAsia="仿宋" w:cs="仿宋"/>
        </w:rPr>
        <w:t>。</w:t>
      </w:r>
    </w:p>
    <w:p>
      <w:pPr>
        <w:pStyle w:val="5"/>
        <w:adjustRightInd w:val="0"/>
        <w:snapToGrid w:val="0"/>
        <w:ind w:firstLine="0" w:firstLineChars="0"/>
        <w:rPr>
          <w:rFonts w:hint="eastAsia" w:ascii="仿宋" w:hAnsi="仿宋" w:eastAsia="仿宋" w:cs="仿宋"/>
          <w:szCs w:val="28"/>
        </w:rPr>
      </w:pPr>
      <w:bookmarkStart w:id="25" w:name="_Toc2121"/>
      <w:r>
        <w:rPr>
          <w:rFonts w:hint="eastAsia" w:ascii="仿宋" w:hAnsi="仿宋" w:eastAsia="仿宋" w:cs="仿宋"/>
          <w:szCs w:val="28"/>
        </w:rPr>
        <w:t>8.2  产品市场价格</w:t>
      </w:r>
      <w:bookmarkEnd w:id="25"/>
    </w:p>
    <w:p>
      <w:pPr>
        <w:ind w:firstLine="560"/>
        <w:rPr>
          <w:rFonts w:hint="eastAsia" w:ascii="仿宋" w:hAnsi="仿宋" w:eastAsia="仿宋" w:cs="仿宋"/>
        </w:rPr>
      </w:pPr>
      <w:r>
        <w:rPr>
          <w:rFonts w:hint="eastAsia" w:ascii="仿宋" w:hAnsi="仿宋" w:eastAsia="仿宋" w:cs="仿宋"/>
          <w:szCs w:val="28"/>
        </w:rPr>
        <w:t>目前开挖区内产出的产品未进行销售，其实际的产品销售价格信息未能获取；根据价格评估人员对当地乱石统料市场价格进行调查，根据市场行情,本次价格评估采用市场价格调查与市场行情相互映证的方法确定其均价</w:t>
      </w:r>
      <w:r>
        <w:rPr>
          <w:rFonts w:hint="eastAsia" w:ascii="仿宋" w:hAnsi="仿宋" w:eastAsia="仿宋" w:cs="仿宋"/>
        </w:rPr>
        <w:t>。</w:t>
      </w:r>
    </w:p>
    <w:p>
      <w:pPr>
        <w:pStyle w:val="2"/>
        <w:spacing w:line="360" w:lineRule="auto"/>
        <w:rPr>
          <w:rFonts w:hint="eastAsia" w:ascii="仿宋" w:hAnsi="仿宋" w:eastAsia="仿宋" w:cs="仿宋"/>
          <w:szCs w:val="28"/>
        </w:rPr>
      </w:pPr>
      <w:r>
        <w:rPr>
          <w:rFonts w:hint="eastAsia" w:ascii="仿宋" w:hAnsi="仿宋" w:eastAsia="仿宋" w:cs="仿宋"/>
        </w:rPr>
        <w:t>考虑工程全部采用机械方式开挖，纳入评估的资源为工程施工中的产物，将随工程的施工进度而逐步产出，评估组结合工程施工周期和近期产品市场价格的波动情况，产品价格取值按评估基准日前一年度（</w:t>
      </w:r>
      <w:r>
        <w:rPr>
          <w:rFonts w:hint="eastAsia" w:ascii="仿宋" w:hAnsi="仿宋" w:eastAsia="仿宋" w:cs="仿宋"/>
          <w:szCs w:val="28"/>
        </w:rPr>
        <w:t>2020年08月～2021年07月</w:t>
      </w:r>
      <w:r>
        <w:rPr>
          <w:rFonts w:hint="eastAsia" w:ascii="仿宋" w:hAnsi="仿宋" w:eastAsia="仿宋" w:cs="仿宋"/>
        </w:rPr>
        <w:t>）的市场价格为依据。</w:t>
      </w:r>
    </w:p>
    <w:p>
      <w:pPr>
        <w:autoSpaceDE w:val="0"/>
        <w:autoSpaceDN w:val="0"/>
        <w:adjustRightInd w:val="0"/>
        <w:ind w:firstLine="560"/>
        <w:rPr>
          <w:rFonts w:hint="eastAsia" w:ascii="仿宋" w:hAnsi="仿宋" w:eastAsia="仿宋" w:cs="仿宋"/>
        </w:rPr>
      </w:pPr>
      <w:r>
        <w:rPr>
          <w:rFonts w:hint="eastAsia" w:ascii="仿宋" w:hAnsi="仿宋" w:eastAsia="仿宋" w:cs="仿宋"/>
        </w:rPr>
        <w:t>评估组现场调查时未能获取矿产品的相关销售凭证，评估通过查询资料和对当地同类型建筑石料矿山的走访了解，乱石统料因块石含量、质量和运输条件等因素关系，其市场价格差异较大。据了解，</w:t>
      </w:r>
      <w:r>
        <w:rPr>
          <w:rFonts w:hint="eastAsia" w:ascii="仿宋" w:hAnsi="仿宋" w:eastAsia="仿宋" w:cs="仿宋"/>
          <w:szCs w:val="28"/>
        </w:rPr>
        <w:t>2020年08月～2021年07月</w:t>
      </w:r>
      <w:r>
        <w:rPr>
          <w:rFonts w:hint="eastAsia" w:ascii="仿宋" w:hAnsi="仿宋" w:eastAsia="仿宋" w:cs="仿宋"/>
        </w:rPr>
        <w:t>当地同类型乱石统料产品平均场地交货含税区间价约38.00～41.00元/</w:t>
      </w:r>
      <w:r>
        <w:rPr>
          <w:rFonts w:hint="eastAsia" w:ascii="仿宋" w:hAnsi="仿宋" w:eastAsia="仿宋" w:cs="仿宋"/>
          <w:bCs/>
          <w:kern w:val="0"/>
          <w:szCs w:val="28"/>
        </w:rPr>
        <w:t>m</w:t>
      </w:r>
      <w:r>
        <w:rPr>
          <w:rFonts w:hint="eastAsia" w:ascii="仿宋" w:hAnsi="仿宋" w:eastAsia="仿宋" w:cs="仿宋"/>
          <w:bCs/>
          <w:kern w:val="0"/>
          <w:szCs w:val="28"/>
          <w:vertAlign w:val="superscript"/>
        </w:rPr>
        <w:t>3</w:t>
      </w:r>
      <w:r>
        <w:rPr>
          <w:rFonts w:hint="eastAsia" w:ascii="仿宋" w:hAnsi="仿宋" w:eastAsia="仿宋" w:cs="仿宋"/>
        </w:rPr>
        <w:t>。</w:t>
      </w:r>
    </w:p>
    <w:p>
      <w:pPr>
        <w:ind w:firstLine="560"/>
        <w:rPr>
          <w:rFonts w:hint="eastAsia" w:ascii="仿宋" w:hAnsi="仿宋" w:eastAsia="仿宋" w:cs="仿宋"/>
        </w:rPr>
      </w:pPr>
      <w:r>
        <w:rPr>
          <w:rFonts w:hint="eastAsia" w:ascii="仿宋" w:hAnsi="仿宋" w:eastAsia="仿宋" w:cs="仿宋"/>
        </w:rPr>
        <w:t>为了较综合地反映当地产品市场价格，评估组收集了2020年08月～2021年07月的《浙江交通建设工程质监与造价》（2020年第八期～2021年第七期）</w:t>
      </w:r>
      <w:r>
        <w:rPr>
          <w:rFonts w:hint="eastAsia" w:ascii="仿宋" w:hAnsi="仿宋" w:eastAsia="仿宋" w:cs="仿宋"/>
          <w:szCs w:val="28"/>
        </w:rPr>
        <w:t>显示的信息价</w:t>
      </w:r>
      <w:r>
        <w:rPr>
          <w:rFonts w:hint="eastAsia" w:ascii="仿宋" w:hAnsi="仿宋" w:eastAsia="仿宋" w:cs="仿宋"/>
        </w:rPr>
        <w:t>对评估组了解的市场价格进行佐证；因交通建设工程地方材料价格信息统计未显示乱石统料的价格信息，本次评估选取了与乱石统料产品较接近的片石作参照对象；据统计，2020年08月～2021年07月义乌市片石含税信息价为103.00元/m</w:t>
      </w:r>
      <w:r>
        <w:rPr>
          <w:rFonts w:hint="eastAsia" w:ascii="仿宋" w:hAnsi="仿宋" w:eastAsia="仿宋" w:cs="仿宋"/>
          <w:vertAlign w:val="superscript"/>
        </w:rPr>
        <w:t>3</w:t>
      </w:r>
      <w:r>
        <w:rPr>
          <w:rFonts w:hint="eastAsia" w:ascii="仿宋" w:hAnsi="仿宋" w:eastAsia="仿宋" w:cs="仿宋"/>
        </w:rPr>
        <w:t>（见表8-1）。</w:t>
      </w:r>
    </w:p>
    <w:p>
      <w:pPr>
        <w:spacing w:line="480" w:lineRule="exact"/>
        <w:ind w:firstLine="241" w:firstLineChars="100"/>
        <w:rPr>
          <w:rFonts w:hint="eastAsia" w:ascii="仿宋" w:hAnsi="仿宋" w:eastAsia="仿宋" w:cs="仿宋"/>
          <w:sz w:val="24"/>
        </w:rPr>
      </w:pPr>
      <w:r>
        <w:rPr>
          <w:rFonts w:hint="eastAsia" w:ascii="仿宋" w:hAnsi="仿宋" w:eastAsia="仿宋" w:cs="仿宋"/>
          <w:b/>
          <w:bCs/>
          <w:sz w:val="24"/>
        </w:rPr>
        <w:t xml:space="preserve">表8-1  </w:t>
      </w:r>
      <w:r>
        <w:rPr>
          <w:rFonts w:hint="eastAsia" w:ascii="仿宋" w:hAnsi="仿宋" w:eastAsia="仿宋" w:cs="仿宋"/>
          <w:sz w:val="24"/>
        </w:rPr>
        <w:t xml:space="preserve"> </w:t>
      </w:r>
      <w:r>
        <w:rPr>
          <w:rFonts w:hint="eastAsia" w:ascii="仿宋" w:hAnsi="仿宋" w:eastAsia="仿宋" w:cs="仿宋"/>
          <w:b/>
          <w:bCs/>
          <w:sz w:val="24"/>
        </w:rPr>
        <w:t>《</w:t>
      </w:r>
      <w:r>
        <w:rPr>
          <w:rFonts w:hint="eastAsia" w:ascii="仿宋" w:hAnsi="仿宋" w:eastAsia="仿宋" w:cs="仿宋"/>
          <w:b/>
          <w:sz w:val="24"/>
        </w:rPr>
        <w:t>浙江交通建设工程质监与造价</w:t>
      </w:r>
      <w:r>
        <w:rPr>
          <w:rFonts w:hint="eastAsia" w:ascii="仿宋" w:hAnsi="仿宋" w:eastAsia="仿宋" w:cs="仿宋"/>
          <w:b/>
          <w:bCs/>
          <w:sz w:val="24"/>
        </w:rPr>
        <w:t xml:space="preserve">》义乌市信息价统计表     </w:t>
      </w:r>
      <w:r>
        <w:rPr>
          <w:rFonts w:hint="eastAsia" w:ascii="仿宋" w:hAnsi="仿宋" w:eastAsia="仿宋" w:cs="仿宋"/>
          <w:sz w:val="24"/>
        </w:rPr>
        <w:t>元/m</w:t>
      </w:r>
      <w:r>
        <w:rPr>
          <w:rFonts w:hint="eastAsia" w:ascii="仿宋" w:hAnsi="仿宋" w:eastAsia="仿宋" w:cs="仿宋"/>
          <w:sz w:val="24"/>
          <w:vertAlign w:val="superscript"/>
        </w:rPr>
        <w:t>3</w:t>
      </w:r>
    </w:p>
    <w:tbl>
      <w:tblPr>
        <w:tblStyle w:val="23"/>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3"/>
        <w:gridCol w:w="2522"/>
        <w:gridCol w:w="3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33"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年  份</w:t>
            </w: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月  份</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片石（码方）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33" w:type="pct"/>
            <w:vMerge w:val="restart"/>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bCs/>
                <w:kern w:val="0"/>
                <w:sz w:val="24"/>
              </w:rPr>
              <w:t>2020年</w:t>
            </w: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08</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33" w:type="pct"/>
            <w:vMerge w:val="continue"/>
            <w:vAlign w:val="center"/>
          </w:tcPr>
          <w:p>
            <w:pPr>
              <w:widowControl/>
              <w:spacing w:line="480" w:lineRule="exact"/>
              <w:ind w:firstLine="0" w:firstLineChars="0"/>
              <w:jc w:val="center"/>
              <w:rPr>
                <w:rFonts w:hint="eastAsia" w:ascii="仿宋" w:hAnsi="仿宋" w:eastAsia="仿宋" w:cs="仿宋"/>
                <w:kern w:val="0"/>
                <w:sz w:val="24"/>
              </w:rPr>
            </w:pP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09</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33" w:type="pct"/>
            <w:vMerge w:val="continue"/>
            <w:vAlign w:val="center"/>
          </w:tcPr>
          <w:p>
            <w:pPr>
              <w:widowControl/>
              <w:spacing w:line="480" w:lineRule="exact"/>
              <w:ind w:firstLine="0" w:firstLineChars="0"/>
              <w:jc w:val="center"/>
              <w:rPr>
                <w:rFonts w:hint="eastAsia" w:ascii="仿宋" w:hAnsi="仿宋" w:eastAsia="仿宋" w:cs="仿宋"/>
                <w:kern w:val="0"/>
                <w:sz w:val="24"/>
              </w:rPr>
            </w:pP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10</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233" w:type="pct"/>
            <w:vMerge w:val="continue"/>
            <w:vAlign w:val="center"/>
          </w:tcPr>
          <w:p>
            <w:pPr>
              <w:widowControl/>
              <w:spacing w:line="480" w:lineRule="exact"/>
              <w:ind w:firstLine="0" w:firstLineChars="0"/>
              <w:jc w:val="center"/>
              <w:rPr>
                <w:rFonts w:hint="eastAsia" w:ascii="仿宋" w:hAnsi="仿宋" w:eastAsia="仿宋" w:cs="仿宋"/>
                <w:kern w:val="0"/>
                <w:sz w:val="24"/>
              </w:rPr>
            </w:pP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11</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233" w:type="pct"/>
            <w:vMerge w:val="continue"/>
            <w:vAlign w:val="center"/>
          </w:tcPr>
          <w:p>
            <w:pPr>
              <w:widowControl/>
              <w:spacing w:line="480" w:lineRule="exact"/>
              <w:ind w:firstLine="0" w:firstLineChars="0"/>
              <w:jc w:val="center"/>
              <w:rPr>
                <w:rFonts w:hint="eastAsia" w:ascii="仿宋" w:hAnsi="仿宋" w:eastAsia="仿宋" w:cs="仿宋"/>
                <w:kern w:val="0"/>
                <w:sz w:val="24"/>
              </w:rPr>
            </w:pPr>
          </w:p>
        </w:tc>
        <w:tc>
          <w:tcPr>
            <w:tcW w:w="1576" w:type="pct"/>
            <w:noWrap/>
            <w:vAlign w:val="center"/>
          </w:tcPr>
          <w:p>
            <w:pPr>
              <w:widowControl/>
              <w:spacing w:line="480" w:lineRule="exact"/>
              <w:ind w:firstLine="0" w:firstLineChars="0"/>
              <w:jc w:val="center"/>
              <w:rPr>
                <w:rFonts w:hint="eastAsia" w:ascii="仿宋" w:hAnsi="仿宋" w:eastAsia="仿宋" w:cs="仿宋"/>
                <w:kern w:val="0"/>
                <w:sz w:val="24"/>
              </w:rPr>
            </w:pPr>
            <w:r>
              <w:rPr>
                <w:rFonts w:hint="eastAsia" w:ascii="仿宋" w:hAnsi="仿宋" w:eastAsia="仿宋" w:cs="仿宋"/>
                <w:kern w:val="0"/>
                <w:sz w:val="24"/>
              </w:rPr>
              <w:t>12</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restart"/>
            <w:noWrap/>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2021年</w:t>
            </w: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01</w:t>
            </w:r>
          </w:p>
        </w:tc>
        <w:tc>
          <w:tcPr>
            <w:tcW w:w="2190" w:type="pct"/>
            <w:noWrap/>
            <w:vAlign w:val="center"/>
          </w:tcPr>
          <w:p>
            <w:pPr>
              <w:widowControl/>
              <w:spacing w:line="480" w:lineRule="exact"/>
              <w:ind w:firstLine="0" w:firstLineChars="0"/>
              <w:jc w:val="center"/>
              <w:rPr>
                <w:rFonts w:hint="eastAsia" w:ascii="仿宋" w:hAnsi="仿宋" w:eastAsia="仿宋" w:cs="仿宋"/>
                <w:bCs/>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02</w:t>
            </w:r>
          </w:p>
        </w:tc>
        <w:tc>
          <w:tcPr>
            <w:tcW w:w="2190" w:type="pct"/>
            <w:noWrap/>
            <w:vAlign w:val="center"/>
          </w:tcPr>
          <w:p>
            <w:pPr>
              <w:widowControl/>
              <w:spacing w:line="480" w:lineRule="exact"/>
              <w:ind w:firstLine="0" w:firstLineChars="0"/>
              <w:jc w:val="center"/>
              <w:rPr>
                <w:rFonts w:hint="eastAsia" w:ascii="仿宋" w:hAnsi="仿宋" w:eastAsia="仿宋" w:cs="仿宋"/>
                <w:bCs/>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03</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04</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05</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06</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33" w:type="pct"/>
            <w:vMerge w:val="continue"/>
            <w:noWrap/>
            <w:vAlign w:val="center"/>
          </w:tcPr>
          <w:p>
            <w:pPr>
              <w:widowControl/>
              <w:spacing w:line="480" w:lineRule="exact"/>
              <w:ind w:firstLine="0" w:firstLineChars="0"/>
              <w:jc w:val="center"/>
              <w:rPr>
                <w:rFonts w:hint="eastAsia" w:ascii="仿宋" w:hAnsi="仿宋" w:eastAsia="仿宋" w:cs="仿宋"/>
                <w:bCs/>
                <w:kern w:val="0"/>
                <w:sz w:val="24"/>
              </w:rPr>
            </w:pPr>
          </w:p>
        </w:tc>
        <w:tc>
          <w:tcPr>
            <w:tcW w:w="1576" w:type="pct"/>
            <w:vAlign w:val="center"/>
          </w:tcPr>
          <w:p>
            <w:pPr>
              <w:widowControl/>
              <w:spacing w:line="480" w:lineRule="exact"/>
              <w:ind w:firstLine="0" w:firstLineChars="0"/>
              <w:jc w:val="center"/>
              <w:rPr>
                <w:rFonts w:hint="eastAsia" w:ascii="仿宋" w:hAnsi="仿宋" w:eastAsia="仿宋" w:cs="仿宋"/>
                <w:bCs/>
                <w:kern w:val="0"/>
                <w:sz w:val="24"/>
              </w:rPr>
            </w:pPr>
            <w:r>
              <w:rPr>
                <w:rFonts w:hint="eastAsia" w:ascii="仿宋" w:hAnsi="仿宋" w:eastAsia="仿宋" w:cs="仿宋"/>
                <w:bCs/>
                <w:kern w:val="0"/>
                <w:sz w:val="24"/>
              </w:rPr>
              <w:t>07</w:t>
            </w:r>
          </w:p>
        </w:tc>
        <w:tc>
          <w:tcPr>
            <w:tcW w:w="2190" w:type="pct"/>
            <w:noWrap/>
            <w:vAlign w:val="center"/>
          </w:tcPr>
          <w:p>
            <w:pPr>
              <w:widowControl/>
              <w:spacing w:line="480" w:lineRule="exact"/>
              <w:ind w:firstLine="0" w:firstLineChars="0"/>
              <w:jc w:val="center"/>
              <w:rPr>
                <w:rFonts w:hint="eastAsia" w:ascii="仿宋" w:hAnsi="仿宋" w:eastAsia="仿宋" w:cs="仿宋"/>
                <w:sz w:val="24"/>
              </w:rPr>
            </w:pPr>
            <w:r>
              <w:rPr>
                <w:rFonts w:hint="eastAsia" w:ascii="仿宋" w:hAnsi="仿宋" w:eastAsia="仿宋" w:cs="仿宋"/>
                <w:sz w:val="24"/>
              </w:rPr>
              <w:t>103.00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809" w:type="pct"/>
            <w:gridSpan w:val="2"/>
            <w:noWrap/>
            <w:vAlign w:val="center"/>
          </w:tcPr>
          <w:p>
            <w:pPr>
              <w:widowControl/>
              <w:spacing w:line="480" w:lineRule="exact"/>
              <w:ind w:firstLine="482"/>
              <w:jc w:val="center"/>
              <w:rPr>
                <w:rFonts w:hint="eastAsia" w:ascii="仿宋" w:hAnsi="仿宋" w:eastAsia="仿宋" w:cs="仿宋"/>
                <w:b/>
                <w:bCs/>
                <w:kern w:val="0"/>
                <w:sz w:val="24"/>
              </w:rPr>
            </w:pPr>
            <w:r>
              <w:rPr>
                <w:rFonts w:hint="eastAsia" w:ascii="仿宋" w:hAnsi="仿宋" w:eastAsia="仿宋" w:cs="仿宋"/>
                <w:b/>
                <w:bCs/>
                <w:kern w:val="0"/>
                <w:sz w:val="24"/>
              </w:rPr>
              <w:t>平均价</w:t>
            </w:r>
          </w:p>
        </w:tc>
        <w:tc>
          <w:tcPr>
            <w:tcW w:w="2190" w:type="pct"/>
            <w:noWrap/>
            <w:vAlign w:val="center"/>
          </w:tcPr>
          <w:p>
            <w:pPr>
              <w:widowControl/>
              <w:spacing w:line="480" w:lineRule="exact"/>
              <w:ind w:firstLine="0" w:firstLineChars="0"/>
              <w:jc w:val="center"/>
              <w:rPr>
                <w:rFonts w:hint="eastAsia" w:ascii="仿宋" w:hAnsi="仿宋" w:eastAsia="仿宋" w:cs="仿宋"/>
                <w:b/>
                <w:bCs/>
                <w:sz w:val="24"/>
              </w:rPr>
            </w:pPr>
            <w:r>
              <w:rPr>
                <w:rFonts w:hint="eastAsia" w:ascii="仿宋" w:hAnsi="仿宋" w:eastAsia="仿宋" w:cs="仿宋"/>
                <w:b/>
                <w:bCs/>
                <w:sz w:val="24"/>
              </w:rPr>
              <w:t>103.00</w:t>
            </w:r>
          </w:p>
        </w:tc>
      </w:tr>
    </w:tbl>
    <w:p>
      <w:pPr>
        <w:ind w:firstLine="560"/>
        <w:rPr>
          <w:rFonts w:hint="eastAsia" w:ascii="仿宋" w:hAnsi="仿宋" w:eastAsia="仿宋" w:cs="仿宋"/>
        </w:rPr>
      </w:pPr>
      <w:r>
        <w:rPr>
          <w:rFonts w:hint="eastAsia" w:ascii="仿宋" w:hAnsi="仿宋" w:eastAsia="仿宋" w:cs="仿宋"/>
        </w:rPr>
        <w:t>经计算，片石（码方）平均信息价（含税）为103元/m</w:t>
      </w:r>
      <w:r>
        <w:rPr>
          <w:rFonts w:hint="eastAsia" w:ascii="仿宋" w:hAnsi="仿宋" w:eastAsia="仿宋" w:cs="仿宋"/>
          <w:vertAlign w:val="superscript"/>
        </w:rPr>
        <w:t>3</w:t>
      </w:r>
      <w:r>
        <w:rPr>
          <w:rFonts w:hint="eastAsia" w:ascii="仿宋" w:hAnsi="仿宋" w:eastAsia="仿宋" w:cs="仿宋"/>
        </w:rPr>
        <w:t>。石料按码方和松方换算系数1.05，由此计算松方片石产品平均信息价为98.10元/m</w:t>
      </w:r>
      <w:r>
        <w:rPr>
          <w:rFonts w:hint="eastAsia" w:ascii="仿宋" w:hAnsi="仿宋" w:eastAsia="仿宋" w:cs="仿宋"/>
          <w:vertAlign w:val="superscript"/>
        </w:rPr>
        <w:t>3</w:t>
      </w:r>
      <w:r>
        <w:rPr>
          <w:rFonts w:hint="eastAsia" w:ascii="仿宋" w:hAnsi="仿宋" w:eastAsia="仿宋" w:cs="仿宋"/>
        </w:rPr>
        <w:t>（103.00÷1.05）。</w:t>
      </w:r>
    </w:p>
    <w:p>
      <w:pPr>
        <w:ind w:firstLine="560"/>
        <w:rPr>
          <w:rFonts w:hint="eastAsia" w:ascii="仿宋" w:hAnsi="仿宋" w:eastAsia="仿宋" w:cs="仿宋"/>
        </w:rPr>
      </w:pPr>
      <w:r>
        <w:rPr>
          <w:rFonts w:hint="eastAsia" w:ascii="仿宋" w:hAnsi="仿宋" w:eastAsia="仿宋" w:cs="仿宋"/>
        </w:rPr>
        <w:t>根据《浙江省交通建设工程材料价格信息使用说明》规定：</w:t>
      </w:r>
    </w:p>
    <w:p>
      <w:pPr>
        <w:ind w:firstLine="560"/>
        <w:rPr>
          <w:rFonts w:hint="eastAsia" w:ascii="仿宋" w:hAnsi="仿宋" w:eastAsia="仿宋" w:cs="仿宋"/>
        </w:rPr>
      </w:pPr>
      <w:r>
        <w:rPr>
          <w:rFonts w:hint="eastAsia" w:ascii="仿宋" w:hAnsi="仿宋" w:eastAsia="仿宋" w:cs="仿宋"/>
        </w:rPr>
        <w:t>材料供应价＝材料信息价/[（1+场外运输损耗率）×（1+采购及保管费率）]-运杂费；</w:t>
      </w:r>
    </w:p>
    <w:p>
      <w:pPr>
        <w:ind w:firstLine="560"/>
        <w:rPr>
          <w:rFonts w:hint="eastAsia" w:ascii="仿宋" w:hAnsi="仿宋" w:eastAsia="仿宋" w:cs="仿宋"/>
        </w:rPr>
      </w:pPr>
      <w:r>
        <w:rPr>
          <w:rFonts w:hint="eastAsia" w:ascii="仿宋" w:hAnsi="仿宋" w:eastAsia="仿宋" w:cs="仿宋"/>
        </w:rPr>
        <w:t>其中：场外运输损耗率1%，采购及保管费率1.5%。</w:t>
      </w:r>
    </w:p>
    <w:p>
      <w:pPr>
        <w:ind w:firstLine="560"/>
        <w:rPr>
          <w:rFonts w:hint="eastAsia" w:ascii="仿宋" w:hAnsi="仿宋" w:eastAsia="仿宋" w:cs="仿宋"/>
        </w:rPr>
      </w:pPr>
      <w:r>
        <w:rPr>
          <w:rFonts w:hint="eastAsia" w:ascii="仿宋" w:hAnsi="仿宋" w:eastAsia="仿宋" w:cs="仿宋"/>
          <w:bCs/>
          <w:kern w:val="0"/>
          <w:szCs w:val="28"/>
        </w:rPr>
        <w:t>据了解，一般乱石统料产品的平均运输距离约在30～40</w:t>
      </w:r>
      <w:r>
        <w:rPr>
          <w:rFonts w:hint="eastAsia" w:ascii="仿宋" w:hAnsi="仿宋" w:eastAsia="仿宋" w:cs="仿宋"/>
          <w:szCs w:val="28"/>
        </w:rPr>
        <w:t>km</w:t>
      </w:r>
      <w:r>
        <w:rPr>
          <w:rFonts w:hint="eastAsia" w:ascii="仿宋" w:hAnsi="仿宋" w:eastAsia="仿宋" w:cs="仿宋"/>
          <w:bCs/>
          <w:kern w:val="0"/>
          <w:szCs w:val="28"/>
        </w:rPr>
        <w:t>左右，运杂费平均</w:t>
      </w:r>
      <w:r>
        <w:rPr>
          <w:rFonts w:hint="eastAsia" w:ascii="仿宋" w:hAnsi="仿宋" w:eastAsia="仿宋" w:cs="仿宋"/>
          <w:kern w:val="0"/>
          <w:szCs w:val="28"/>
        </w:rPr>
        <w:t>按0.80</w:t>
      </w:r>
      <w:r>
        <w:rPr>
          <w:rFonts w:hint="eastAsia" w:ascii="仿宋" w:hAnsi="仿宋" w:eastAsia="仿宋" w:cs="仿宋"/>
          <w:bCs/>
          <w:szCs w:val="28"/>
        </w:rPr>
        <w:t>元/</w:t>
      </w:r>
      <w:r>
        <w:rPr>
          <w:rFonts w:hint="eastAsia" w:ascii="仿宋" w:hAnsi="仿宋" w:eastAsia="仿宋" w:cs="仿宋"/>
          <w:szCs w:val="28"/>
        </w:rPr>
        <w:t>t</w:t>
      </w:r>
      <w:r>
        <w:rPr>
          <w:rFonts w:hint="eastAsia" w:ascii="仿宋" w:hAnsi="仿宋" w:eastAsia="仿宋" w:cs="仿宋"/>
          <w:bCs/>
          <w:szCs w:val="28"/>
        </w:rPr>
        <w:t>·</w:t>
      </w:r>
      <w:r>
        <w:rPr>
          <w:rFonts w:hint="eastAsia" w:ascii="仿宋" w:hAnsi="仿宋" w:eastAsia="仿宋" w:cs="仿宋"/>
          <w:szCs w:val="28"/>
        </w:rPr>
        <w:t>km</w:t>
      </w:r>
      <w:r>
        <w:rPr>
          <w:rFonts w:hint="eastAsia" w:ascii="仿宋" w:hAnsi="仿宋" w:eastAsia="仿宋" w:cs="仿宋"/>
          <w:bCs/>
          <w:szCs w:val="28"/>
        </w:rPr>
        <w:t>（含税）计费；计算片石</w:t>
      </w:r>
      <w:r>
        <w:rPr>
          <w:rFonts w:hint="eastAsia" w:ascii="仿宋" w:hAnsi="仿宋" w:eastAsia="仿宋" w:cs="仿宋"/>
          <w:kern w:val="0"/>
          <w:szCs w:val="28"/>
        </w:rPr>
        <w:t>的</w:t>
      </w:r>
      <w:r>
        <w:rPr>
          <w:rFonts w:hint="eastAsia" w:ascii="仿宋" w:hAnsi="仿宋" w:eastAsia="仿宋" w:cs="仿宋"/>
          <w:bCs/>
          <w:kern w:val="0"/>
          <w:szCs w:val="28"/>
        </w:rPr>
        <w:t>运杂费（装卸费、运输损耗及其他附加费）24.00～32.00元/</w:t>
      </w:r>
      <w:r>
        <w:rPr>
          <w:rFonts w:hint="eastAsia" w:ascii="仿宋" w:hAnsi="仿宋" w:eastAsia="仿宋" w:cs="仿宋"/>
          <w:szCs w:val="28"/>
        </w:rPr>
        <w:t>t</w:t>
      </w:r>
      <w:r>
        <w:rPr>
          <w:rFonts w:hint="eastAsia" w:ascii="仿宋" w:hAnsi="仿宋" w:eastAsia="仿宋" w:cs="仿宋"/>
          <w:bCs/>
          <w:kern w:val="0"/>
          <w:szCs w:val="28"/>
        </w:rPr>
        <w:t>，约42.00～56.00元/m</w:t>
      </w:r>
      <w:r>
        <w:rPr>
          <w:rFonts w:hint="eastAsia" w:ascii="仿宋" w:hAnsi="仿宋" w:eastAsia="仿宋" w:cs="仿宋"/>
          <w:bCs/>
          <w:kern w:val="0"/>
          <w:szCs w:val="28"/>
          <w:vertAlign w:val="superscript"/>
        </w:rPr>
        <w:t>3</w:t>
      </w:r>
      <w:r>
        <w:rPr>
          <w:rFonts w:hint="eastAsia" w:ascii="仿宋" w:hAnsi="仿宋" w:eastAsia="仿宋" w:cs="仿宋"/>
          <w:bCs/>
          <w:kern w:val="0"/>
          <w:szCs w:val="28"/>
        </w:rPr>
        <w:t>。</w:t>
      </w:r>
      <w:r>
        <w:rPr>
          <w:rFonts w:hint="eastAsia" w:ascii="仿宋" w:hAnsi="仿宋" w:eastAsia="仿宋" w:cs="仿宋"/>
          <w:kern w:val="0"/>
          <w:szCs w:val="28"/>
        </w:rPr>
        <w:t>则计算片石产品供应区间价约39.69</w:t>
      </w:r>
      <w:r>
        <w:rPr>
          <w:rFonts w:hint="eastAsia" w:ascii="仿宋" w:hAnsi="仿宋" w:eastAsia="仿宋" w:cs="仿宋"/>
          <w:bCs/>
          <w:kern w:val="0"/>
          <w:szCs w:val="28"/>
        </w:rPr>
        <w:t>～53.69</w:t>
      </w:r>
      <w:r>
        <w:rPr>
          <w:rFonts w:hint="eastAsia" w:ascii="仿宋" w:hAnsi="仿宋" w:eastAsia="仿宋" w:cs="仿宋"/>
          <w:kern w:val="0"/>
          <w:szCs w:val="28"/>
        </w:rPr>
        <w:t>元/</w:t>
      </w:r>
      <w:r>
        <w:rPr>
          <w:rFonts w:hint="eastAsia" w:ascii="仿宋" w:hAnsi="仿宋" w:eastAsia="仿宋" w:cs="仿宋"/>
          <w:bCs/>
          <w:kern w:val="0"/>
          <w:szCs w:val="28"/>
        </w:rPr>
        <w:t>m</w:t>
      </w:r>
      <w:r>
        <w:rPr>
          <w:rFonts w:hint="eastAsia" w:ascii="仿宋" w:hAnsi="仿宋" w:eastAsia="仿宋" w:cs="仿宋"/>
          <w:bCs/>
          <w:kern w:val="0"/>
          <w:szCs w:val="28"/>
          <w:vertAlign w:val="superscript"/>
        </w:rPr>
        <w:t>3</w:t>
      </w:r>
      <w:r>
        <w:rPr>
          <w:rFonts w:hint="eastAsia" w:ascii="仿宋" w:hAnsi="仿宋" w:eastAsia="仿宋" w:cs="仿宋"/>
          <w:kern w:val="0"/>
          <w:szCs w:val="28"/>
        </w:rPr>
        <w:t>。</w:t>
      </w:r>
    </w:p>
    <w:p>
      <w:pPr>
        <w:ind w:firstLine="560"/>
        <w:rPr>
          <w:rFonts w:hint="eastAsia" w:ascii="仿宋" w:hAnsi="仿宋" w:eastAsia="仿宋" w:cs="仿宋"/>
          <w:szCs w:val="28"/>
        </w:rPr>
      </w:pPr>
      <w:r>
        <w:rPr>
          <w:rFonts w:hint="eastAsia" w:ascii="仿宋" w:hAnsi="仿宋" w:eastAsia="仿宋" w:cs="仿宋"/>
          <w:szCs w:val="28"/>
        </w:rPr>
        <w:t>评估组</w:t>
      </w:r>
      <w:r>
        <w:rPr>
          <w:rFonts w:hint="eastAsia" w:ascii="仿宋" w:hAnsi="仿宋" w:eastAsia="仿宋" w:cs="仿宋"/>
        </w:rPr>
        <w:t>了解</w:t>
      </w:r>
      <w:r>
        <w:rPr>
          <w:rFonts w:hint="eastAsia" w:ascii="仿宋" w:hAnsi="仿宋" w:eastAsia="仿宋" w:cs="仿宋"/>
          <w:szCs w:val="28"/>
        </w:rPr>
        <w:t>的当地2020年08月～2021年07月乱</w:t>
      </w:r>
      <w:r>
        <w:rPr>
          <w:rFonts w:hint="eastAsia" w:ascii="仿宋" w:hAnsi="仿宋" w:eastAsia="仿宋" w:cs="仿宋"/>
          <w:bCs/>
          <w:kern w:val="0"/>
          <w:szCs w:val="28"/>
        </w:rPr>
        <w:t>石统料</w:t>
      </w:r>
      <w:r>
        <w:rPr>
          <w:rFonts w:hint="eastAsia" w:ascii="仿宋" w:hAnsi="仿宋" w:eastAsia="仿宋" w:cs="仿宋"/>
          <w:szCs w:val="28"/>
        </w:rPr>
        <w:t>产品市场平均区间价与《浙江交通建设工程质监与造价》显示的义乌市含税信息价基本一致。</w:t>
      </w:r>
    </w:p>
    <w:p>
      <w:pPr>
        <w:adjustRightInd w:val="0"/>
        <w:snapToGrid w:val="0"/>
        <w:ind w:firstLine="560"/>
        <w:jc w:val="left"/>
        <w:rPr>
          <w:rFonts w:hint="eastAsia" w:ascii="仿宋" w:hAnsi="仿宋" w:eastAsia="仿宋" w:cs="仿宋"/>
        </w:rPr>
      </w:pPr>
      <w:r>
        <w:rPr>
          <w:rFonts w:hint="eastAsia" w:ascii="仿宋" w:hAnsi="仿宋" w:eastAsia="仿宋" w:cs="仿宋"/>
          <w:szCs w:val="28"/>
        </w:rPr>
        <w:t>通过以当地信息价对评估组了解的市场价进行佐证，可知评估组了解的产品当地市场区间价基本可信，本次评估本着稳健原则，产品取价按评估组了解的市场区间价取值，即乱石统料场地交货含税价为40.00元/m</w:t>
      </w:r>
      <w:r>
        <w:rPr>
          <w:rFonts w:hint="eastAsia" w:ascii="仿宋" w:hAnsi="仿宋" w:eastAsia="仿宋" w:cs="仿宋"/>
          <w:szCs w:val="28"/>
          <w:vertAlign w:val="superscript"/>
        </w:rPr>
        <w:t>3</w:t>
      </w:r>
      <w:r>
        <w:rPr>
          <w:rFonts w:hint="eastAsia" w:ascii="仿宋" w:hAnsi="仿宋" w:eastAsia="仿宋" w:cs="仿宋"/>
          <w:szCs w:val="28"/>
        </w:rPr>
        <w:t>。</w:t>
      </w:r>
    </w:p>
    <w:p>
      <w:pPr>
        <w:pStyle w:val="5"/>
        <w:adjustRightInd w:val="0"/>
        <w:snapToGrid w:val="0"/>
        <w:ind w:firstLine="0" w:firstLineChars="0"/>
        <w:rPr>
          <w:rFonts w:hint="eastAsia" w:ascii="仿宋" w:hAnsi="仿宋" w:eastAsia="仿宋" w:cs="仿宋"/>
          <w:szCs w:val="28"/>
        </w:rPr>
      </w:pPr>
      <w:bookmarkStart w:id="26" w:name="_Toc22210"/>
      <w:r>
        <w:rPr>
          <w:rFonts w:hint="eastAsia" w:ascii="仿宋" w:hAnsi="仿宋" w:eastAsia="仿宋" w:cs="仿宋"/>
          <w:szCs w:val="28"/>
        </w:rPr>
        <w:t>8.3  合理利润率</w:t>
      </w:r>
      <w:bookmarkEnd w:id="26"/>
    </w:p>
    <w:p>
      <w:pPr>
        <w:adjustRightInd w:val="0"/>
        <w:snapToGrid w:val="0"/>
        <w:ind w:firstLine="560"/>
        <w:jc w:val="left"/>
        <w:rPr>
          <w:rFonts w:hint="eastAsia" w:ascii="仿宋" w:hAnsi="仿宋" w:eastAsia="仿宋" w:cs="仿宋"/>
          <w:szCs w:val="28"/>
        </w:rPr>
      </w:pPr>
      <w:r>
        <w:rPr>
          <w:rFonts w:hint="eastAsia" w:ascii="仿宋" w:hAnsi="仿宋" w:eastAsia="仿宋" w:cs="仿宋"/>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5"/>
        <w:adjustRightInd w:val="0"/>
        <w:snapToGrid w:val="0"/>
        <w:ind w:firstLine="0" w:firstLineChars="0"/>
        <w:rPr>
          <w:rFonts w:hint="eastAsia" w:ascii="仿宋" w:hAnsi="仿宋" w:eastAsia="仿宋" w:cs="仿宋"/>
          <w:szCs w:val="28"/>
        </w:rPr>
      </w:pPr>
      <w:bookmarkStart w:id="27" w:name="_Toc10559"/>
      <w:bookmarkStart w:id="28" w:name="_Toc37673480"/>
      <w:r>
        <w:rPr>
          <w:rFonts w:hint="eastAsia" w:ascii="仿宋" w:hAnsi="仿宋" w:eastAsia="仿宋" w:cs="仿宋"/>
          <w:szCs w:val="28"/>
        </w:rPr>
        <w:t>8.4  评估结果计算</w:t>
      </w:r>
      <w:bookmarkEnd w:id="27"/>
      <w:bookmarkEnd w:id="28"/>
    </w:p>
    <w:p>
      <w:pPr>
        <w:adjustRightInd w:val="0"/>
        <w:snapToGrid w:val="0"/>
        <w:ind w:firstLine="560"/>
        <w:jc w:val="left"/>
        <w:rPr>
          <w:rFonts w:hint="eastAsia"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根据上述“七”确定的评估结果计算公式和“8.1”确定的产品量、“8.2”确定的产品市场价格及“8.3”确定的利润率，计算评估结果为：</w:t>
      </w:r>
    </w:p>
    <w:p>
      <w:pPr>
        <w:ind w:firstLine="560"/>
        <w:rPr>
          <w:rFonts w:hint="eastAsia" w:ascii="仿宋" w:hAnsi="仿宋" w:eastAsia="仿宋" w:cs="仿宋"/>
        </w:rPr>
      </w:pPr>
      <w:r>
        <w:rPr>
          <w:rFonts w:hint="eastAsia" w:ascii="仿宋" w:hAnsi="仿宋" w:eastAsia="仿宋" w:cs="仿宋"/>
        </w:rPr>
        <w:t>评估利用资源处置价值＝产品（乱石统料）产量×产品市场价格×（1-合理利润率）</w:t>
      </w:r>
    </w:p>
    <w:p>
      <w:pPr>
        <w:ind w:firstLine="3360" w:firstLineChars="1200"/>
        <w:jc w:val="left"/>
        <w:rPr>
          <w:rFonts w:hint="eastAsia" w:ascii="仿宋" w:hAnsi="仿宋" w:eastAsia="仿宋" w:cs="仿宋"/>
          <w:szCs w:val="28"/>
        </w:rPr>
      </w:pPr>
      <w:r>
        <w:rPr>
          <w:rFonts w:hint="eastAsia" w:ascii="仿宋" w:hAnsi="仿宋" w:eastAsia="仿宋" w:cs="仿宋"/>
          <w:szCs w:val="28"/>
        </w:rPr>
        <w:t>＝</w:t>
      </w:r>
      <w:r>
        <w:rPr>
          <w:rFonts w:hint="eastAsia" w:ascii="仿宋" w:hAnsi="仿宋" w:eastAsia="仿宋" w:cs="仿宋"/>
        </w:rPr>
        <w:t>12302.08（m</w:t>
      </w:r>
      <w:r>
        <w:rPr>
          <w:rFonts w:hint="eastAsia" w:ascii="仿宋" w:hAnsi="仿宋" w:eastAsia="仿宋" w:cs="仿宋"/>
          <w:vertAlign w:val="superscript"/>
        </w:rPr>
        <w:t>3</w:t>
      </w:r>
      <w:r>
        <w:rPr>
          <w:rFonts w:hint="eastAsia" w:ascii="仿宋" w:hAnsi="仿宋" w:eastAsia="仿宋" w:cs="仿宋"/>
        </w:rPr>
        <w:t>）</w:t>
      </w:r>
      <w:r>
        <w:rPr>
          <w:rFonts w:hint="eastAsia" w:ascii="仿宋" w:hAnsi="仿宋" w:eastAsia="仿宋" w:cs="仿宋"/>
          <w:szCs w:val="28"/>
        </w:rPr>
        <w:t>×40（元/m</w:t>
      </w:r>
      <w:r>
        <w:rPr>
          <w:rFonts w:hint="eastAsia" w:ascii="仿宋" w:hAnsi="仿宋" w:eastAsia="仿宋" w:cs="仿宋"/>
          <w:szCs w:val="28"/>
          <w:vertAlign w:val="superscript"/>
        </w:rPr>
        <w:t>3</w:t>
      </w:r>
      <w:r>
        <w:rPr>
          <w:rFonts w:hint="eastAsia" w:ascii="仿宋" w:hAnsi="仿宋" w:eastAsia="仿宋" w:cs="仿宋"/>
          <w:szCs w:val="28"/>
        </w:rPr>
        <w:t>）×（1-10%）</w:t>
      </w:r>
    </w:p>
    <w:p>
      <w:pPr>
        <w:ind w:firstLine="3360" w:firstLineChars="1200"/>
        <w:jc w:val="left"/>
        <w:rPr>
          <w:rFonts w:hint="eastAsia" w:ascii="仿宋" w:hAnsi="仿宋" w:eastAsia="仿宋" w:cs="仿宋"/>
          <w:szCs w:val="28"/>
        </w:rPr>
      </w:pPr>
      <w:r>
        <w:rPr>
          <w:rFonts w:hint="eastAsia" w:ascii="仿宋" w:hAnsi="仿宋" w:eastAsia="仿宋" w:cs="仿宋"/>
          <w:szCs w:val="28"/>
        </w:rPr>
        <w:t>＝442875（元）</w:t>
      </w:r>
    </w:p>
    <w:p>
      <w:pPr>
        <w:ind w:firstLine="560"/>
        <w:rPr>
          <w:rFonts w:hint="eastAsia" w:ascii="仿宋" w:hAnsi="仿宋" w:eastAsia="仿宋" w:cs="仿宋"/>
        </w:rPr>
      </w:pPr>
      <w:r>
        <w:rPr>
          <w:rFonts w:hint="eastAsia" w:ascii="仿宋" w:hAnsi="仿宋" w:eastAsia="仿宋" w:cs="仿宋"/>
        </w:rPr>
        <w:t>计算评估利用开挖区资源所对应的处置价值为442875元，折算至单位晶玻屑凝灰岩矿平均处置价格为36.00元/m</w:t>
      </w:r>
      <w:r>
        <w:rPr>
          <w:rFonts w:hint="eastAsia" w:ascii="仿宋" w:hAnsi="仿宋" w:eastAsia="仿宋" w:cs="仿宋"/>
          <w:vertAlign w:val="superscript"/>
        </w:rPr>
        <w:t>3</w:t>
      </w:r>
      <w:r>
        <w:rPr>
          <w:rFonts w:hint="eastAsia" w:ascii="仿宋" w:hAnsi="仿宋" w:eastAsia="仿宋" w:cs="仿宋"/>
        </w:rPr>
        <w:t>（442875÷12302.08）。</w:t>
      </w:r>
      <w:bookmarkStart w:id="29" w:name="_Toc214942516"/>
      <w:bookmarkStart w:id="30" w:name="_Toc239775477"/>
      <w:bookmarkStart w:id="31" w:name="_Toc187815799"/>
      <w:bookmarkStart w:id="32" w:name="_Toc210237925"/>
      <w:bookmarkStart w:id="33" w:name="_Toc187815557"/>
    </w:p>
    <w:bookmarkEnd w:id="29"/>
    <w:bookmarkEnd w:id="30"/>
    <w:bookmarkEnd w:id="31"/>
    <w:bookmarkEnd w:id="32"/>
    <w:bookmarkEnd w:id="33"/>
    <w:p>
      <w:pPr>
        <w:autoSpaceDE w:val="0"/>
        <w:autoSpaceDN w:val="0"/>
        <w:adjustRightInd w:val="0"/>
        <w:ind w:firstLine="0" w:firstLineChars="0"/>
        <w:jc w:val="left"/>
        <w:rPr>
          <w:rFonts w:hint="eastAsia" w:ascii="仿宋" w:hAnsi="仿宋" w:eastAsia="仿宋" w:cs="仿宋"/>
          <w:b/>
          <w:szCs w:val="28"/>
        </w:rPr>
      </w:pPr>
      <w:bookmarkStart w:id="34" w:name="_Toc11517"/>
      <w:r>
        <w:rPr>
          <w:rFonts w:hint="eastAsia" w:ascii="仿宋" w:hAnsi="仿宋" w:eastAsia="仿宋" w:cs="仿宋"/>
          <w:b/>
          <w:szCs w:val="28"/>
        </w:rPr>
        <w:t>九、价格</w:t>
      </w:r>
      <w:r>
        <w:rPr>
          <w:rFonts w:hint="eastAsia" w:ascii="仿宋" w:hAnsi="仿宋" w:eastAsia="仿宋" w:cs="仿宋"/>
          <w:b/>
          <w:kern w:val="0"/>
          <w:szCs w:val="28"/>
        </w:rPr>
        <w:t>评估</w:t>
      </w:r>
      <w:r>
        <w:rPr>
          <w:rFonts w:hint="eastAsia" w:ascii="仿宋" w:hAnsi="仿宋" w:eastAsia="仿宋" w:cs="仿宋"/>
          <w:b/>
          <w:szCs w:val="28"/>
        </w:rPr>
        <w:t>结论</w:t>
      </w:r>
      <w:bookmarkEnd w:id="34"/>
      <w:r>
        <w:rPr>
          <w:rFonts w:hint="eastAsia" w:ascii="仿宋" w:hAnsi="仿宋" w:eastAsia="仿宋" w:cs="仿宋"/>
          <w:b/>
          <w:szCs w:val="28"/>
        </w:rPr>
        <w:t>：</w:t>
      </w:r>
    </w:p>
    <w:p>
      <w:pPr>
        <w:pStyle w:val="2"/>
        <w:spacing w:line="360" w:lineRule="auto"/>
        <w:ind w:firstLineChars="0"/>
        <w:rPr>
          <w:rFonts w:hint="eastAsia" w:ascii="仿宋" w:hAnsi="仿宋" w:eastAsia="仿宋" w:cs="仿宋"/>
          <w:szCs w:val="28"/>
        </w:rPr>
      </w:pPr>
      <w:r>
        <w:rPr>
          <w:rFonts w:hint="eastAsia" w:ascii="仿宋" w:hAnsi="仿宋" w:eastAsia="仿宋" w:cs="仿宋"/>
        </w:rPr>
        <w:t>义乌市苏溪镇东青村旧改区块部分农户地下室开挖石方资源</w:t>
      </w:r>
      <w:r>
        <w:rPr>
          <w:rFonts w:hint="eastAsia" w:ascii="仿宋" w:hAnsi="仿宋" w:eastAsia="仿宋" w:cs="仿宋"/>
          <w:spacing w:val="12"/>
          <w:szCs w:val="28"/>
        </w:rPr>
        <w:t>在评估基准日（二〇二一年八月二十日）的</w:t>
      </w:r>
      <w:r>
        <w:rPr>
          <w:rFonts w:hint="eastAsia" w:ascii="仿宋" w:hAnsi="仿宋" w:eastAsia="仿宋" w:cs="仿宋"/>
          <w:szCs w:val="28"/>
        </w:rPr>
        <w:t>评估结果为</w:t>
      </w:r>
      <w:r>
        <w:rPr>
          <w:rFonts w:hint="eastAsia" w:ascii="仿宋" w:hAnsi="仿宋" w:eastAsia="仿宋" w:cs="仿宋"/>
          <w:b/>
          <w:bCs/>
          <w:szCs w:val="28"/>
        </w:rPr>
        <w:t>442875元</w:t>
      </w:r>
      <w:r>
        <w:rPr>
          <w:rFonts w:hint="eastAsia" w:ascii="仿宋" w:hAnsi="仿宋" w:eastAsia="仿宋" w:cs="仿宋"/>
          <w:bCs/>
          <w:szCs w:val="28"/>
        </w:rPr>
        <w:t>，</w:t>
      </w:r>
      <w:r>
        <w:rPr>
          <w:rFonts w:hint="eastAsia" w:ascii="仿宋" w:hAnsi="仿宋" w:eastAsia="仿宋" w:cs="仿宋"/>
          <w:szCs w:val="28"/>
        </w:rPr>
        <w:t>大写人民币</w:t>
      </w:r>
      <w:r>
        <w:rPr>
          <w:rFonts w:hint="eastAsia" w:ascii="仿宋" w:hAnsi="仿宋" w:eastAsia="仿宋" w:cs="仿宋"/>
          <w:b/>
          <w:bCs/>
          <w:szCs w:val="28"/>
        </w:rPr>
        <w:t>肆拾肆万贰仟捌佰柒拾伍元整</w:t>
      </w:r>
      <w:r>
        <w:rPr>
          <w:rFonts w:hint="eastAsia" w:ascii="仿宋" w:hAnsi="仿宋" w:eastAsia="仿宋" w:cs="仿宋"/>
          <w:szCs w:val="28"/>
        </w:rPr>
        <w:t>。折算至资源平均单位评估结果为</w:t>
      </w:r>
      <w:r>
        <w:rPr>
          <w:rFonts w:hint="eastAsia" w:ascii="仿宋" w:hAnsi="仿宋" w:eastAsia="仿宋" w:cs="仿宋"/>
          <w:b/>
          <w:szCs w:val="28"/>
        </w:rPr>
        <w:t>36元/m</w:t>
      </w:r>
      <w:r>
        <w:rPr>
          <w:rFonts w:hint="eastAsia" w:ascii="仿宋" w:hAnsi="仿宋" w:eastAsia="仿宋" w:cs="仿宋"/>
          <w:b/>
          <w:szCs w:val="28"/>
          <w:vertAlign w:val="superscript"/>
        </w:rPr>
        <w:t>3</w:t>
      </w:r>
      <w:r>
        <w:rPr>
          <w:rFonts w:hint="eastAsia" w:ascii="仿宋" w:hAnsi="仿宋" w:eastAsia="仿宋" w:cs="仿宋"/>
        </w:rPr>
        <w:t>（442875÷12302.08）</w:t>
      </w:r>
      <w:r>
        <w:rPr>
          <w:rFonts w:hint="eastAsia" w:ascii="仿宋" w:hAnsi="仿宋" w:eastAsia="仿宋" w:cs="仿宋"/>
          <w:szCs w:val="28"/>
        </w:rPr>
        <w:t>。</w:t>
      </w:r>
    </w:p>
    <w:p>
      <w:pPr>
        <w:autoSpaceDE w:val="0"/>
        <w:autoSpaceDN w:val="0"/>
        <w:adjustRightInd w:val="0"/>
        <w:ind w:firstLine="0" w:firstLineChars="0"/>
        <w:jc w:val="left"/>
        <w:rPr>
          <w:rFonts w:hint="eastAsia" w:ascii="仿宋" w:hAnsi="仿宋" w:eastAsia="仿宋" w:cs="仿宋"/>
          <w:b/>
          <w:szCs w:val="28"/>
        </w:rPr>
      </w:pPr>
      <w:bookmarkStart w:id="35" w:name="_Toc20815"/>
      <w:r>
        <w:rPr>
          <w:rFonts w:hint="eastAsia" w:ascii="仿宋" w:hAnsi="仿宋" w:eastAsia="仿宋" w:cs="仿宋"/>
          <w:b/>
          <w:szCs w:val="28"/>
        </w:rPr>
        <w:t>十、价格评估限定条件</w:t>
      </w:r>
      <w:bookmarkEnd w:id="35"/>
      <w:r>
        <w:rPr>
          <w:rFonts w:hint="eastAsia" w:ascii="仿宋" w:hAnsi="仿宋" w:eastAsia="仿宋" w:cs="仿宋"/>
          <w:b/>
          <w:szCs w:val="28"/>
        </w:rPr>
        <w:t>：</w:t>
      </w:r>
    </w:p>
    <w:p>
      <w:pPr>
        <w:ind w:firstLine="560"/>
        <w:rPr>
          <w:rFonts w:hint="eastAsia" w:ascii="仿宋" w:hAnsi="仿宋" w:eastAsia="仿宋" w:cs="仿宋"/>
        </w:rPr>
      </w:pPr>
      <w:r>
        <w:rPr>
          <w:rFonts w:hint="eastAsia" w:ascii="仿宋" w:hAnsi="仿宋" w:eastAsia="仿宋" w:cs="仿宋"/>
        </w:rPr>
        <w:t>1、委托方提供的资料客观真实；</w:t>
      </w:r>
    </w:p>
    <w:p>
      <w:pPr>
        <w:ind w:firstLine="560"/>
        <w:rPr>
          <w:rFonts w:hint="eastAsia" w:ascii="仿宋" w:hAnsi="仿宋" w:eastAsia="仿宋" w:cs="仿宋"/>
        </w:rPr>
      </w:pPr>
      <w:r>
        <w:rPr>
          <w:rFonts w:hint="eastAsia" w:ascii="仿宋" w:hAnsi="仿宋" w:eastAsia="仿宋" w:cs="仿宋"/>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ind w:firstLine="560"/>
        <w:rPr>
          <w:rFonts w:hint="eastAsia" w:ascii="仿宋" w:hAnsi="仿宋" w:eastAsia="仿宋" w:cs="仿宋"/>
        </w:rPr>
      </w:pPr>
      <w:r>
        <w:rPr>
          <w:rFonts w:hint="eastAsia" w:ascii="仿宋" w:hAnsi="仿宋" w:eastAsia="仿宋" w:cs="仿宋"/>
        </w:rPr>
        <w:t>3、评估结论仅为委托方办理矿产业务提供价格参考，如果改变评估目的或用于其他用途对委托方造成的损失，我公司不承担任何责任；</w:t>
      </w:r>
    </w:p>
    <w:p>
      <w:pPr>
        <w:ind w:firstLine="560"/>
        <w:rPr>
          <w:rFonts w:hint="eastAsia" w:ascii="仿宋" w:hAnsi="仿宋" w:eastAsia="仿宋" w:cs="仿宋"/>
        </w:rPr>
      </w:pPr>
      <w:r>
        <w:rPr>
          <w:rFonts w:hint="eastAsia" w:ascii="仿宋" w:hAnsi="仿宋" w:eastAsia="仿宋" w:cs="仿宋"/>
        </w:rPr>
        <w:t>4、评估结论采用公开市场价值标准，公开市场价值满足下列条件：</w:t>
      </w:r>
    </w:p>
    <w:p>
      <w:pPr>
        <w:ind w:firstLine="560"/>
        <w:rPr>
          <w:rFonts w:hint="eastAsia" w:ascii="仿宋" w:hAnsi="仿宋" w:eastAsia="仿宋" w:cs="仿宋"/>
        </w:rPr>
      </w:pPr>
      <w:r>
        <w:rPr>
          <w:rFonts w:hint="eastAsia" w:ascii="仿宋" w:hAnsi="仿宋" w:eastAsia="仿宋" w:cs="仿宋"/>
        </w:rPr>
        <w:t>1）交易双方是自愿地进行交易；</w:t>
      </w:r>
    </w:p>
    <w:p>
      <w:pPr>
        <w:ind w:firstLine="560"/>
        <w:rPr>
          <w:rFonts w:hint="eastAsia" w:ascii="仿宋" w:hAnsi="仿宋" w:eastAsia="仿宋" w:cs="仿宋"/>
        </w:rPr>
      </w:pPr>
      <w:r>
        <w:rPr>
          <w:rFonts w:hint="eastAsia" w:ascii="仿宋" w:hAnsi="仿宋" w:eastAsia="仿宋" w:cs="仿宋"/>
        </w:rPr>
        <w:t>2）交易双方进行交易的目的是追求各自最大的利益；</w:t>
      </w:r>
    </w:p>
    <w:p>
      <w:pPr>
        <w:ind w:firstLine="560"/>
        <w:rPr>
          <w:rFonts w:hint="eastAsia" w:ascii="仿宋" w:hAnsi="仿宋" w:eastAsia="仿宋" w:cs="仿宋"/>
        </w:rPr>
      </w:pPr>
      <w:r>
        <w:rPr>
          <w:rFonts w:hint="eastAsia" w:ascii="仿宋" w:hAnsi="仿宋" w:eastAsia="仿宋" w:cs="仿宋"/>
        </w:rPr>
        <w:t>3）交易双方是理性而谨慎的，并且了解交易对象、知晓市场行情；</w:t>
      </w:r>
    </w:p>
    <w:p>
      <w:pPr>
        <w:ind w:firstLine="560"/>
        <w:rPr>
          <w:rFonts w:hint="eastAsia" w:ascii="仿宋" w:hAnsi="仿宋" w:eastAsia="仿宋" w:cs="仿宋"/>
        </w:rPr>
      </w:pPr>
      <w:r>
        <w:rPr>
          <w:rFonts w:hint="eastAsia" w:ascii="仿宋" w:hAnsi="仿宋" w:eastAsia="仿宋" w:cs="仿宋"/>
        </w:rPr>
        <w:t>4）交易双方有充裕的时间进行交易；</w:t>
      </w:r>
    </w:p>
    <w:p>
      <w:pPr>
        <w:ind w:firstLine="560"/>
        <w:rPr>
          <w:rFonts w:hint="eastAsia" w:ascii="仿宋" w:hAnsi="仿宋" w:eastAsia="仿宋" w:cs="仿宋"/>
        </w:rPr>
      </w:pPr>
      <w:r>
        <w:rPr>
          <w:rFonts w:hint="eastAsia" w:ascii="仿宋" w:hAnsi="仿宋" w:eastAsia="仿宋" w:cs="仿宋"/>
        </w:rPr>
        <w:t>5）不存在买者因特殊兴趣而给予附加出价；</w:t>
      </w:r>
    </w:p>
    <w:p>
      <w:pPr>
        <w:ind w:firstLine="560"/>
        <w:rPr>
          <w:rFonts w:hint="eastAsia" w:ascii="仿宋" w:hAnsi="仿宋" w:eastAsia="仿宋" w:cs="仿宋"/>
        </w:rPr>
      </w:pPr>
      <w:r>
        <w:rPr>
          <w:rFonts w:hint="eastAsia" w:ascii="仿宋" w:hAnsi="仿宋" w:eastAsia="仿宋" w:cs="仿宋"/>
        </w:rPr>
        <w:t>6）交易市场状况是公开、平等、自愿地。</w:t>
      </w:r>
    </w:p>
    <w:p>
      <w:pPr>
        <w:autoSpaceDE w:val="0"/>
        <w:autoSpaceDN w:val="0"/>
        <w:adjustRightInd w:val="0"/>
        <w:ind w:firstLine="0" w:firstLineChars="0"/>
        <w:jc w:val="left"/>
        <w:rPr>
          <w:rFonts w:hint="eastAsia" w:ascii="仿宋" w:hAnsi="仿宋" w:eastAsia="仿宋" w:cs="仿宋"/>
          <w:b/>
          <w:kern w:val="0"/>
        </w:rPr>
      </w:pPr>
      <w:bookmarkStart w:id="36" w:name="_Toc12838"/>
      <w:r>
        <w:rPr>
          <w:rFonts w:hint="eastAsia" w:ascii="仿宋" w:hAnsi="仿宋" w:eastAsia="仿宋" w:cs="仿宋"/>
          <w:b/>
          <w:kern w:val="0"/>
        </w:rPr>
        <w:t>十一、</w:t>
      </w:r>
      <w:r>
        <w:rPr>
          <w:rFonts w:hint="eastAsia" w:ascii="仿宋" w:hAnsi="仿宋" w:eastAsia="仿宋" w:cs="仿宋"/>
          <w:b/>
          <w:szCs w:val="28"/>
        </w:rPr>
        <w:t>声明</w:t>
      </w:r>
      <w:bookmarkEnd w:id="36"/>
      <w:r>
        <w:rPr>
          <w:rFonts w:hint="eastAsia" w:ascii="仿宋" w:hAnsi="仿宋" w:eastAsia="仿宋" w:cs="仿宋"/>
          <w:b/>
          <w:szCs w:val="28"/>
        </w:rPr>
        <w:t>：</w:t>
      </w:r>
    </w:p>
    <w:p>
      <w:pPr>
        <w:ind w:firstLine="560"/>
        <w:rPr>
          <w:rFonts w:hint="eastAsia" w:ascii="仿宋" w:hAnsi="仿宋" w:eastAsia="仿宋" w:cs="仿宋"/>
        </w:rPr>
      </w:pPr>
      <w:r>
        <w:rPr>
          <w:rFonts w:hint="eastAsia" w:ascii="仿宋" w:hAnsi="仿宋" w:eastAsia="仿宋" w:cs="仿宋"/>
        </w:rPr>
        <w:t>1、本次评估工程内资源量、石料岩性和质量均直接根据《估算方案》描述确定，评估不对工程内资源量、石料岩性和质量等的真实性和准确性负责；</w:t>
      </w:r>
    </w:p>
    <w:p>
      <w:pPr>
        <w:ind w:firstLine="560"/>
        <w:rPr>
          <w:rFonts w:hint="eastAsia" w:ascii="仿宋" w:hAnsi="仿宋" w:eastAsia="仿宋" w:cs="仿宋"/>
        </w:rPr>
      </w:pPr>
      <w:r>
        <w:rPr>
          <w:rFonts w:hint="eastAsia" w:ascii="仿宋" w:hAnsi="仿宋" w:eastAsia="仿宋" w:cs="仿宋"/>
        </w:rPr>
        <w:t>2、评估选取的合理利润率为当地建筑石料行业的平均合理利润率，影响合理利润率的因素较多（如受让人的技术能力、管理能力和销售能力等），故评估选取的合理利润率与工程实际利润率可能存在不一致；</w:t>
      </w:r>
    </w:p>
    <w:p>
      <w:pPr>
        <w:ind w:firstLine="560"/>
        <w:rPr>
          <w:rFonts w:hint="eastAsia" w:ascii="仿宋" w:hAnsi="仿宋" w:eastAsia="仿宋" w:cs="仿宋"/>
        </w:rPr>
      </w:pPr>
      <w:r>
        <w:rPr>
          <w:rFonts w:hint="eastAsia" w:ascii="仿宋" w:hAnsi="仿宋" w:eastAsia="仿宋" w:cs="仿宋"/>
        </w:rPr>
        <w:t>3、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ind w:firstLine="560"/>
        <w:rPr>
          <w:rFonts w:hint="eastAsia" w:ascii="仿宋" w:hAnsi="仿宋" w:eastAsia="仿宋" w:cs="仿宋"/>
        </w:rPr>
      </w:pPr>
      <w:r>
        <w:rPr>
          <w:rFonts w:hint="eastAsia" w:ascii="仿宋" w:hAnsi="仿宋" w:eastAsia="仿宋" w:cs="仿宋"/>
        </w:rPr>
        <w:t>4、价格评估结论受结论书中已说明的限定条件限制；</w:t>
      </w:r>
    </w:p>
    <w:p>
      <w:pPr>
        <w:ind w:firstLine="560"/>
        <w:rPr>
          <w:rFonts w:hint="eastAsia" w:ascii="仿宋" w:hAnsi="仿宋" w:eastAsia="仿宋" w:cs="仿宋"/>
        </w:rPr>
      </w:pPr>
      <w:r>
        <w:rPr>
          <w:rFonts w:hint="eastAsia" w:ascii="仿宋" w:hAnsi="仿宋" w:eastAsia="仿宋" w:cs="仿宋"/>
        </w:rPr>
        <w:t>5、委托方提供资料的真实性由委托方负责；</w:t>
      </w:r>
    </w:p>
    <w:p>
      <w:pPr>
        <w:ind w:firstLine="560"/>
        <w:rPr>
          <w:rFonts w:hint="eastAsia" w:ascii="仿宋" w:hAnsi="仿宋" w:eastAsia="仿宋" w:cs="仿宋"/>
        </w:rPr>
      </w:pPr>
      <w:r>
        <w:rPr>
          <w:rFonts w:hint="eastAsia" w:ascii="仿宋" w:hAnsi="仿宋" w:eastAsia="仿宋" w:cs="仿宋"/>
        </w:rPr>
        <w:t>6、价格评估结论仅对本次委托有效，不作它用。未经我公司同意，不得向委托方和有关当事人之外的任何单位和个人提供结论书的全部或部分内容，不得发表于任何公开媒体上；</w:t>
      </w:r>
    </w:p>
    <w:p>
      <w:pPr>
        <w:ind w:firstLine="560"/>
        <w:rPr>
          <w:rFonts w:hint="eastAsia" w:ascii="仿宋" w:hAnsi="仿宋" w:eastAsia="仿宋" w:cs="仿宋"/>
        </w:rPr>
      </w:pPr>
      <w:r>
        <w:rPr>
          <w:rFonts w:hint="eastAsia" w:ascii="仿宋" w:hAnsi="仿宋" w:eastAsia="仿宋" w:cs="仿宋"/>
        </w:rPr>
        <w:t>7、评估机构和评估人员与价格评估标的没有任何利害关系，也与有关当事人没有利害关系；</w:t>
      </w:r>
    </w:p>
    <w:p>
      <w:pPr>
        <w:ind w:firstLine="560"/>
        <w:rPr>
          <w:rFonts w:hint="eastAsia" w:ascii="仿宋" w:hAnsi="仿宋" w:eastAsia="仿宋" w:cs="仿宋"/>
        </w:rPr>
      </w:pPr>
      <w:r>
        <w:rPr>
          <w:rFonts w:hint="eastAsia" w:ascii="仿宋" w:hAnsi="仿宋" w:eastAsia="仿宋" w:cs="仿宋"/>
        </w:rPr>
        <w:t>8、价格结论的使用归委托方所有，我公司对价格结论有最终解释权；</w:t>
      </w:r>
    </w:p>
    <w:p>
      <w:pPr>
        <w:ind w:firstLine="560"/>
        <w:rPr>
          <w:rFonts w:hint="eastAsia" w:ascii="仿宋" w:hAnsi="仿宋" w:eastAsia="仿宋" w:cs="仿宋"/>
        </w:rPr>
      </w:pPr>
      <w:r>
        <w:rPr>
          <w:rFonts w:hint="eastAsia" w:ascii="仿宋" w:hAnsi="仿宋" w:eastAsia="仿宋" w:cs="仿宋"/>
        </w:rPr>
        <w:t>9、价格评估结论书只对盖章原件有效，复印件无法律效力。</w:t>
      </w:r>
    </w:p>
    <w:p>
      <w:pPr>
        <w:autoSpaceDE w:val="0"/>
        <w:autoSpaceDN w:val="0"/>
        <w:adjustRightInd w:val="0"/>
        <w:ind w:firstLine="0" w:firstLineChars="0"/>
        <w:jc w:val="left"/>
        <w:rPr>
          <w:rFonts w:hint="eastAsia" w:ascii="仿宋" w:hAnsi="仿宋" w:eastAsia="仿宋" w:cs="仿宋"/>
          <w:b/>
          <w:kern w:val="0"/>
        </w:rPr>
      </w:pPr>
      <w:bookmarkStart w:id="37" w:name="_Toc20720"/>
      <w:r>
        <w:rPr>
          <w:rFonts w:hint="eastAsia" w:ascii="仿宋" w:hAnsi="仿宋" w:eastAsia="仿宋" w:cs="仿宋"/>
          <w:b/>
          <w:kern w:val="0"/>
        </w:rPr>
        <w:t>十二、价格</w:t>
      </w:r>
      <w:r>
        <w:rPr>
          <w:rFonts w:hint="eastAsia" w:ascii="仿宋" w:hAnsi="仿宋" w:eastAsia="仿宋" w:cs="仿宋"/>
          <w:b/>
          <w:szCs w:val="28"/>
        </w:rPr>
        <w:t>评估</w:t>
      </w:r>
      <w:r>
        <w:rPr>
          <w:rFonts w:hint="eastAsia" w:ascii="仿宋" w:hAnsi="仿宋" w:eastAsia="仿宋" w:cs="仿宋"/>
          <w:b/>
          <w:kern w:val="0"/>
        </w:rPr>
        <w:t>作业日期</w:t>
      </w:r>
      <w:bookmarkEnd w:id="37"/>
      <w:r>
        <w:rPr>
          <w:rFonts w:hint="eastAsia" w:ascii="仿宋" w:hAnsi="仿宋" w:eastAsia="仿宋" w:cs="仿宋"/>
          <w:b/>
          <w:kern w:val="0"/>
        </w:rPr>
        <w:t>：</w:t>
      </w:r>
    </w:p>
    <w:p>
      <w:pPr>
        <w:autoSpaceDE w:val="0"/>
        <w:autoSpaceDN w:val="0"/>
        <w:adjustRightInd w:val="0"/>
        <w:ind w:firstLine="608"/>
        <w:jc w:val="left"/>
        <w:rPr>
          <w:rFonts w:hint="eastAsia" w:ascii="仿宋" w:hAnsi="仿宋" w:eastAsia="仿宋" w:cs="仿宋"/>
          <w:kern w:val="0"/>
        </w:rPr>
      </w:pPr>
      <w:r>
        <w:rPr>
          <w:rFonts w:hint="eastAsia" w:ascii="仿宋" w:hAnsi="仿宋" w:eastAsia="仿宋" w:cs="仿宋"/>
          <w:spacing w:val="12"/>
          <w:szCs w:val="28"/>
        </w:rPr>
        <w:t>二〇二一年八月十五日</w:t>
      </w:r>
      <w:r>
        <w:rPr>
          <w:rFonts w:hint="eastAsia" w:ascii="仿宋" w:hAnsi="仿宋" w:eastAsia="仿宋" w:cs="仿宋"/>
          <w:kern w:val="0"/>
        </w:rPr>
        <w:t>至二</w:t>
      </w:r>
      <w:r>
        <w:rPr>
          <w:rFonts w:hint="eastAsia" w:ascii="仿宋" w:hAnsi="仿宋" w:eastAsia="仿宋" w:cs="仿宋"/>
          <w:spacing w:val="12"/>
          <w:szCs w:val="28"/>
        </w:rPr>
        <w:t>〇</w:t>
      </w:r>
      <w:r>
        <w:rPr>
          <w:rFonts w:hint="eastAsia" w:ascii="仿宋" w:hAnsi="仿宋" w:eastAsia="仿宋" w:cs="仿宋"/>
          <w:kern w:val="0"/>
        </w:rPr>
        <w:t>二一年八</w:t>
      </w:r>
      <w:r>
        <w:rPr>
          <w:rFonts w:hint="eastAsia" w:ascii="仿宋" w:hAnsi="仿宋" w:eastAsia="仿宋" w:cs="仿宋"/>
          <w:spacing w:val="1"/>
          <w:kern w:val="0"/>
        </w:rPr>
        <w:t>月二十日。</w:t>
      </w:r>
    </w:p>
    <w:p>
      <w:pPr>
        <w:autoSpaceDE w:val="0"/>
        <w:autoSpaceDN w:val="0"/>
        <w:adjustRightInd w:val="0"/>
        <w:ind w:firstLine="0" w:firstLineChars="0"/>
        <w:jc w:val="left"/>
        <w:rPr>
          <w:rFonts w:hint="eastAsia" w:ascii="仿宋" w:hAnsi="仿宋" w:eastAsia="仿宋" w:cs="仿宋"/>
          <w:b/>
          <w:kern w:val="0"/>
        </w:rPr>
      </w:pPr>
      <w:bookmarkStart w:id="38" w:name="_Toc28821"/>
      <w:r>
        <w:rPr>
          <w:rFonts w:hint="eastAsia" w:ascii="仿宋" w:hAnsi="仿宋" w:eastAsia="仿宋" w:cs="仿宋"/>
          <w:b/>
          <w:kern w:val="0"/>
        </w:rPr>
        <w:t>十三、价格评估机构</w:t>
      </w:r>
      <w:bookmarkEnd w:id="38"/>
      <w:r>
        <w:rPr>
          <w:rFonts w:hint="eastAsia" w:ascii="仿宋" w:hAnsi="仿宋" w:eastAsia="仿宋" w:cs="仿宋"/>
          <w:b/>
          <w:kern w:val="0"/>
        </w:rPr>
        <w:t>：</w:t>
      </w:r>
    </w:p>
    <w:p>
      <w:pPr>
        <w:snapToGrid w:val="0"/>
        <w:ind w:firstLine="560"/>
        <w:rPr>
          <w:rFonts w:hint="eastAsia" w:ascii="仿宋" w:hAnsi="仿宋" w:eastAsia="仿宋" w:cs="仿宋"/>
        </w:rPr>
      </w:pPr>
      <w:bookmarkStart w:id="39" w:name="_Toc7630"/>
      <w:r>
        <w:rPr>
          <w:rFonts w:hint="eastAsia" w:ascii="仿宋" w:hAnsi="仿宋" w:eastAsia="仿宋" w:cs="仿宋"/>
          <w:szCs w:val="28"/>
        </w:rPr>
        <w:t>评估机构名称：浙江矿评房地产资产评估有限公司；</w:t>
      </w:r>
    </w:p>
    <w:p>
      <w:pPr>
        <w:autoSpaceDE w:val="0"/>
        <w:autoSpaceDN w:val="0"/>
        <w:adjustRightInd w:val="0"/>
        <w:snapToGrid w:val="0"/>
        <w:ind w:right="34" w:rightChars="12" w:firstLine="560"/>
        <w:jc w:val="left"/>
        <w:rPr>
          <w:rFonts w:hint="eastAsia" w:ascii="仿宋" w:hAnsi="仿宋" w:eastAsia="仿宋" w:cs="仿宋"/>
          <w:szCs w:val="28"/>
        </w:rPr>
      </w:pPr>
      <w:r>
        <w:rPr>
          <w:rFonts w:hint="eastAsia" w:ascii="仿宋" w:hAnsi="仿宋" w:eastAsia="仿宋" w:cs="仿宋"/>
          <w:szCs w:val="28"/>
        </w:rPr>
        <w:t>机构类别：综合涉诉讼类；</w:t>
      </w:r>
    </w:p>
    <w:p>
      <w:pPr>
        <w:autoSpaceDE w:val="0"/>
        <w:autoSpaceDN w:val="0"/>
        <w:adjustRightInd w:val="0"/>
        <w:snapToGrid w:val="0"/>
        <w:ind w:right="34" w:rightChars="12" w:firstLine="560"/>
        <w:jc w:val="left"/>
        <w:rPr>
          <w:rFonts w:hint="eastAsia" w:ascii="仿宋" w:hAnsi="仿宋" w:eastAsia="仿宋" w:cs="仿宋"/>
          <w:szCs w:val="28"/>
        </w:rPr>
      </w:pPr>
      <w:r>
        <w:rPr>
          <w:rFonts w:hint="eastAsia" w:ascii="仿宋" w:hAnsi="仿宋" w:eastAsia="仿宋" w:cs="仿宋"/>
          <w:szCs w:val="28"/>
        </w:rPr>
        <w:t>证书编号：中J110029；</w:t>
      </w:r>
    </w:p>
    <w:p>
      <w:pPr>
        <w:autoSpaceDE w:val="0"/>
        <w:autoSpaceDN w:val="0"/>
        <w:adjustRightInd w:val="0"/>
        <w:snapToGrid w:val="0"/>
        <w:ind w:right="34" w:rightChars="12" w:firstLine="560"/>
        <w:jc w:val="left"/>
        <w:rPr>
          <w:rFonts w:hint="eastAsia" w:ascii="仿宋" w:hAnsi="仿宋" w:eastAsia="仿宋" w:cs="仿宋"/>
          <w:szCs w:val="28"/>
        </w:rPr>
      </w:pPr>
      <w:r>
        <w:rPr>
          <w:rFonts w:hint="eastAsia" w:ascii="仿宋" w:hAnsi="仿宋" w:eastAsia="仿宋" w:cs="仿宋"/>
          <w:szCs w:val="28"/>
        </w:rPr>
        <w:t>总经理：郦  晟；</w:t>
      </w:r>
    </w:p>
    <w:p>
      <w:pPr>
        <w:adjustRightInd w:val="0"/>
        <w:snapToGrid w:val="0"/>
        <w:ind w:firstLine="560"/>
        <w:rPr>
          <w:rFonts w:hint="eastAsia" w:ascii="仿宋" w:hAnsi="仿宋" w:eastAsia="仿宋" w:cs="仿宋"/>
          <w:szCs w:val="28"/>
        </w:rPr>
      </w:pPr>
      <w:r>
        <w:rPr>
          <w:rFonts w:hint="eastAsia" w:ascii="仿宋" w:hAnsi="仿宋" w:eastAsia="仿宋" w:cs="仿宋"/>
          <w:szCs w:val="28"/>
        </w:rPr>
        <w:t>联系电话：13805748746；</w:t>
      </w:r>
    </w:p>
    <w:p>
      <w:pPr>
        <w:autoSpaceDE w:val="0"/>
        <w:autoSpaceDN w:val="0"/>
        <w:adjustRightInd w:val="0"/>
        <w:snapToGrid w:val="0"/>
        <w:ind w:right="34" w:rightChars="12" w:firstLine="560"/>
        <w:jc w:val="left"/>
        <w:rPr>
          <w:rFonts w:hint="eastAsia" w:ascii="仿宋" w:hAnsi="仿宋" w:eastAsia="仿宋" w:cs="仿宋"/>
          <w:szCs w:val="28"/>
        </w:rPr>
      </w:pPr>
      <w:r>
        <w:rPr>
          <w:rFonts w:hint="eastAsia" w:ascii="仿宋" w:hAnsi="仿宋" w:eastAsia="仿宋" w:cs="仿宋"/>
          <w:szCs w:val="28"/>
        </w:rPr>
        <w:t>统一社会信用代码：91330102MA2B2BUN01；</w:t>
      </w:r>
    </w:p>
    <w:p>
      <w:pPr>
        <w:autoSpaceDE w:val="0"/>
        <w:autoSpaceDN w:val="0"/>
        <w:adjustRightInd w:val="0"/>
        <w:snapToGrid w:val="0"/>
        <w:ind w:right="34" w:rightChars="12" w:firstLine="560"/>
        <w:jc w:val="left"/>
        <w:rPr>
          <w:rFonts w:hint="eastAsia" w:ascii="仿宋" w:hAnsi="仿宋" w:eastAsia="仿宋" w:cs="仿宋"/>
          <w:szCs w:val="28"/>
        </w:rPr>
      </w:pPr>
      <w:r>
        <w:rPr>
          <w:rFonts w:hint="eastAsia" w:ascii="仿宋" w:hAnsi="仿宋" w:eastAsia="仿宋" w:cs="仿宋"/>
          <w:szCs w:val="28"/>
        </w:rPr>
        <w:t>机构地址：浙江省杭州市拱墅区莫干山路972号10幢7层705室；</w:t>
      </w:r>
    </w:p>
    <w:p>
      <w:pPr>
        <w:snapToGrid w:val="0"/>
        <w:ind w:firstLine="560"/>
        <w:rPr>
          <w:rFonts w:hint="eastAsia" w:ascii="仿宋" w:hAnsi="仿宋" w:eastAsia="仿宋" w:cs="仿宋"/>
          <w:szCs w:val="28"/>
        </w:rPr>
      </w:pPr>
      <w:r>
        <w:rPr>
          <w:rFonts w:hint="eastAsia" w:ascii="仿宋" w:hAnsi="仿宋" w:eastAsia="仿宋" w:cs="仿宋"/>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autoSpaceDE w:val="0"/>
        <w:autoSpaceDN w:val="0"/>
        <w:adjustRightInd w:val="0"/>
        <w:ind w:firstLine="0" w:firstLineChars="0"/>
        <w:jc w:val="left"/>
        <w:rPr>
          <w:rFonts w:hint="eastAsia" w:ascii="仿宋" w:hAnsi="仿宋" w:eastAsia="仿宋" w:cs="仿宋"/>
          <w:b/>
          <w:kern w:val="0"/>
        </w:rPr>
      </w:pPr>
      <w:r>
        <w:rPr>
          <w:rFonts w:hint="eastAsia" w:ascii="仿宋" w:hAnsi="仿宋" w:eastAsia="仿宋" w:cs="仿宋"/>
          <w:b/>
          <w:kern w:val="0"/>
        </w:rPr>
        <w:t>十四、价格评估人员</w:t>
      </w:r>
      <w:bookmarkEnd w:id="39"/>
      <w:r>
        <w:rPr>
          <w:rFonts w:hint="eastAsia" w:ascii="仿宋" w:hAnsi="仿宋" w:eastAsia="仿宋" w:cs="仿宋"/>
          <w:b/>
          <w:kern w:val="0"/>
        </w:rPr>
        <w:t>：</w:t>
      </w:r>
    </w:p>
    <w:p>
      <w:pPr>
        <w:ind w:right="34" w:rightChars="12" w:firstLine="600"/>
        <w:rPr>
          <w:rFonts w:hint="eastAsia" w:ascii="仿宋" w:hAnsi="仿宋" w:eastAsia="仿宋" w:cs="仿宋"/>
          <w:spacing w:val="10"/>
          <w:szCs w:val="28"/>
        </w:rPr>
      </w:pPr>
      <w:r>
        <w:rPr>
          <w:rFonts w:hint="eastAsia" w:ascii="仿宋" w:hAnsi="仿宋" w:eastAsia="仿宋" w:cs="仿宋"/>
          <w:spacing w:val="10"/>
          <w:szCs w:val="28"/>
        </w:rPr>
        <w:t>姓名          执业资格名称         资格证号盖章</w:t>
      </w:r>
    </w:p>
    <w:p>
      <w:pPr>
        <w:ind w:right="34" w:rightChars="12" w:firstLine="600"/>
        <w:rPr>
          <w:rFonts w:hint="eastAsia" w:ascii="仿宋" w:hAnsi="仿宋" w:eastAsia="仿宋" w:cs="仿宋"/>
          <w:spacing w:val="10"/>
          <w:szCs w:val="28"/>
        </w:rPr>
      </w:pPr>
    </w:p>
    <w:p>
      <w:pPr>
        <w:ind w:firstLine="600"/>
        <w:rPr>
          <w:rFonts w:hint="eastAsia" w:ascii="仿宋" w:hAnsi="仿宋" w:eastAsia="仿宋" w:cs="仿宋"/>
          <w:spacing w:val="10"/>
          <w:szCs w:val="28"/>
        </w:rPr>
      </w:pPr>
      <w:r>
        <w:rPr>
          <w:rFonts w:hint="eastAsia" w:ascii="仿宋" w:hAnsi="仿宋" w:eastAsia="仿宋" w:cs="仿宋"/>
          <w:spacing w:val="10"/>
          <w:szCs w:val="28"/>
        </w:rPr>
        <w:t>刘彦军         价格鉴证师            0014243</w:t>
      </w:r>
    </w:p>
    <w:p>
      <w:pPr>
        <w:ind w:right="1459" w:rightChars="521" w:firstLine="600"/>
        <w:rPr>
          <w:rFonts w:hint="eastAsia" w:ascii="仿宋" w:hAnsi="仿宋" w:eastAsia="仿宋" w:cs="仿宋"/>
          <w:spacing w:val="10"/>
          <w:szCs w:val="28"/>
        </w:rPr>
      </w:pPr>
    </w:p>
    <w:p>
      <w:pPr>
        <w:autoSpaceDE w:val="0"/>
        <w:autoSpaceDN w:val="0"/>
        <w:adjustRightInd w:val="0"/>
        <w:ind w:firstLine="600"/>
        <w:jc w:val="left"/>
        <w:rPr>
          <w:rFonts w:hint="eastAsia" w:ascii="仿宋" w:hAnsi="仿宋" w:eastAsia="仿宋" w:cs="仿宋"/>
          <w:spacing w:val="10"/>
          <w:szCs w:val="28"/>
        </w:rPr>
      </w:pPr>
      <w:r>
        <w:rPr>
          <w:rFonts w:hint="eastAsia" w:ascii="仿宋" w:hAnsi="仿宋" w:eastAsia="仿宋" w:cs="仿宋"/>
          <w:spacing w:val="10"/>
          <w:szCs w:val="28"/>
        </w:rPr>
        <w:t xml:space="preserve">王秀英         价格鉴证师            0012387 </w:t>
      </w:r>
    </w:p>
    <w:p>
      <w:pPr>
        <w:autoSpaceDE w:val="0"/>
        <w:autoSpaceDN w:val="0"/>
        <w:adjustRightInd w:val="0"/>
        <w:ind w:firstLine="562"/>
        <w:jc w:val="left"/>
        <w:rPr>
          <w:rFonts w:hint="eastAsia" w:ascii="仿宋" w:hAnsi="仿宋" w:eastAsia="仿宋" w:cs="仿宋"/>
          <w:b/>
        </w:rPr>
      </w:pPr>
    </w:p>
    <w:p>
      <w:pPr>
        <w:autoSpaceDE w:val="0"/>
        <w:autoSpaceDN w:val="0"/>
        <w:adjustRightInd w:val="0"/>
        <w:ind w:firstLine="0" w:firstLineChars="0"/>
        <w:jc w:val="left"/>
        <w:rPr>
          <w:rFonts w:hint="eastAsia" w:ascii="仿宋" w:hAnsi="仿宋" w:eastAsia="仿宋" w:cs="仿宋"/>
          <w:kern w:val="0"/>
          <w:szCs w:val="28"/>
        </w:rPr>
      </w:pPr>
      <w:bookmarkStart w:id="40" w:name="_Toc12568"/>
      <w:r>
        <w:rPr>
          <w:rFonts w:hint="eastAsia" w:ascii="仿宋" w:hAnsi="仿宋" w:eastAsia="仿宋" w:cs="仿宋"/>
          <w:b/>
          <w:szCs w:val="28"/>
        </w:rPr>
        <w:t>十五、</w:t>
      </w:r>
      <w:r>
        <w:rPr>
          <w:rFonts w:hint="eastAsia" w:ascii="仿宋" w:hAnsi="仿宋" w:eastAsia="仿宋" w:cs="仿宋"/>
          <w:b/>
          <w:kern w:val="0"/>
        </w:rPr>
        <w:t>价格</w:t>
      </w:r>
      <w:r>
        <w:rPr>
          <w:rFonts w:hint="eastAsia" w:ascii="仿宋" w:hAnsi="仿宋" w:eastAsia="仿宋" w:cs="仿宋"/>
          <w:b/>
          <w:szCs w:val="28"/>
        </w:rPr>
        <w:t>评估</w:t>
      </w:r>
      <w:r>
        <w:rPr>
          <w:rFonts w:hint="eastAsia" w:ascii="仿宋" w:hAnsi="仿宋" w:eastAsia="仿宋" w:cs="仿宋"/>
          <w:b/>
          <w:kern w:val="0"/>
        </w:rPr>
        <w:t>结</w:t>
      </w:r>
      <w:r>
        <w:rPr>
          <w:rFonts w:hint="eastAsia" w:ascii="仿宋" w:hAnsi="仿宋" w:eastAsia="仿宋" w:cs="仿宋"/>
          <w:b/>
          <w:szCs w:val="28"/>
        </w:rPr>
        <w:t>论书</w:t>
      </w:r>
      <w:r>
        <w:rPr>
          <w:rFonts w:hint="eastAsia" w:ascii="仿宋" w:hAnsi="仿宋" w:eastAsia="仿宋" w:cs="仿宋"/>
          <w:b/>
          <w:kern w:val="0"/>
        </w:rPr>
        <w:t>有效期</w:t>
      </w:r>
      <w:bookmarkEnd w:id="40"/>
      <w:r>
        <w:rPr>
          <w:rFonts w:hint="eastAsia" w:ascii="仿宋" w:hAnsi="仿宋" w:eastAsia="仿宋" w:cs="仿宋"/>
          <w:b/>
          <w:kern w:val="0"/>
        </w:rPr>
        <w:t>：</w:t>
      </w:r>
    </w:p>
    <w:p>
      <w:pPr>
        <w:autoSpaceDE w:val="0"/>
        <w:autoSpaceDN w:val="0"/>
        <w:adjustRightInd w:val="0"/>
        <w:ind w:right="-445" w:rightChars="-159" w:firstLine="358" w:firstLineChars="128"/>
        <w:jc w:val="left"/>
        <w:rPr>
          <w:rFonts w:hint="eastAsia" w:ascii="仿宋" w:hAnsi="仿宋" w:eastAsia="仿宋" w:cs="仿宋"/>
          <w:szCs w:val="28"/>
        </w:rPr>
      </w:pPr>
      <w:r>
        <w:rPr>
          <w:rFonts w:hint="eastAsia" w:ascii="仿宋" w:hAnsi="仿宋" w:eastAsia="仿宋" w:cs="仿宋"/>
          <w:szCs w:val="28"/>
        </w:rPr>
        <w:t>有效期为壹年，自</w:t>
      </w:r>
      <w:r>
        <w:rPr>
          <w:rFonts w:hint="eastAsia" w:ascii="仿宋" w:hAnsi="仿宋" w:eastAsia="仿宋" w:cs="仿宋"/>
          <w:kern w:val="0"/>
          <w:szCs w:val="28"/>
        </w:rPr>
        <w:t>二</w:t>
      </w:r>
      <w:r>
        <w:rPr>
          <w:rFonts w:hint="eastAsia" w:ascii="仿宋" w:hAnsi="仿宋" w:eastAsia="仿宋" w:cs="仿宋"/>
          <w:spacing w:val="12"/>
          <w:szCs w:val="28"/>
        </w:rPr>
        <w:t>〇</w:t>
      </w:r>
      <w:r>
        <w:rPr>
          <w:rFonts w:hint="eastAsia" w:ascii="仿宋" w:hAnsi="仿宋" w:eastAsia="仿宋" w:cs="仿宋"/>
          <w:kern w:val="0"/>
          <w:szCs w:val="28"/>
        </w:rPr>
        <w:t>二一</w:t>
      </w:r>
      <w:r>
        <w:rPr>
          <w:rFonts w:hint="eastAsia" w:ascii="仿宋" w:hAnsi="仿宋" w:eastAsia="仿宋" w:cs="仿宋"/>
          <w:spacing w:val="12"/>
          <w:szCs w:val="28"/>
        </w:rPr>
        <w:t>年八月二十日</w:t>
      </w:r>
      <w:r>
        <w:rPr>
          <w:rFonts w:hint="eastAsia" w:ascii="仿宋" w:hAnsi="仿宋" w:eastAsia="仿宋" w:cs="仿宋"/>
          <w:kern w:val="0"/>
          <w:szCs w:val="28"/>
        </w:rPr>
        <w:t>至二</w:t>
      </w:r>
      <w:r>
        <w:rPr>
          <w:rFonts w:hint="eastAsia" w:ascii="仿宋" w:hAnsi="仿宋" w:eastAsia="仿宋" w:cs="仿宋"/>
          <w:spacing w:val="12"/>
          <w:szCs w:val="28"/>
        </w:rPr>
        <w:t>〇</w:t>
      </w:r>
      <w:r>
        <w:rPr>
          <w:rFonts w:hint="eastAsia" w:ascii="仿宋" w:hAnsi="仿宋" w:eastAsia="仿宋" w:cs="仿宋"/>
          <w:kern w:val="0"/>
          <w:szCs w:val="28"/>
        </w:rPr>
        <w:t>二</w:t>
      </w:r>
      <w:r>
        <w:rPr>
          <w:rFonts w:hint="eastAsia" w:ascii="仿宋" w:hAnsi="仿宋" w:eastAsia="仿宋" w:cs="仿宋"/>
          <w:spacing w:val="12"/>
          <w:szCs w:val="28"/>
        </w:rPr>
        <w:t>二</w:t>
      </w:r>
      <w:r>
        <w:rPr>
          <w:rFonts w:hint="eastAsia" w:ascii="仿宋" w:hAnsi="仿宋" w:eastAsia="仿宋" w:cs="仿宋"/>
          <w:kern w:val="0"/>
          <w:szCs w:val="28"/>
        </w:rPr>
        <w:t>年七月二十日。</w:t>
      </w:r>
    </w:p>
    <w:p>
      <w:pPr>
        <w:autoSpaceDE w:val="0"/>
        <w:autoSpaceDN w:val="0"/>
        <w:adjustRightInd w:val="0"/>
        <w:ind w:firstLine="0" w:firstLineChars="0"/>
        <w:jc w:val="left"/>
        <w:rPr>
          <w:rFonts w:hint="eastAsia" w:ascii="仿宋" w:hAnsi="仿宋" w:eastAsia="仿宋" w:cs="仿宋"/>
          <w:b/>
        </w:rPr>
      </w:pPr>
      <w:bookmarkStart w:id="41" w:name="_Toc10252"/>
      <w:r>
        <w:rPr>
          <w:rFonts w:hint="eastAsia" w:ascii="仿宋" w:hAnsi="仿宋" w:eastAsia="仿宋" w:cs="仿宋"/>
          <w:b/>
        </w:rPr>
        <w:t>十六、</w:t>
      </w:r>
      <w:r>
        <w:rPr>
          <w:rFonts w:hint="eastAsia" w:ascii="仿宋" w:hAnsi="仿宋" w:eastAsia="仿宋" w:cs="仿宋"/>
          <w:b/>
          <w:kern w:val="0"/>
        </w:rPr>
        <w:t>附件</w:t>
      </w:r>
      <w:r>
        <w:rPr>
          <w:rFonts w:hint="eastAsia" w:ascii="仿宋" w:hAnsi="仿宋" w:eastAsia="仿宋" w:cs="仿宋"/>
          <w:b/>
          <w:kern w:val="0"/>
          <w:szCs w:val="28"/>
        </w:rPr>
        <w:t>资料</w:t>
      </w:r>
      <w:bookmarkEnd w:id="41"/>
      <w:r>
        <w:rPr>
          <w:rFonts w:hint="eastAsia" w:ascii="仿宋" w:hAnsi="仿宋" w:eastAsia="仿宋" w:cs="仿宋"/>
          <w:b/>
          <w:kern w:val="0"/>
          <w:szCs w:val="28"/>
        </w:rPr>
        <w:t>：</w:t>
      </w:r>
    </w:p>
    <w:p>
      <w:pPr>
        <w:numPr>
          <w:ilvl w:val="0"/>
          <w:numId w:val="4"/>
        </w:numPr>
        <w:ind w:firstLine="560"/>
        <w:rPr>
          <w:rFonts w:hint="eastAsia" w:ascii="仿宋" w:hAnsi="仿宋" w:eastAsia="仿宋" w:cs="仿宋"/>
        </w:rPr>
      </w:pPr>
      <w:r>
        <w:rPr>
          <w:rFonts w:hint="eastAsia" w:ascii="仿宋" w:hAnsi="仿宋" w:eastAsia="仿宋" w:cs="仿宋"/>
        </w:rPr>
        <w:t>《评估委托书及承诺函》；</w:t>
      </w:r>
    </w:p>
    <w:p>
      <w:pPr>
        <w:numPr>
          <w:ilvl w:val="0"/>
          <w:numId w:val="4"/>
        </w:numPr>
        <w:ind w:firstLine="560"/>
        <w:rPr>
          <w:rFonts w:hint="eastAsia" w:ascii="仿宋" w:hAnsi="仿宋" w:eastAsia="仿宋" w:cs="仿宋"/>
        </w:rPr>
      </w:pPr>
      <w:r>
        <w:rPr>
          <w:rFonts w:hint="eastAsia" w:ascii="仿宋" w:hAnsi="仿宋" w:eastAsia="仿宋" w:cs="仿宋"/>
        </w:rPr>
        <w:t>《义乌市苏溪镇东青村旧改区块部分农户地下室开挖石方堆放量测算工程测量成果报告书》（金华市天立测绘有限公司，2021年8月）；</w:t>
      </w:r>
    </w:p>
    <w:p>
      <w:pPr>
        <w:numPr>
          <w:ilvl w:val="0"/>
          <w:numId w:val="4"/>
        </w:numPr>
        <w:ind w:firstLine="560"/>
        <w:rPr>
          <w:rFonts w:hint="eastAsia" w:ascii="仿宋" w:hAnsi="仿宋" w:eastAsia="仿宋" w:cs="仿宋"/>
        </w:rPr>
      </w:pPr>
      <w:r>
        <w:rPr>
          <w:rFonts w:hint="eastAsia" w:ascii="仿宋" w:hAnsi="仿宋" w:eastAsia="仿宋" w:cs="仿宋"/>
        </w:rPr>
        <w:t>《义乌市苏溪镇东青村旧改区块部分农户地下室开挖石方资源量估算报告》（浙江煤炭地质局勘探二队，2021年07月）；</w:t>
      </w:r>
    </w:p>
    <w:p>
      <w:pPr>
        <w:numPr>
          <w:ilvl w:val="0"/>
          <w:numId w:val="4"/>
        </w:numPr>
        <w:ind w:firstLine="560"/>
        <w:rPr>
          <w:rFonts w:hint="eastAsia" w:ascii="仿宋" w:hAnsi="仿宋" w:eastAsia="仿宋" w:cs="仿宋"/>
        </w:rPr>
      </w:pPr>
      <w:r>
        <w:rPr>
          <w:rFonts w:hint="eastAsia" w:ascii="仿宋" w:hAnsi="仿宋" w:eastAsia="仿宋" w:cs="仿宋"/>
        </w:rPr>
        <w:t>《浙江交通建设工程质监与造价》（2020年第六期～2021年第五期）；</w:t>
      </w:r>
    </w:p>
    <w:p>
      <w:pPr>
        <w:numPr>
          <w:ilvl w:val="0"/>
          <w:numId w:val="4"/>
        </w:numPr>
        <w:ind w:firstLine="560"/>
        <w:rPr>
          <w:rFonts w:hint="eastAsia" w:ascii="仿宋" w:hAnsi="仿宋" w:eastAsia="仿宋" w:cs="仿宋"/>
        </w:rPr>
      </w:pPr>
      <w:r>
        <w:rPr>
          <w:rFonts w:hint="eastAsia" w:ascii="仿宋" w:hAnsi="仿宋" w:eastAsia="仿宋" w:cs="仿宋"/>
        </w:rPr>
        <w:t>现场实地勘查时点照片；</w:t>
      </w:r>
    </w:p>
    <w:p>
      <w:pPr>
        <w:numPr>
          <w:ilvl w:val="0"/>
          <w:numId w:val="4"/>
        </w:numPr>
        <w:ind w:firstLine="560"/>
        <w:rPr>
          <w:rFonts w:hint="eastAsia" w:ascii="仿宋" w:hAnsi="仿宋" w:eastAsia="仿宋" w:cs="仿宋"/>
        </w:rPr>
      </w:pPr>
      <w:r>
        <w:rPr>
          <w:rFonts w:hint="eastAsia" w:ascii="仿宋" w:hAnsi="仿宋" w:eastAsia="仿宋" w:cs="仿宋"/>
        </w:rPr>
        <w:t>价格评估机构《营业执照》复印件；</w:t>
      </w:r>
    </w:p>
    <w:p>
      <w:pPr>
        <w:numPr>
          <w:ilvl w:val="0"/>
          <w:numId w:val="4"/>
        </w:numPr>
        <w:ind w:firstLine="560"/>
        <w:rPr>
          <w:rFonts w:hint="eastAsia" w:ascii="仿宋" w:hAnsi="仿宋" w:eastAsia="仿宋" w:cs="仿宋"/>
        </w:rPr>
      </w:pPr>
      <w:r>
        <w:rPr>
          <w:rFonts w:hint="eastAsia" w:ascii="仿宋" w:hAnsi="仿宋" w:eastAsia="仿宋" w:cs="仿宋"/>
        </w:rPr>
        <w:t>《价格评估机构资质证书》复印件；</w:t>
      </w:r>
    </w:p>
    <w:p>
      <w:pPr>
        <w:numPr>
          <w:ilvl w:val="0"/>
          <w:numId w:val="4"/>
        </w:numPr>
        <w:ind w:firstLine="560"/>
        <w:rPr>
          <w:rFonts w:hint="eastAsia" w:ascii="仿宋" w:hAnsi="仿宋" w:eastAsia="仿宋" w:cs="仿宋"/>
        </w:rPr>
      </w:pPr>
      <w:r>
        <w:rPr>
          <w:rFonts w:hint="eastAsia" w:ascii="仿宋" w:hAnsi="仿宋" w:eastAsia="仿宋" w:cs="仿宋"/>
        </w:rPr>
        <w:t>《价格评估人员执业资格证书》复印件。</w:t>
      </w:r>
    </w:p>
    <w:p>
      <w:pPr>
        <w:ind w:firstLine="560"/>
        <w:jc w:val="right"/>
        <w:rPr>
          <w:rFonts w:hint="eastAsia" w:ascii="仿宋" w:hAnsi="仿宋" w:eastAsia="仿宋" w:cs="仿宋"/>
          <w:szCs w:val="28"/>
        </w:rPr>
      </w:pPr>
    </w:p>
    <w:p>
      <w:pPr>
        <w:ind w:firstLine="560"/>
        <w:jc w:val="right"/>
        <w:rPr>
          <w:rFonts w:hint="eastAsia" w:ascii="仿宋" w:hAnsi="仿宋" w:eastAsia="仿宋" w:cs="仿宋"/>
          <w:szCs w:val="28"/>
        </w:rPr>
      </w:pPr>
      <w:r>
        <w:rPr>
          <w:rFonts w:hint="eastAsia" w:ascii="仿宋" w:hAnsi="仿宋" w:eastAsia="仿宋" w:cs="仿宋"/>
          <w:szCs w:val="28"/>
        </w:rPr>
        <w:t>浙江矿评房地产资产评估有限公司</w:t>
      </w:r>
    </w:p>
    <w:p>
      <w:pPr>
        <w:ind w:firstLine="560"/>
        <w:jc w:val="right"/>
        <w:rPr>
          <w:rFonts w:hint="eastAsia" w:ascii="仿宋" w:hAnsi="仿宋" w:eastAsia="仿宋" w:cs="仿宋"/>
          <w:szCs w:val="28"/>
        </w:rPr>
      </w:pPr>
      <w:r>
        <w:rPr>
          <w:rFonts w:hint="eastAsia" w:ascii="仿宋" w:hAnsi="仿宋" w:eastAsia="仿宋" w:cs="仿宋"/>
          <w:szCs w:val="28"/>
        </w:rPr>
        <w:t>二</w:t>
      </w:r>
      <w:r>
        <w:rPr>
          <w:rFonts w:hint="eastAsia" w:ascii="仿宋" w:hAnsi="仿宋" w:eastAsia="仿宋" w:cs="仿宋"/>
          <w:spacing w:val="12"/>
          <w:szCs w:val="28"/>
        </w:rPr>
        <w:t>〇</w:t>
      </w:r>
      <w:r>
        <w:rPr>
          <w:rFonts w:hint="eastAsia" w:ascii="仿宋" w:hAnsi="仿宋" w:eastAsia="仿宋" w:cs="仿宋"/>
          <w:szCs w:val="28"/>
        </w:rPr>
        <w:t>二一年八</w:t>
      </w:r>
      <w:r>
        <w:rPr>
          <w:rFonts w:hint="eastAsia" w:ascii="仿宋" w:hAnsi="仿宋" w:eastAsia="仿宋" w:cs="仿宋"/>
          <w:spacing w:val="1"/>
          <w:kern w:val="0"/>
        </w:rPr>
        <w:t>月二十日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0" w:firstLineChars="0"/>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7"/>
                  <w:ind w:firstLine="420"/>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21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21</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7"/>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0" w:firstLineChars="0"/>
      <w:jc w:val="both"/>
      <w:rPr>
        <w:rFonts w:ascii="仿宋_GB2312"/>
        <w:color w:val="000000" w:themeColor="text1"/>
      </w:rPr>
    </w:pPr>
    <w:r>
      <w:rPr>
        <w:rFonts w:hint="eastAsia" w:ascii="仿宋_GB2312" w:hAnsi="宋体"/>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3">
    <w:nsid w:val="0000000D"/>
    <w:multiLevelType w:val="singleLevel"/>
    <w:tmpl w:val="0000000D"/>
    <w:lvl w:ilvl="0" w:tentative="0">
      <w:start w:val="1"/>
      <w:numFmt w:val="decimal"/>
      <w:suff w:val="nothing"/>
      <w:lvlText w:val="%1、"/>
      <w:lvlJc w:val="left"/>
      <w:rPr>
        <w:rFonts w:cs="Times New Roman"/>
        <w:sz w:val="28"/>
        <w:szCs w:val="28"/>
      </w:rPr>
    </w:lvl>
  </w:abstractNum>
  <w:num w:numId="1">
    <w:abstractNumId w:val="0"/>
  </w:num>
  <w:num w:numId="2">
    <w:abstractNumId w:val="1"/>
  </w:num>
  <w:num w:numId="3">
    <w:abstractNumId w:val="3"/>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4EB0"/>
    <w:rsid w:val="00066FF0"/>
    <w:rsid w:val="0007330C"/>
    <w:rsid w:val="00073421"/>
    <w:rsid w:val="000738F3"/>
    <w:rsid w:val="0007619A"/>
    <w:rsid w:val="000761A7"/>
    <w:rsid w:val="00076937"/>
    <w:rsid w:val="0007798B"/>
    <w:rsid w:val="00077BFA"/>
    <w:rsid w:val="000811AF"/>
    <w:rsid w:val="00082324"/>
    <w:rsid w:val="0008331D"/>
    <w:rsid w:val="000837C0"/>
    <w:rsid w:val="00084310"/>
    <w:rsid w:val="00085216"/>
    <w:rsid w:val="000855CB"/>
    <w:rsid w:val="0008580D"/>
    <w:rsid w:val="00085908"/>
    <w:rsid w:val="0009029D"/>
    <w:rsid w:val="00091754"/>
    <w:rsid w:val="0009207D"/>
    <w:rsid w:val="000927C0"/>
    <w:rsid w:val="000979AF"/>
    <w:rsid w:val="000A0854"/>
    <w:rsid w:val="000A0D5A"/>
    <w:rsid w:val="000A4B0B"/>
    <w:rsid w:val="000B1687"/>
    <w:rsid w:val="000B2F8C"/>
    <w:rsid w:val="000B3920"/>
    <w:rsid w:val="000B3BC3"/>
    <w:rsid w:val="000B69F8"/>
    <w:rsid w:val="000C5565"/>
    <w:rsid w:val="000D058B"/>
    <w:rsid w:val="000D6270"/>
    <w:rsid w:val="000D6D39"/>
    <w:rsid w:val="000E00C2"/>
    <w:rsid w:val="000E2320"/>
    <w:rsid w:val="000E76D3"/>
    <w:rsid w:val="000F0580"/>
    <w:rsid w:val="000F20E9"/>
    <w:rsid w:val="000F2401"/>
    <w:rsid w:val="00110C9A"/>
    <w:rsid w:val="00114BD2"/>
    <w:rsid w:val="00115CBF"/>
    <w:rsid w:val="0012502E"/>
    <w:rsid w:val="0012737D"/>
    <w:rsid w:val="00127EA9"/>
    <w:rsid w:val="00130402"/>
    <w:rsid w:val="00131D68"/>
    <w:rsid w:val="001357C0"/>
    <w:rsid w:val="0014075F"/>
    <w:rsid w:val="00142257"/>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4DC5"/>
    <w:rsid w:val="001957B0"/>
    <w:rsid w:val="001A0020"/>
    <w:rsid w:val="001A29AD"/>
    <w:rsid w:val="001A5428"/>
    <w:rsid w:val="001A75D4"/>
    <w:rsid w:val="001B3400"/>
    <w:rsid w:val="001B6354"/>
    <w:rsid w:val="001C07C6"/>
    <w:rsid w:val="001C5C6F"/>
    <w:rsid w:val="001D1A68"/>
    <w:rsid w:val="001D2F27"/>
    <w:rsid w:val="001D7883"/>
    <w:rsid w:val="001D7B39"/>
    <w:rsid w:val="001E2986"/>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A2387"/>
    <w:rsid w:val="002B23E5"/>
    <w:rsid w:val="002B41BE"/>
    <w:rsid w:val="002B5CDA"/>
    <w:rsid w:val="002B60B7"/>
    <w:rsid w:val="002B6D85"/>
    <w:rsid w:val="002B7470"/>
    <w:rsid w:val="002C3C37"/>
    <w:rsid w:val="002C4FE5"/>
    <w:rsid w:val="002C5594"/>
    <w:rsid w:val="002D246A"/>
    <w:rsid w:val="002D37A9"/>
    <w:rsid w:val="002E0ACD"/>
    <w:rsid w:val="002E3A75"/>
    <w:rsid w:val="002E3FCD"/>
    <w:rsid w:val="002E524A"/>
    <w:rsid w:val="002E64FE"/>
    <w:rsid w:val="002E7807"/>
    <w:rsid w:val="002F0076"/>
    <w:rsid w:val="002F1A47"/>
    <w:rsid w:val="002F53A5"/>
    <w:rsid w:val="002F6362"/>
    <w:rsid w:val="002F6DE6"/>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72C4F"/>
    <w:rsid w:val="00385A1A"/>
    <w:rsid w:val="00386773"/>
    <w:rsid w:val="00387E2B"/>
    <w:rsid w:val="00396E86"/>
    <w:rsid w:val="003A18DE"/>
    <w:rsid w:val="003A2ADE"/>
    <w:rsid w:val="003B0F7B"/>
    <w:rsid w:val="003B1B82"/>
    <w:rsid w:val="003B33E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43A0"/>
    <w:rsid w:val="0043542D"/>
    <w:rsid w:val="004377B0"/>
    <w:rsid w:val="00437DF5"/>
    <w:rsid w:val="00444097"/>
    <w:rsid w:val="00450343"/>
    <w:rsid w:val="00455918"/>
    <w:rsid w:val="00456898"/>
    <w:rsid w:val="00462D6F"/>
    <w:rsid w:val="00463077"/>
    <w:rsid w:val="00464876"/>
    <w:rsid w:val="004649AF"/>
    <w:rsid w:val="00465992"/>
    <w:rsid w:val="00466488"/>
    <w:rsid w:val="004726A2"/>
    <w:rsid w:val="00474BF5"/>
    <w:rsid w:val="00477BE2"/>
    <w:rsid w:val="00480056"/>
    <w:rsid w:val="00480184"/>
    <w:rsid w:val="00484B82"/>
    <w:rsid w:val="00485400"/>
    <w:rsid w:val="00485C9D"/>
    <w:rsid w:val="00492C3E"/>
    <w:rsid w:val="00494DDB"/>
    <w:rsid w:val="00495087"/>
    <w:rsid w:val="00496692"/>
    <w:rsid w:val="004A0492"/>
    <w:rsid w:val="004A099D"/>
    <w:rsid w:val="004A0FDE"/>
    <w:rsid w:val="004A355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AAA"/>
    <w:rsid w:val="005B396E"/>
    <w:rsid w:val="005B4469"/>
    <w:rsid w:val="005B4DCF"/>
    <w:rsid w:val="005C03E8"/>
    <w:rsid w:val="005C0A07"/>
    <w:rsid w:val="005C167D"/>
    <w:rsid w:val="005C4431"/>
    <w:rsid w:val="005C6801"/>
    <w:rsid w:val="005D33F3"/>
    <w:rsid w:val="005D4BF6"/>
    <w:rsid w:val="005E0DDB"/>
    <w:rsid w:val="005E1646"/>
    <w:rsid w:val="005E18C2"/>
    <w:rsid w:val="005E300D"/>
    <w:rsid w:val="005E3932"/>
    <w:rsid w:val="005E4A51"/>
    <w:rsid w:val="005F103C"/>
    <w:rsid w:val="005F11F0"/>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2610"/>
    <w:rsid w:val="006330DB"/>
    <w:rsid w:val="006344EB"/>
    <w:rsid w:val="00641D64"/>
    <w:rsid w:val="006471BE"/>
    <w:rsid w:val="00650556"/>
    <w:rsid w:val="00651A2C"/>
    <w:rsid w:val="00652772"/>
    <w:rsid w:val="00652A80"/>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63C3"/>
    <w:rsid w:val="00786627"/>
    <w:rsid w:val="007912BA"/>
    <w:rsid w:val="007962B6"/>
    <w:rsid w:val="007A5D69"/>
    <w:rsid w:val="007B111E"/>
    <w:rsid w:val="007B2987"/>
    <w:rsid w:val="007B29D0"/>
    <w:rsid w:val="007B4B75"/>
    <w:rsid w:val="007C172B"/>
    <w:rsid w:val="007C3D8B"/>
    <w:rsid w:val="007C5045"/>
    <w:rsid w:val="007C5CCA"/>
    <w:rsid w:val="007C5FAD"/>
    <w:rsid w:val="007D1B2E"/>
    <w:rsid w:val="007D1C78"/>
    <w:rsid w:val="007D259A"/>
    <w:rsid w:val="007D3432"/>
    <w:rsid w:val="007D50F0"/>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1EB6"/>
    <w:rsid w:val="00865052"/>
    <w:rsid w:val="00866614"/>
    <w:rsid w:val="008734DF"/>
    <w:rsid w:val="00875850"/>
    <w:rsid w:val="00877FB2"/>
    <w:rsid w:val="00880BF6"/>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6E8E"/>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17E3"/>
    <w:rsid w:val="00922AD0"/>
    <w:rsid w:val="00924952"/>
    <w:rsid w:val="00924A47"/>
    <w:rsid w:val="0092538B"/>
    <w:rsid w:val="00926443"/>
    <w:rsid w:val="00926F40"/>
    <w:rsid w:val="0093248A"/>
    <w:rsid w:val="00933A06"/>
    <w:rsid w:val="00936DD4"/>
    <w:rsid w:val="009379D0"/>
    <w:rsid w:val="009405AA"/>
    <w:rsid w:val="00942B93"/>
    <w:rsid w:val="0094602F"/>
    <w:rsid w:val="00951362"/>
    <w:rsid w:val="00952C1D"/>
    <w:rsid w:val="0095445F"/>
    <w:rsid w:val="00956441"/>
    <w:rsid w:val="009605DB"/>
    <w:rsid w:val="00960AF4"/>
    <w:rsid w:val="009650F3"/>
    <w:rsid w:val="0096735C"/>
    <w:rsid w:val="00972798"/>
    <w:rsid w:val="009739A8"/>
    <w:rsid w:val="00974313"/>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285C"/>
    <w:rsid w:val="009C30D2"/>
    <w:rsid w:val="009C35AC"/>
    <w:rsid w:val="009C3C2E"/>
    <w:rsid w:val="009C4F11"/>
    <w:rsid w:val="009C516D"/>
    <w:rsid w:val="009C55A7"/>
    <w:rsid w:val="009D1F7E"/>
    <w:rsid w:val="009D3FDD"/>
    <w:rsid w:val="009D4098"/>
    <w:rsid w:val="009E02F6"/>
    <w:rsid w:val="009E2C33"/>
    <w:rsid w:val="009F01ED"/>
    <w:rsid w:val="009F095F"/>
    <w:rsid w:val="009F3B34"/>
    <w:rsid w:val="00A02922"/>
    <w:rsid w:val="00A12F99"/>
    <w:rsid w:val="00A16218"/>
    <w:rsid w:val="00A16635"/>
    <w:rsid w:val="00A230D6"/>
    <w:rsid w:val="00A23112"/>
    <w:rsid w:val="00A249BA"/>
    <w:rsid w:val="00A26816"/>
    <w:rsid w:val="00A27979"/>
    <w:rsid w:val="00A3055A"/>
    <w:rsid w:val="00A32843"/>
    <w:rsid w:val="00A3652B"/>
    <w:rsid w:val="00A4028C"/>
    <w:rsid w:val="00A403E9"/>
    <w:rsid w:val="00A41134"/>
    <w:rsid w:val="00A426C4"/>
    <w:rsid w:val="00A42E69"/>
    <w:rsid w:val="00A461B3"/>
    <w:rsid w:val="00A47A53"/>
    <w:rsid w:val="00A50506"/>
    <w:rsid w:val="00A54DA4"/>
    <w:rsid w:val="00A55E94"/>
    <w:rsid w:val="00A6063D"/>
    <w:rsid w:val="00A65BEE"/>
    <w:rsid w:val="00A6693F"/>
    <w:rsid w:val="00A7105B"/>
    <w:rsid w:val="00A7167F"/>
    <w:rsid w:val="00A86487"/>
    <w:rsid w:val="00A91326"/>
    <w:rsid w:val="00A95FAE"/>
    <w:rsid w:val="00AA0108"/>
    <w:rsid w:val="00AA30D8"/>
    <w:rsid w:val="00AA4B74"/>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03D78"/>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215FF"/>
    <w:rsid w:val="00C236E7"/>
    <w:rsid w:val="00C24FF8"/>
    <w:rsid w:val="00C26E4E"/>
    <w:rsid w:val="00C2708F"/>
    <w:rsid w:val="00C32C78"/>
    <w:rsid w:val="00C33BF6"/>
    <w:rsid w:val="00C341DC"/>
    <w:rsid w:val="00C36C5B"/>
    <w:rsid w:val="00C37919"/>
    <w:rsid w:val="00C419ED"/>
    <w:rsid w:val="00C424AC"/>
    <w:rsid w:val="00C42809"/>
    <w:rsid w:val="00C4296E"/>
    <w:rsid w:val="00C4563E"/>
    <w:rsid w:val="00C5210C"/>
    <w:rsid w:val="00C5376C"/>
    <w:rsid w:val="00C605E4"/>
    <w:rsid w:val="00C657E7"/>
    <w:rsid w:val="00C71701"/>
    <w:rsid w:val="00C73330"/>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E6920"/>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80AAE"/>
    <w:rsid w:val="00D8138D"/>
    <w:rsid w:val="00D8470A"/>
    <w:rsid w:val="00D85BEE"/>
    <w:rsid w:val="00D86152"/>
    <w:rsid w:val="00D862D3"/>
    <w:rsid w:val="00D87419"/>
    <w:rsid w:val="00D87F04"/>
    <w:rsid w:val="00D92496"/>
    <w:rsid w:val="00D92DB8"/>
    <w:rsid w:val="00D96AB1"/>
    <w:rsid w:val="00DB1228"/>
    <w:rsid w:val="00DB1D7C"/>
    <w:rsid w:val="00DC0937"/>
    <w:rsid w:val="00DC2EA3"/>
    <w:rsid w:val="00DC4258"/>
    <w:rsid w:val="00DC7241"/>
    <w:rsid w:val="00DD1903"/>
    <w:rsid w:val="00DD2B72"/>
    <w:rsid w:val="00DD33DD"/>
    <w:rsid w:val="00DD60E7"/>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87537"/>
    <w:rsid w:val="00E9123E"/>
    <w:rsid w:val="00E914C0"/>
    <w:rsid w:val="00E91672"/>
    <w:rsid w:val="00E916E5"/>
    <w:rsid w:val="00E92ABD"/>
    <w:rsid w:val="00E9354F"/>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2125"/>
    <w:rsid w:val="00F65987"/>
    <w:rsid w:val="00F66A78"/>
    <w:rsid w:val="00F66F02"/>
    <w:rsid w:val="00F677F1"/>
    <w:rsid w:val="00F67D8C"/>
    <w:rsid w:val="00F701A8"/>
    <w:rsid w:val="00F72B55"/>
    <w:rsid w:val="00F75A47"/>
    <w:rsid w:val="00F8265E"/>
    <w:rsid w:val="00F8741A"/>
    <w:rsid w:val="00F926DC"/>
    <w:rsid w:val="00FA022F"/>
    <w:rsid w:val="00FA090E"/>
    <w:rsid w:val="00FA09F4"/>
    <w:rsid w:val="00FA58B2"/>
    <w:rsid w:val="00FB0114"/>
    <w:rsid w:val="00FB0EC8"/>
    <w:rsid w:val="00FB13CB"/>
    <w:rsid w:val="00FB56B5"/>
    <w:rsid w:val="00FB791F"/>
    <w:rsid w:val="00FC08F3"/>
    <w:rsid w:val="00FC157D"/>
    <w:rsid w:val="00FC4929"/>
    <w:rsid w:val="00FD0007"/>
    <w:rsid w:val="00FD030F"/>
    <w:rsid w:val="00FD0C01"/>
    <w:rsid w:val="00FD16AE"/>
    <w:rsid w:val="00FD1872"/>
    <w:rsid w:val="00FD6088"/>
    <w:rsid w:val="00FE0797"/>
    <w:rsid w:val="00FE2E0C"/>
    <w:rsid w:val="00FE5243"/>
    <w:rsid w:val="00FE73DE"/>
    <w:rsid w:val="00FE7C59"/>
    <w:rsid w:val="00FF259E"/>
    <w:rsid w:val="00FF69F9"/>
    <w:rsid w:val="012A20A3"/>
    <w:rsid w:val="01A3686E"/>
    <w:rsid w:val="02182FBF"/>
    <w:rsid w:val="023A62B4"/>
    <w:rsid w:val="0282368E"/>
    <w:rsid w:val="02A15EBD"/>
    <w:rsid w:val="02DC0AC3"/>
    <w:rsid w:val="03147093"/>
    <w:rsid w:val="03A61756"/>
    <w:rsid w:val="03EB0E72"/>
    <w:rsid w:val="04BE7A8D"/>
    <w:rsid w:val="04DC2D2F"/>
    <w:rsid w:val="052D2BB0"/>
    <w:rsid w:val="05302F19"/>
    <w:rsid w:val="05B177D8"/>
    <w:rsid w:val="05DE36C4"/>
    <w:rsid w:val="06AF1539"/>
    <w:rsid w:val="07511415"/>
    <w:rsid w:val="07E008DA"/>
    <w:rsid w:val="07F65BC4"/>
    <w:rsid w:val="080507C0"/>
    <w:rsid w:val="08211ABF"/>
    <w:rsid w:val="083D18C6"/>
    <w:rsid w:val="08A619A1"/>
    <w:rsid w:val="09D539DE"/>
    <w:rsid w:val="0A4E4EA3"/>
    <w:rsid w:val="0A551B1D"/>
    <w:rsid w:val="0A6933D7"/>
    <w:rsid w:val="0A816458"/>
    <w:rsid w:val="0AA0335C"/>
    <w:rsid w:val="0AEC3F84"/>
    <w:rsid w:val="0B3E0857"/>
    <w:rsid w:val="0C2A1310"/>
    <w:rsid w:val="0CB6683B"/>
    <w:rsid w:val="0D8779B7"/>
    <w:rsid w:val="0D891750"/>
    <w:rsid w:val="0E030E3A"/>
    <w:rsid w:val="0E034629"/>
    <w:rsid w:val="0E102C07"/>
    <w:rsid w:val="0E390A4F"/>
    <w:rsid w:val="0E6975B2"/>
    <w:rsid w:val="0E6D6A83"/>
    <w:rsid w:val="0F087817"/>
    <w:rsid w:val="0F370D90"/>
    <w:rsid w:val="0F655F90"/>
    <w:rsid w:val="0FAC1AF6"/>
    <w:rsid w:val="107D1A27"/>
    <w:rsid w:val="10910C89"/>
    <w:rsid w:val="11782C61"/>
    <w:rsid w:val="117E448C"/>
    <w:rsid w:val="12A51CDB"/>
    <w:rsid w:val="142D7B9B"/>
    <w:rsid w:val="14675DE6"/>
    <w:rsid w:val="14C80020"/>
    <w:rsid w:val="14D976F6"/>
    <w:rsid w:val="15E51C78"/>
    <w:rsid w:val="16010097"/>
    <w:rsid w:val="164532D5"/>
    <w:rsid w:val="174D79F2"/>
    <w:rsid w:val="175637CB"/>
    <w:rsid w:val="17813B77"/>
    <w:rsid w:val="17906474"/>
    <w:rsid w:val="17BC4D00"/>
    <w:rsid w:val="17D16E63"/>
    <w:rsid w:val="17DA49C8"/>
    <w:rsid w:val="18EF7630"/>
    <w:rsid w:val="18F8229F"/>
    <w:rsid w:val="190242E0"/>
    <w:rsid w:val="1947334B"/>
    <w:rsid w:val="1AFA235C"/>
    <w:rsid w:val="1B0D1EC1"/>
    <w:rsid w:val="1B156E07"/>
    <w:rsid w:val="1B186FCA"/>
    <w:rsid w:val="1B707C5D"/>
    <w:rsid w:val="1B8F7A37"/>
    <w:rsid w:val="1C4F2645"/>
    <w:rsid w:val="1C8E2DB5"/>
    <w:rsid w:val="1D1C158F"/>
    <w:rsid w:val="1D5C70A8"/>
    <w:rsid w:val="1D8D24C7"/>
    <w:rsid w:val="1DA15BED"/>
    <w:rsid w:val="1DF009B0"/>
    <w:rsid w:val="1E25276E"/>
    <w:rsid w:val="1E631235"/>
    <w:rsid w:val="1EB32593"/>
    <w:rsid w:val="1F2866FA"/>
    <w:rsid w:val="1F684056"/>
    <w:rsid w:val="1FA910C6"/>
    <w:rsid w:val="1FB74610"/>
    <w:rsid w:val="1FD86EED"/>
    <w:rsid w:val="203C1037"/>
    <w:rsid w:val="207937AA"/>
    <w:rsid w:val="222C7356"/>
    <w:rsid w:val="22541660"/>
    <w:rsid w:val="22CD0518"/>
    <w:rsid w:val="23146AE7"/>
    <w:rsid w:val="235B152C"/>
    <w:rsid w:val="23A30C4A"/>
    <w:rsid w:val="23A5165A"/>
    <w:rsid w:val="23CE104D"/>
    <w:rsid w:val="23DC1C2E"/>
    <w:rsid w:val="24165FAE"/>
    <w:rsid w:val="2420120C"/>
    <w:rsid w:val="24980806"/>
    <w:rsid w:val="24B83D5F"/>
    <w:rsid w:val="25A518ED"/>
    <w:rsid w:val="25AB4220"/>
    <w:rsid w:val="25EC72FF"/>
    <w:rsid w:val="26277288"/>
    <w:rsid w:val="26923C07"/>
    <w:rsid w:val="26AC5D6F"/>
    <w:rsid w:val="26F36EC0"/>
    <w:rsid w:val="2812437C"/>
    <w:rsid w:val="281D4CEA"/>
    <w:rsid w:val="28521946"/>
    <w:rsid w:val="28C37025"/>
    <w:rsid w:val="28DE6DE5"/>
    <w:rsid w:val="296450A1"/>
    <w:rsid w:val="297164A5"/>
    <w:rsid w:val="29F25094"/>
    <w:rsid w:val="2A246069"/>
    <w:rsid w:val="2A336CB7"/>
    <w:rsid w:val="2AAC374E"/>
    <w:rsid w:val="2AE70B65"/>
    <w:rsid w:val="2AF57754"/>
    <w:rsid w:val="2B1752E8"/>
    <w:rsid w:val="2B8620EA"/>
    <w:rsid w:val="2B912F60"/>
    <w:rsid w:val="2BEF5A83"/>
    <w:rsid w:val="2BF93BAF"/>
    <w:rsid w:val="2C391857"/>
    <w:rsid w:val="2C4F6B2C"/>
    <w:rsid w:val="2C5F31BB"/>
    <w:rsid w:val="2CDD35BD"/>
    <w:rsid w:val="2CF50A25"/>
    <w:rsid w:val="2DB4059F"/>
    <w:rsid w:val="2E07296B"/>
    <w:rsid w:val="303769D5"/>
    <w:rsid w:val="30874CF8"/>
    <w:rsid w:val="314667A9"/>
    <w:rsid w:val="315F50EA"/>
    <w:rsid w:val="316C504A"/>
    <w:rsid w:val="31875E19"/>
    <w:rsid w:val="32793C77"/>
    <w:rsid w:val="33132DB2"/>
    <w:rsid w:val="335369CF"/>
    <w:rsid w:val="338412FB"/>
    <w:rsid w:val="341E1FF2"/>
    <w:rsid w:val="341E7348"/>
    <w:rsid w:val="343B430D"/>
    <w:rsid w:val="344F7CE3"/>
    <w:rsid w:val="358A6232"/>
    <w:rsid w:val="361D4209"/>
    <w:rsid w:val="36B26222"/>
    <w:rsid w:val="36D7405E"/>
    <w:rsid w:val="3711086D"/>
    <w:rsid w:val="37237973"/>
    <w:rsid w:val="37432886"/>
    <w:rsid w:val="37E62D7A"/>
    <w:rsid w:val="37E83CDB"/>
    <w:rsid w:val="38201743"/>
    <w:rsid w:val="382F34D7"/>
    <w:rsid w:val="3836162D"/>
    <w:rsid w:val="38C257A3"/>
    <w:rsid w:val="3A026885"/>
    <w:rsid w:val="3AE53E5F"/>
    <w:rsid w:val="3B2F2607"/>
    <w:rsid w:val="3B6D3226"/>
    <w:rsid w:val="3BD029E6"/>
    <w:rsid w:val="3C0F225C"/>
    <w:rsid w:val="3C4361DD"/>
    <w:rsid w:val="3C7E4C5B"/>
    <w:rsid w:val="3CD56A72"/>
    <w:rsid w:val="3CE7406B"/>
    <w:rsid w:val="3D070DFD"/>
    <w:rsid w:val="3D2A0F79"/>
    <w:rsid w:val="3D8319FB"/>
    <w:rsid w:val="3DD40AD3"/>
    <w:rsid w:val="3E446D75"/>
    <w:rsid w:val="3E4B2A41"/>
    <w:rsid w:val="3E600A75"/>
    <w:rsid w:val="3EC70AEE"/>
    <w:rsid w:val="3ED362A5"/>
    <w:rsid w:val="3F127A80"/>
    <w:rsid w:val="3F2E4215"/>
    <w:rsid w:val="3F323893"/>
    <w:rsid w:val="3FCA6E7A"/>
    <w:rsid w:val="4022602E"/>
    <w:rsid w:val="40C43F1E"/>
    <w:rsid w:val="40D66427"/>
    <w:rsid w:val="40F679E6"/>
    <w:rsid w:val="40FF4A42"/>
    <w:rsid w:val="41067E53"/>
    <w:rsid w:val="41533637"/>
    <w:rsid w:val="420055F5"/>
    <w:rsid w:val="42613143"/>
    <w:rsid w:val="429B6344"/>
    <w:rsid w:val="42CF6CE8"/>
    <w:rsid w:val="42D11308"/>
    <w:rsid w:val="42E91A30"/>
    <w:rsid w:val="43240CC8"/>
    <w:rsid w:val="434B38B1"/>
    <w:rsid w:val="43C96DB1"/>
    <w:rsid w:val="440268D7"/>
    <w:rsid w:val="44755BA3"/>
    <w:rsid w:val="44BE3AB8"/>
    <w:rsid w:val="44F57981"/>
    <w:rsid w:val="45307B25"/>
    <w:rsid w:val="457326A5"/>
    <w:rsid w:val="45910E85"/>
    <w:rsid w:val="45920A76"/>
    <w:rsid w:val="45F05C46"/>
    <w:rsid w:val="46301010"/>
    <w:rsid w:val="47122A86"/>
    <w:rsid w:val="473C2CD3"/>
    <w:rsid w:val="489576EC"/>
    <w:rsid w:val="49043300"/>
    <w:rsid w:val="490A3F3B"/>
    <w:rsid w:val="492D7112"/>
    <w:rsid w:val="49A6395B"/>
    <w:rsid w:val="4A406897"/>
    <w:rsid w:val="4AA75F9E"/>
    <w:rsid w:val="4AFC5164"/>
    <w:rsid w:val="4B386786"/>
    <w:rsid w:val="4B9A34A4"/>
    <w:rsid w:val="4BC9471F"/>
    <w:rsid w:val="4BE34358"/>
    <w:rsid w:val="4C000C40"/>
    <w:rsid w:val="4C02493C"/>
    <w:rsid w:val="4C362159"/>
    <w:rsid w:val="4C4F1A72"/>
    <w:rsid w:val="4C5A646D"/>
    <w:rsid w:val="4C8171AB"/>
    <w:rsid w:val="4D023943"/>
    <w:rsid w:val="4EBB24D7"/>
    <w:rsid w:val="4F2D7831"/>
    <w:rsid w:val="4F6F1E23"/>
    <w:rsid w:val="4FBF0B2F"/>
    <w:rsid w:val="4FD77FF2"/>
    <w:rsid w:val="503D4954"/>
    <w:rsid w:val="506851C3"/>
    <w:rsid w:val="50EE7484"/>
    <w:rsid w:val="51D60B18"/>
    <w:rsid w:val="51F86486"/>
    <w:rsid w:val="5239100C"/>
    <w:rsid w:val="52980E55"/>
    <w:rsid w:val="53BA2A79"/>
    <w:rsid w:val="53E84293"/>
    <w:rsid w:val="53E91BAF"/>
    <w:rsid w:val="551F161A"/>
    <w:rsid w:val="55DB3A5A"/>
    <w:rsid w:val="55EC40C2"/>
    <w:rsid w:val="561126F4"/>
    <w:rsid w:val="56651930"/>
    <w:rsid w:val="5711030C"/>
    <w:rsid w:val="57807F22"/>
    <w:rsid w:val="57A22B13"/>
    <w:rsid w:val="582A49CB"/>
    <w:rsid w:val="58583499"/>
    <w:rsid w:val="58CC044F"/>
    <w:rsid w:val="598506AB"/>
    <w:rsid w:val="59AB1A46"/>
    <w:rsid w:val="59F21456"/>
    <w:rsid w:val="5A604CA8"/>
    <w:rsid w:val="5ABF7620"/>
    <w:rsid w:val="5C0660DF"/>
    <w:rsid w:val="5CDB1471"/>
    <w:rsid w:val="5DB46760"/>
    <w:rsid w:val="5E8E78CC"/>
    <w:rsid w:val="5EAA5B3C"/>
    <w:rsid w:val="5EF57FD3"/>
    <w:rsid w:val="5F393E0E"/>
    <w:rsid w:val="6003533C"/>
    <w:rsid w:val="61320AE1"/>
    <w:rsid w:val="61645D15"/>
    <w:rsid w:val="620F542E"/>
    <w:rsid w:val="626F4BF1"/>
    <w:rsid w:val="62B6131F"/>
    <w:rsid w:val="62C43512"/>
    <w:rsid w:val="631D678D"/>
    <w:rsid w:val="63831329"/>
    <w:rsid w:val="63860ACA"/>
    <w:rsid w:val="63BA459E"/>
    <w:rsid w:val="63CF46C8"/>
    <w:rsid w:val="64264B08"/>
    <w:rsid w:val="65407C0E"/>
    <w:rsid w:val="654C2C1A"/>
    <w:rsid w:val="66320401"/>
    <w:rsid w:val="6683563C"/>
    <w:rsid w:val="66927802"/>
    <w:rsid w:val="677002C3"/>
    <w:rsid w:val="684B1F29"/>
    <w:rsid w:val="68544561"/>
    <w:rsid w:val="6858603F"/>
    <w:rsid w:val="68CC0937"/>
    <w:rsid w:val="69713C70"/>
    <w:rsid w:val="6996654D"/>
    <w:rsid w:val="69C47FCD"/>
    <w:rsid w:val="69E97175"/>
    <w:rsid w:val="6A0E72E3"/>
    <w:rsid w:val="6A1259C9"/>
    <w:rsid w:val="6A876292"/>
    <w:rsid w:val="6A913A2B"/>
    <w:rsid w:val="6AD833B5"/>
    <w:rsid w:val="6ADC43A6"/>
    <w:rsid w:val="6B2A2230"/>
    <w:rsid w:val="6B572F6D"/>
    <w:rsid w:val="6B6A14F0"/>
    <w:rsid w:val="6BFB5029"/>
    <w:rsid w:val="6C1B02A3"/>
    <w:rsid w:val="6C577B70"/>
    <w:rsid w:val="6C6F16DC"/>
    <w:rsid w:val="6C716212"/>
    <w:rsid w:val="6C7331F0"/>
    <w:rsid w:val="6DE07C5D"/>
    <w:rsid w:val="6F5643FC"/>
    <w:rsid w:val="701E32CB"/>
    <w:rsid w:val="7146613C"/>
    <w:rsid w:val="71EA451F"/>
    <w:rsid w:val="727201BC"/>
    <w:rsid w:val="73321FD8"/>
    <w:rsid w:val="738A75AC"/>
    <w:rsid w:val="740B0878"/>
    <w:rsid w:val="74AE014E"/>
    <w:rsid w:val="74B43357"/>
    <w:rsid w:val="74BD771D"/>
    <w:rsid w:val="756D7D3F"/>
    <w:rsid w:val="75993ED6"/>
    <w:rsid w:val="75B14B57"/>
    <w:rsid w:val="76933B2B"/>
    <w:rsid w:val="77BF500B"/>
    <w:rsid w:val="77C77D87"/>
    <w:rsid w:val="780946CD"/>
    <w:rsid w:val="780D384C"/>
    <w:rsid w:val="784B1FFF"/>
    <w:rsid w:val="78646305"/>
    <w:rsid w:val="786C62ED"/>
    <w:rsid w:val="78CE62CC"/>
    <w:rsid w:val="78D0225A"/>
    <w:rsid w:val="798E2393"/>
    <w:rsid w:val="799C69A9"/>
    <w:rsid w:val="7A2B6AB5"/>
    <w:rsid w:val="7A4511EB"/>
    <w:rsid w:val="7A72515A"/>
    <w:rsid w:val="7AE94304"/>
    <w:rsid w:val="7BB847B6"/>
    <w:rsid w:val="7BDD38DE"/>
    <w:rsid w:val="7CDB5581"/>
    <w:rsid w:val="7D1A377A"/>
    <w:rsid w:val="7D491A3D"/>
    <w:rsid w:val="7D6B7193"/>
    <w:rsid w:val="7D9E0E78"/>
    <w:rsid w:val="7E103063"/>
    <w:rsid w:val="7E196905"/>
    <w:rsid w:val="7E257617"/>
    <w:rsid w:val="7E282ADF"/>
    <w:rsid w:val="7E895440"/>
    <w:rsid w:val="7F0622A4"/>
    <w:rsid w:val="7F4F7F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qFormat="1"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964" w:firstLineChars="200"/>
      <w:jc w:val="both"/>
    </w:pPr>
    <w:rPr>
      <w:rFonts w:ascii="Times New Roman" w:hAnsi="Times New Roman" w:eastAsia="仿宋_GB2312" w:cs="Times New Roman"/>
      <w:kern w:val="2"/>
      <w:sz w:val="28"/>
      <w:szCs w:val="24"/>
      <w:lang w:val="en-US" w:eastAsia="zh-CN" w:bidi="ar-SA"/>
    </w:rPr>
  </w:style>
  <w:style w:type="paragraph" w:styleId="3">
    <w:name w:val="heading 1"/>
    <w:basedOn w:val="1"/>
    <w:next w:val="1"/>
    <w:link w:val="39"/>
    <w:qFormat/>
    <w:locked/>
    <w:uiPriority w:val="0"/>
    <w:pPr>
      <w:keepNext/>
      <w:keepLines/>
      <w:outlineLvl w:val="0"/>
    </w:pPr>
    <w:rPr>
      <w:b/>
      <w:bCs/>
      <w:kern w:val="44"/>
      <w:szCs w:val="44"/>
    </w:rPr>
  </w:style>
  <w:style w:type="paragraph" w:styleId="4">
    <w:name w:val="heading 2"/>
    <w:basedOn w:val="1"/>
    <w:next w:val="1"/>
    <w:unhideWhenUsed/>
    <w:qFormat/>
    <w:locked/>
    <w:uiPriority w:val="0"/>
    <w:pPr>
      <w:keepNext/>
      <w:keepLines/>
      <w:outlineLvl w:val="1"/>
    </w:pPr>
    <w:rPr>
      <w:b/>
    </w:rPr>
  </w:style>
  <w:style w:type="paragraph" w:styleId="5">
    <w:name w:val="heading 3"/>
    <w:basedOn w:val="1"/>
    <w:next w:val="1"/>
    <w:link w:val="38"/>
    <w:qFormat/>
    <w:locked/>
    <w:uiPriority w:val="0"/>
    <w:pPr>
      <w:keepNext/>
      <w:keepLines/>
      <w:outlineLvl w:val="2"/>
    </w:pPr>
    <w:rPr>
      <w:b/>
      <w:bCs/>
      <w:szCs w:val="32"/>
    </w:rPr>
  </w:style>
  <w:style w:type="paragraph" w:styleId="6">
    <w:name w:val="heading 4"/>
    <w:basedOn w:val="1"/>
    <w:next w:val="1"/>
    <w:unhideWhenUsed/>
    <w:qFormat/>
    <w:locked/>
    <w:uiPriority w:val="0"/>
    <w:pPr>
      <w:keepNext/>
      <w:keepLines/>
      <w:ind w:firstLine="560"/>
      <w:outlineLvl w:val="3"/>
    </w:pPr>
    <w:rPr>
      <w:b/>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7"/>
    <w:qFormat/>
    <w:uiPriority w:val="99"/>
    <w:pPr>
      <w:adjustRightInd w:val="0"/>
      <w:spacing w:line="540" w:lineRule="exact"/>
      <w:ind w:firstLine="560"/>
      <w:jc w:val="left"/>
    </w:pPr>
    <w:rPr>
      <w:rFonts w:ascii="宋体"/>
      <w:kern w:val="0"/>
    </w:rPr>
  </w:style>
  <w:style w:type="paragraph" w:styleId="7">
    <w:name w:val="Normal Indent"/>
    <w:basedOn w:val="1"/>
    <w:qFormat/>
    <w:uiPriority w:val="0"/>
    <w:pPr>
      <w:ind w:firstLine="420"/>
    </w:pPr>
    <w:rPr>
      <w:rFonts w:ascii="仿宋_GB2312"/>
      <w:sz w:val="30"/>
      <w:szCs w:val="30"/>
    </w:rPr>
  </w:style>
  <w:style w:type="paragraph" w:styleId="8">
    <w:name w:val="Document Map"/>
    <w:basedOn w:val="1"/>
    <w:link w:val="40"/>
    <w:semiHidden/>
    <w:unhideWhenUsed/>
    <w:qFormat/>
    <w:uiPriority w:val="99"/>
    <w:rPr>
      <w:rFonts w:ascii="宋体"/>
      <w:sz w:val="18"/>
      <w:szCs w:val="18"/>
    </w:rPr>
  </w:style>
  <w:style w:type="paragraph" w:styleId="9">
    <w:name w:val="annotation text"/>
    <w:basedOn w:val="1"/>
    <w:link w:val="54"/>
    <w:semiHidden/>
    <w:unhideWhenUsed/>
    <w:qFormat/>
    <w:uiPriority w:val="99"/>
    <w:pPr>
      <w:jc w:val="left"/>
    </w:pPr>
  </w:style>
  <w:style w:type="paragraph" w:styleId="10">
    <w:name w:val="Body Text"/>
    <w:basedOn w:val="1"/>
    <w:link w:val="36"/>
    <w:semiHidden/>
    <w:unhideWhenUsed/>
    <w:qFormat/>
    <w:uiPriority w:val="99"/>
    <w:pPr>
      <w:spacing w:after="120"/>
    </w:pPr>
  </w:style>
  <w:style w:type="paragraph" w:styleId="11">
    <w:name w:val="Block Text"/>
    <w:basedOn w:val="1"/>
    <w:qFormat/>
    <w:uiPriority w:val="0"/>
    <w:pPr>
      <w:ind w:left="360" w:right="-20" w:firstLine="585"/>
      <w:textAlignment w:val="baseline"/>
    </w:pPr>
    <w:rPr>
      <w:rFonts w:ascii="楷体_GB2312" w:eastAsia="楷体_GB2312"/>
      <w:kern w:val="0"/>
    </w:rPr>
  </w:style>
  <w:style w:type="paragraph" w:styleId="12">
    <w:name w:val="toc 3"/>
    <w:basedOn w:val="1"/>
    <w:next w:val="1"/>
    <w:qFormat/>
    <w:locked/>
    <w:uiPriority w:val="0"/>
    <w:pPr>
      <w:ind w:left="840" w:leftChars="400"/>
    </w:pPr>
  </w:style>
  <w:style w:type="paragraph" w:styleId="13">
    <w:name w:val="Plain Text"/>
    <w:basedOn w:val="1"/>
    <w:link w:val="28"/>
    <w:qFormat/>
    <w:uiPriority w:val="0"/>
    <w:rPr>
      <w:rFonts w:ascii="宋体" w:hAnsi="Courier New" w:cs="Courier New"/>
      <w:szCs w:val="21"/>
    </w:rPr>
  </w:style>
  <w:style w:type="paragraph" w:styleId="14">
    <w:name w:val="Date"/>
    <w:basedOn w:val="1"/>
    <w:next w:val="1"/>
    <w:link w:val="37"/>
    <w:qFormat/>
    <w:uiPriority w:val="0"/>
    <w:pPr>
      <w:ind w:left="100" w:leftChars="2500"/>
    </w:pPr>
  </w:style>
  <w:style w:type="paragraph" w:styleId="15">
    <w:name w:val="Body Text Indent 2"/>
    <w:basedOn w:val="1"/>
    <w:qFormat/>
    <w:uiPriority w:val="0"/>
    <w:pPr>
      <w:ind w:firstLine="570"/>
    </w:pPr>
    <w:rPr>
      <w:rFonts w:ascii="仿宋_GB2312"/>
      <w:szCs w:val="28"/>
    </w:rPr>
  </w:style>
  <w:style w:type="paragraph" w:styleId="16">
    <w:name w:val="Balloon Text"/>
    <w:basedOn w:val="1"/>
    <w:link w:val="29"/>
    <w:qFormat/>
    <w:uiPriority w:val="99"/>
    <w:rPr>
      <w:sz w:val="18"/>
      <w:szCs w:val="18"/>
    </w:rPr>
  </w:style>
  <w:style w:type="paragraph" w:styleId="17">
    <w:name w:val="footer"/>
    <w:basedOn w:val="1"/>
    <w:link w:val="30"/>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8">
    <w:name w:val="header"/>
    <w:basedOn w:val="1"/>
    <w:link w:val="31"/>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locked/>
    <w:uiPriority w:val="0"/>
  </w:style>
  <w:style w:type="paragraph" w:styleId="20">
    <w:name w:val="Body Text Indent 3"/>
    <w:basedOn w:val="1"/>
    <w:qFormat/>
    <w:uiPriority w:val="0"/>
    <w:pPr>
      <w:spacing w:after="120"/>
      <w:ind w:left="420" w:leftChars="200"/>
    </w:pPr>
    <w:rPr>
      <w:sz w:val="16"/>
      <w:szCs w:val="16"/>
    </w:rPr>
  </w:style>
  <w:style w:type="paragraph" w:styleId="21">
    <w:name w:val="toc 2"/>
    <w:basedOn w:val="1"/>
    <w:next w:val="1"/>
    <w:qFormat/>
    <w:locked/>
    <w:uiPriority w:val="0"/>
    <w:pPr>
      <w:ind w:left="420" w:leftChars="200"/>
    </w:pPr>
  </w:style>
  <w:style w:type="paragraph" w:styleId="22">
    <w:name w:val="annotation subject"/>
    <w:basedOn w:val="9"/>
    <w:next w:val="9"/>
    <w:link w:val="55"/>
    <w:semiHidden/>
    <w:unhideWhenUsed/>
    <w:qFormat/>
    <w:uiPriority w:val="99"/>
    <w:rPr>
      <w:b/>
      <w:bCs/>
    </w:rPr>
  </w:style>
  <w:style w:type="table" w:styleId="24">
    <w:name w:val="Table Grid"/>
    <w:basedOn w:val="23"/>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annotation reference"/>
    <w:basedOn w:val="25"/>
    <w:semiHidden/>
    <w:unhideWhenUsed/>
    <w:qFormat/>
    <w:uiPriority w:val="99"/>
    <w:rPr>
      <w:sz w:val="21"/>
      <w:szCs w:val="21"/>
    </w:rPr>
  </w:style>
  <w:style w:type="character" w:customStyle="1" w:styleId="27">
    <w:name w:val="正文文本缩进 字符"/>
    <w:basedOn w:val="25"/>
    <w:link w:val="2"/>
    <w:qFormat/>
    <w:locked/>
    <w:uiPriority w:val="99"/>
    <w:rPr>
      <w:rFonts w:ascii="宋体" w:hAnsi="Times New Roman" w:eastAsia="宋体" w:cs="Times New Roman"/>
      <w:kern w:val="0"/>
      <w:sz w:val="24"/>
      <w:szCs w:val="24"/>
    </w:rPr>
  </w:style>
  <w:style w:type="character" w:customStyle="1" w:styleId="28">
    <w:name w:val="纯文本 字符"/>
    <w:basedOn w:val="25"/>
    <w:link w:val="13"/>
    <w:semiHidden/>
    <w:qFormat/>
    <w:locked/>
    <w:uiPriority w:val="99"/>
    <w:rPr>
      <w:rFonts w:ascii="宋体" w:hAnsi="Courier New" w:eastAsia="宋体" w:cs="Courier New"/>
      <w:sz w:val="21"/>
      <w:szCs w:val="21"/>
    </w:rPr>
  </w:style>
  <w:style w:type="character" w:customStyle="1" w:styleId="29">
    <w:name w:val="批注框文本 字符"/>
    <w:basedOn w:val="25"/>
    <w:link w:val="16"/>
    <w:semiHidden/>
    <w:qFormat/>
    <w:locked/>
    <w:uiPriority w:val="99"/>
    <w:rPr>
      <w:rFonts w:ascii="Times New Roman" w:hAnsi="Times New Roman" w:eastAsia="宋体" w:cs="Times New Roman"/>
      <w:sz w:val="18"/>
      <w:szCs w:val="18"/>
    </w:rPr>
  </w:style>
  <w:style w:type="character" w:customStyle="1" w:styleId="30">
    <w:name w:val="页脚 字符"/>
    <w:basedOn w:val="25"/>
    <w:link w:val="17"/>
    <w:semiHidden/>
    <w:qFormat/>
    <w:locked/>
    <w:uiPriority w:val="99"/>
    <w:rPr>
      <w:rFonts w:eastAsia="宋体" w:cs="Times New Roman"/>
      <w:sz w:val="18"/>
      <w:szCs w:val="18"/>
    </w:rPr>
  </w:style>
  <w:style w:type="character" w:customStyle="1" w:styleId="31">
    <w:name w:val="页眉 字符"/>
    <w:basedOn w:val="25"/>
    <w:link w:val="18"/>
    <w:semiHidden/>
    <w:qFormat/>
    <w:locked/>
    <w:uiPriority w:val="99"/>
    <w:rPr>
      <w:rFonts w:cs="Times New Roman"/>
      <w:sz w:val="18"/>
      <w:szCs w:val="18"/>
    </w:rPr>
  </w:style>
  <w:style w:type="paragraph" w:customStyle="1" w:styleId="32">
    <w:name w:val="Char"/>
    <w:basedOn w:val="1"/>
    <w:qFormat/>
    <w:uiPriority w:val="0"/>
    <w:pPr>
      <w:ind w:left="-48"/>
    </w:pPr>
  </w:style>
  <w:style w:type="paragraph" w:customStyle="1" w:styleId="33">
    <w:name w:val="Char1"/>
    <w:basedOn w:val="1"/>
    <w:qFormat/>
    <w:uiPriority w:val="0"/>
    <w:pPr>
      <w:ind w:left="-48"/>
    </w:pPr>
  </w:style>
  <w:style w:type="paragraph" w:customStyle="1" w:styleId="34">
    <w:name w:val="Char Char Char"/>
    <w:basedOn w:val="1"/>
    <w:qFormat/>
    <w:uiPriority w:val="0"/>
    <w:rPr>
      <w:rFonts w:ascii="Tahoma" w:hAnsi="Tahoma"/>
      <w:sz w:val="24"/>
      <w:szCs w:val="20"/>
    </w:rPr>
  </w:style>
  <w:style w:type="paragraph" w:styleId="35">
    <w:name w:val="List Paragraph"/>
    <w:basedOn w:val="1"/>
    <w:unhideWhenUsed/>
    <w:qFormat/>
    <w:uiPriority w:val="99"/>
    <w:pPr>
      <w:ind w:firstLine="420"/>
    </w:pPr>
  </w:style>
  <w:style w:type="character" w:customStyle="1" w:styleId="36">
    <w:name w:val="正文文本 字符"/>
    <w:basedOn w:val="25"/>
    <w:link w:val="10"/>
    <w:semiHidden/>
    <w:qFormat/>
    <w:uiPriority w:val="99"/>
    <w:rPr>
      <w:kern w:val="2"/>
      <w:sz w:val="21"/>
      <w:szCs w:val="24"/>
    </w:rPr>
  </w:style>
  <w:style w:type="character" w:customStyle="1" w:styleId="37">
    <w:name w:val="日期 字符"/>
    <w:basedOn w:val="25"/>
    <w:link w:val="14"/>
    <w:qFormat/>
    <w:uiPriority w:val="0"/>
    <w:rPr>
      <w:kern w:val="2"/>
      <w:sz w:val="21"/>
      <w:szCs w:val="24"/>
    </w:rPr>
  </w:style>
  <w:style w:type="character" w:customStyle="1" w:styleId="38">
    <w:name w:val="标题 3 字符"/>
    <w:basedOn w:val="25"/>
    <w:link w:val="5"/>
    <w:qFormat/>
    <w:uiPriority w:val="0"/>
    <w:rPr>
      <w:rFonts w:ascii="Times New Roman" w:hAnsi="Times New Roman" w:eastAsia="仿宋_GB2312"/>
      <w:b/>
      <w:bCs/>
      <w:kern w:val="2"/>
      <w:sz w:val="28"/>
      <w:szCs w:val="32"/>
    </w:rPr>
  </w:style>
  <w:style w:type="character" w:customStyle="1" w:styleId="39">
    <w:name w:val="标题 1 字符"/>
    <w:basedOn w:val="25"/>
    <w:link w:val="3"/>
    <w:qFormat/>
    <w:uiPriority w:val="0"/>
    <w:rPr>
      <w:rFonts w:eastAsia="仿宋_GB2312"/>
      <w:b/>
      <w:bCs/>
      <w:kern w:val="44"/>
      <w:sz w:val="28"/>
      <w:szCs w:val="44"/>
    </w:rPr>
  </w:style>
  <w:style w:type="character" w:customStyle="1" w:styleId="40">
    <w:name w:val="文档结构图 字符"/>
    <w:basedOn w:val="25"/>
    <w:link w:val="8"/>
    <w:semiHidden/>
    <w:qFormat/>
    <w:uiPriority w:val="99"/>
    <w:rPr>
      <w:rFonts w:ascii="宋体"/>
      <w:kern w:val="2"/>
      <w:sz w:val="18"/>
      <w:szCs w:val="18"/>
    </w:rPr>
  </w:style>
  <w:style w:type="character" w:styleId="41">
    <w:name w:val="Placeholder Text"/>
    <w:basedOn w:val="25"/>
    <w:unhideWhenUsed/>
    <w:qFormat/>
    <w:uiPriority w:val="99"/>
    <w:rPr>
      <w:color w:val="808080"/>
    </w:rPr>
  </w:style>
  <w:style w:type="paragraph" w:customStyle="1" w:styleId="42">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43">
    <w:name w:val="font21"/>
    <w:basedOn w:val="25"/>
    <w:qFormat/>
    <w:uiPriority w:val="0"/>
    <w:rPr>
      <w:rFonts w:hint="eastAsia" w:ascii="宋体" w:hAnsi="宋体" w:eastAsia="宋体" w:cs="宋体"/>
      <w:color w:val="000000"/>
      <w:sz w:val="20"/>
      <w:szCs w:val="20"/>
      <w:u w:val="none"/>
    </w:rPr>
  </w:style>
  <w:style w:type="character" w:customStyle="1" w:styleId="44">
    <w:name w:val="font31"/>
    <w:basedOn w:val="25"/>
    <w:qFormat/>
    <w:uiPriority w:val="0"/>
    <w:rPr>
      <w:rFonts w:hint="default" w:ascii="Arial Narrow" w:hAnsi="Arial Narrow" w:eastAsia="Arial Narrow" w:cs="Arial Narrow"/>
      <w:color w:val="000000"/>
      <w:sz w:val="20"/>
      <w:szCs w:val="20"/>
      <w:u w:val="none"/>
    </w:rPr>
  </w:style>
  <w:style w:type="character" w:customStyle="1" w:styleId="45">
    <w:name w:val="font01"/>
    <w:basedOn w:val="25"/>
    <w:qFormat/>
    <w:uiPriority w:val="0"/>
    <w:rPr>
      <w:rFonts w:hint="default" w:ascii="Arial Narrow" w:hAnsi="Arial Narrow" w:eastAsia="Arial Narrow" w:cs="Arial Narrow"/>
      <w:color w:val="000000"/>
      <w:sz w:val="20"/>
      <w:szCs w:val="20"/>
      <w:u w:val="none"/>
    </w:rPr>
  </w:style>
  <w:style w:type="character" w:customStyle="1" w:styleId="46">
    <w:name w:val="标题 1 Char1"/>
    <w:qFormat/>
    <w:uiPriority w:val="99"/>
    <w:rPr>
      <w:b/>
      <w:kern w:val="44"/>
      <w:sz w:val="44"/>
      <w:szCs w:val="24"/>
    </w:rPr>
  </w:style>
  <w:style w:type="character" w:customStyle="1" w:styleId="47">
    <w:name w:val="font41"/>
    <w:qFormat/>
    <w:uiPriority w:val="0"/>
    <w:rPr>
      <w:rFonts w:hint="eastAsia" w:ascii="宋体" w:hAnsi="宋体" w:eastAsia="宋体" w:cs="宋体"/>
      <w:color w:val="000000"/>
      <w:sz w:val="18"/>
      <w:szCs w:val="18"/>
      <w:u w:val="none"/>
    </w:rPr>
  </w:style>
  <w:style w:type="paragraph" w:customStyle="1" w:styleId="48">
    <w:name w:val="CM40"/>
    <w:basedOn w:val="42"/>
    <w:next w:val="42"/>
    <w:unhideWhenUsed/>
    <w:qFormat/>
    <w:uiPriority w:val="99"/>
    <w:pPr>
      <w:spacing w:after="123"/>
    </w:pPr>
  </w:style>
  <w:style w:type="paragraph" w:customStyle="1" w:styleId="49">
    <w:name w:val="CM6"/>
    <w:basedOn w:val="42"/>
    <w:next w:val="42"/>
    <w:unhideWhenUsed/>
    <w:qFormat/>
    <w:uiPriority w:val="99"/>
    <w:pPr>
      <w:spacing w:line="440" w:lineRule="atLeast"/>
    </w:pPr>
  </w:style>
  <w:style w:type="paragraph" w:customStyle="1" w:styleId="50">
    <w:name w:val="WPSOffice手动目录 1"/>
    <w:qFormat/>
    <w:uiPriority w:val="0"/>
    <w:rPr>
      <w:rFonts w:ascii="Times New Roman" w:hAnsi="Times New Roman" w:eastAsia="宋体" w:cs="Times New Roman"/>
      <w:lang w:val="en-US" w:eastAsia="zh-CN" w:bidi="ar-SA"/>
    </w:rPr>
  </w:style>
  <w:style w:type="paragraph" w:customStyle="1" w:styleId="5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2">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53">
    <w:name w:val="地质资料正文"/>
    <w:basedOn w:val="1"/>
    <w:qFormat/>
    <w:uiPriority w:val="0"/>
    <w:pPr>
      <w:spacing w:before="156" w:beforeLines="50" w:line="360" w:lineRule="exact"/>
      <w:ind w:firstLine="420"/>
    </w:pPr>
    <w:rPr>
      <w:rFonts w:ascii="宋体" w:hAnsi="宋体"/>
      <w:szCs w:val="21"/>
    </w:rPr>
  </w:style>
  <w:style w:type="character" w:customStyle="1" w:styleId="54">
    <w:name w:val="批注文字 字符"/>
    <w:basedOn w:val="25"/>
    <w:link w:val="9"/>
    <w:semiHidden/>
    <w:uiPriority w:val="99"/>
    <w:rPr>
      <w:rFonts w:eastAsia="仿宋_GB2312"/>
      <w:kern w:val="2"/>
      <w:sz w:val="28"/>
      <w:szCs w:val="24"/>
    </w:rPr>
  </w:style>
  <w:style w:type="character" w:customStyle="1" w:styleId="55">
    <w:name w:val="批注主题 字符"/>
    <w:basedOn w:val="54"/>
    <w:link w:val="22"/>
    <w:semiHidden/>
    <w:uiPriority w:val="99"/>
    <w:rPr>
      <w:rFonts w:eastAsia="仿宋_GB2312"/>
      <w:b/>
      <w:bCs/>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0FC2AF-4B1D-4E8D-A884-58D800421F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1165</Words>
  <Characters>6644</Characters>
  <Lines>55</Lines>
  <Paragraphs>15</Paragraphs>
  <TotalTime>0</TotalTime>
  <ScaleCrop>false</ScaleCrop>
  <LinksUpToDate>false</LinksUpToDate>
  <CharactersWithSpaces>7794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86139</cp:lastModifiedBy>
  <cp:lastPrinted>2020-11-13T02:11:00Z</cp:lastPrinted>
  <dcterms:modified xsi:type="dcterms:W3CDTF">2021-08-24T13:54:25Z</dcterms:modified>
  <cp:revision>441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ADDB26439BD94F67BAECF2AD6AE02933</vt:lpwstr>
  </property>
</Properties>
</file>