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90" w:lineRule="exact"/>
        <w:jc w:val="center"/>
        <w:rPr>
          <w:rFonts w:hint="eastAsia" w:ascii="方正小标宋简体" w:hAnsi="宋体" w:eastAsia="方正小标宋简体" w:cs="宋体"/>
          <w:sz w:val="30"/>
          <w:szCs w:val="30"/>
        </w:rPr>
      </w:pPr>
      <w:r>
        <w:rPr>
          <w:rFonts w:hint="eastAsia" w:ascii="方正小标宋简体" w:hAnsi="宋体" w:eastAsia="方正小标宋简体" w:cs="宋体"/>
          <w:sz w:val="30"/>
          <w:szCs w:val="30"/>
        </w:rPr>
        <w:t>陆港集团物流园诚信积分管理办法</w:t>
      </w:r>
    </w:p>
    <w:p>
      <w:pPr>
        <w:spacing w:line="440" w:lineRule="exact"/>
        <w:jc w:val="center"/>
        <w:rPr>
          <w:rFonts w:hint="eastAsia" w:ascii="黑体" w:hAnsi="黑体" w:eastAsia="黑体" w:cs="黑体"/>
          <w:spacing w:val="-6"/>
          <w:sz w:val="24"/>
        </w:rPr>
      </w:pPr>
    </w:p>
    <w:p>
      <w:pPr>
        <w:spacing w:line="590" w:lineRule="exact"/>
        <w:jc w:val="center"/>
        <w:rPr>
          <w:rFonts w:ascii="黑体" w:hAnsi="黑体" w:eastAsia="黑体" w:cs="黑体"/>
          <w:spacing w:val="-6"/>
          <w:sz w:val="24"/>
        </w:rPr>
      </w:pPr>
      <w:r>
        <w:rPr>
          <w:rFonts w:hint="eastAsia" w:ascii="黑体" w:hAnsi="黑体" w:eastAsia="黑体" w:cs="黑体"/>
          <w:spacing w:val="-6"/>
          <w:sz w:val="24"/>
        </w:rPr>
        <w:t>第一章 总则</w:t>
      </w:r>
    </w:p>
    <w:p>
      <w:pPr>
        <w:numPr>
          <w:ilvl w:val="0"/>
          <w:numId w:val="1"/>
        </w:numPr>
        <w:spacing w:line="440" w:lineRule="exact"/>
        <w:ind w:firstLine="456" w:firstLineChars="200"/>
        <w:rPr>
          <w:rFonts w:ascii="仿宋_GB2312" w:hAnsi="仿宋_GB2312" w:eastAsia="仿宋_GB2312" w:cs="仿宋_GB2312"/>
          <w:spacing w:val="-6"/>
          <w:sz w:val="24"/>
        </w:rPr>
      </w:pPr>
      <w:r>
        <w:rPr>
          <w:rFonts w:hint="eastAsia" w:ascii="仿宋_GB2312" w:hAnsi="仿宋_GB2312" w:eastAsia="仿宋_GB2312" w:cs="仿宋_GB2312"/>
          <w:spacing w:val="-6"/>
          <w:sz w:val="24"/>
        </w:rPr>
        <w:t>为规范物流园区经营秩序，提高物流企业守法经营和文明意识，培育物流企业做大做强，进一步提升园区诚信经营和安全管理水平，全面落实安全生产、创建、综合治理、诚信经营和实名制登记责任，结合集团实际，特制定本办法。</w:t>
      </w:r>
    </w:p>
    <w:p>
      <w:pPr>
        <w:numPr>
          <w:ilvl w:val="0"/>
          <w:numId w:val="1"/>
        </w:numPr>
        <w:spacing w:line="440" w:lineRule="exact"/>
        <w:ind w:firstLine="456" w:firstLineChars="200"/>
        <w:rPr>
          <w:rFonts w:ascii="仿宋_GB2312" w:hAnsi="仿宋_GB2312" w:eastAsia="仿宋_GB2312" w:cs="仿宋_GB2312"/>
          <w:spacing w:val="-7"/>
          <w:sz w:val="24"/>
        </w:rPr>
      </w:pPr>
      <w:r>
        <w:rPr>
          <w:rFonts w:hint="eastAsia" w:ascii="仿宋_GB2312" w:hAnsi="仿宋_GB2312" w:eastAsia="仿宋_GB2312" w:cs="仿宋_GB2312"/>
          <w:spacing w:val="-6"/>
          <w:sz w:val="24"/>
        </w:rPr>
        <w:t>企业进入物流园区营业，必须依法经营、文明待客、爱护公物，遵守园区安全规章制度，服从园区管理公司依约管理。</w:t>
      </w:r>
    </w:p>
    <w:p>
      <w:pPr>
        <w:numPr>
          <w:ilvl w:val="0"/>
          <w:numId w:val="1"/>
        </w:numPr>
        <w:spacing w:line="440" w:lineRule="exact"/>
        <w:ind w:firstLine="456" w:firstLineChars="200"/>
        <w:rPr>
          <w:rFonts w:ascii="仿宋_GB2312" w:hAnsi="仿宋_GB2312" w:eastAsia="仿宋_GB2312" w:cs="仿宋_GB2312"/>
          <w:spacing w:val="-6"/>
          <w:sz w:val="24"/>
        </w:rPr>
      </w:pPr>
      <w:r>
        <w:rPr>
          <w:rFonts w:hint="eastAsia" w:ascii="仿宋_GB2312" w:hAnsi="仿宋_GB2312" w:eastAsia="仿宋_GB2312" w:cs="仿宋_GB2312"/>
          <w:spacing w:val="-6"/>
          <w:sz w:val="24"/>
        </w:rPr>
        <w:t>园区管理公司对入园物流企业实施物流园诚信积分管理，对遵守诚信经营的物流企业予以加分和奖励，对违反诚信文明经营的物流企业予以扣分和处罚。</w:t>
      </w:r>
    </w:p>
    <w:p>
      <w:pPr>
        <w:numPr>
          <w:ilvl w:val="0"/>
          <w:numId w:val="1"/>
        </w:numPr>
        <w:spacing w:line="440" w:lineRule="exact"/>
        <w:ind w:firstLine="456" w:firstLineChars="200"/>
        <w:rPr>
          <w:rFonts w:ascii="仿宋_GB2312" w:hAnsi="仿宋_GB2312" w:eastAsia="仿宋_GB2312" w:cs="仿宋_GB2312"/>
          <w:spacing w:val="-6"/>
          <w:sz w:val="24"/>
        </w:rPr>
      </w:pPr>
      <w:r>
        <w:rPr>
          <w:rFonts w:hint="eastAsia" w:ascii="仿宋_GB2312" w:hAnsi="仿宋_GB2312" w:eastAsia="仿宋_GB2312" w:cs="仿宋_GB2312"/>
          <w:spacing w:val="-6"/>
          <w:sz w:val="24"/>
        </w:rPr>
        <w:t>集团所属各物流园区内的物流企业适用本办法。</w:t>
      </w:r>
    </w:p>
    <w:p>
      <w:pPr>
        <w:numPr>
          <w:ilvl w:val="0"/>
          <w:numId w:val="1"/>
        </w:numPr>
        <w:spacing w:line="440" w:lineRule="exact"/>
        <w:ind w:firstLine="456" w:firstLineChars="200"/>
        <w:rPr>
          <w:rFonts w:ascii="仿宋_GB2312" w:hAnsi="仿宋_GB2312" w:eastAsia="仿宋_GB2312" w:cs="仿宋_GB2312"/>
          <w:spacing w:val="-6"/>
          <w:sz w:val="24"/>
        </w:rPr>
      </w:pPr>
      <w:r>
        <w:rPr>
          <w:rFonts w:hint="eastAsia" w:ascii="仿宋_GB2312" w:hAnsi="仿宋_GB2312" w:eastAsia="仿宋_GB2312" w:cs="仿宋_GB2312"/>
          <w:spacing w:val="-6"/>
          <w:sz w:val="24"/>
        </w:rPr>
        <w:t>本办法由集团所属各物流园管理公司负责实施。</w:t>
      </w:r>
    </w:p>
    <w:p>
      <w:pPr>
        <w:numPr>
          <w:ilvl w:val="0"/>
          <w:numId w:val="1"/>
        </w:numPr>
        <w:spacing w:line="440" w:lineRule="exact"/>
        <w:ind w:firstLine="456" w:firstLineChars="200"/>
        <w:rPr>
          <w:rFonts w:ascii="仿宋_GB2312" w:hAnsi="仿宋_GB2312" w:eastAsia="仿宋_GB2312" w:cs="仿宋_GB2312"/>
          <w:spacing w:val="-6"/>
          <w:sz w:val="24"/>
        </w:rPr>
      </w:pPr>
      <w:r>
        <w:rPr>
          <w:rFonts w:hint="eastAsia" w:ascii="仿宋_GB2312" w:hAnsi="仿宋_GB2312" w:eastAsia="仿宋_GB2312" w:cs="仿宋_GB2312"/>
          <w:spacing w:val="-6"/>
          <w:sz w:val="24"/>
        </w:rPr>
        <w:t>企业年租金同时受诚信积分排名与物流企业效益综合评价的影响。年租金</w:t>
      </w:r>
      <w:r>
        <w:rPr>
          <w:rFonts w:ascii="Times New Roman" w:hAnsi="Times New Roman" w:eastAsia="仿宋_GB2312"/>
          <w:spacing w:val="-6"/>
          <w:sz w:val="24"/>
        </w:rPr>
        <w:t>=</w:t>
      </w:r>
      <w:r>
        <w:rPr>
          <w:rFonts w:hint="eastAsia" w:ascii="仿宋_GB2312" w:hAnsi="仿宋_GB2312" w:eastAsia="仿宋_GB2312" w:cs="仿宋_GB2312"/>
          <w:spacing w:val="-6"/>
          <w:sz w:val="24"/>
        </w:rPr>
        <w:t>租金基准</w:t>
      </w:r>
      <w:r>
        <w:rPr>
          <w:rFonts w:hint="eastAsia" w:ascii="Times New Roman" w:hAnsi="Times New Roman" w:eastAsia="仿宋_GB2312"/>
          <w:spacing w:val="-6"/>
          <w:sz w:val="24"/>
        </w:rPr>
        <w:t>价×</w:t>
      </w:r>
      <w:r>
        <w:rPr>
          <w:rFonts w:hint="eastAsia" w:ascii="仿宋_GB2312" w:hAnsi="仿宋_GB2312" w:eastAsia="仿宋_GB2312" w:cs="仿宋_GB2312"/>
          <w:spacing w:val="-6"/>
          <w:sz w:val="24"/>
        </w:rPr>
        <w:t>（物流园诚信积分排名奖惩情况+通报批评情况）×物流企业效益综合评价。</w:t>
      </w:r>
    </w:p>
    <w:p>
      <w:pPr>
        <w:spacing w:line="590" w:lineRule="exact"/>
        <w:jc w:val="center"/>
        <w:rPr>
          <w:rFonts w:hint="eastAsia" w:ascii="黑体" w:hAnsi="黑体" w:eastAsia="黑体" w:cs="黑体"/>
          <w:spacing w:val="-6"/>
          <w:sz w:val="24"/>
        </w:rPr>
      </w:pPr>
      <w:r>
        <w:rPr>
          <w:rFonts w:hint="eastAsia" w:ascii="黑体" w:hAnsi="黑体" w:eastAsia="黑体" w:cs="黑体"/>
          <w:spacing w:val="-6"/>
          <w:sz w:val="24"/>
        </w:rPr>
        <w:t>第二章 物流园诚信积分管理规则</w:t>
      </w:r>
    </w:p>
    <w:p>
      <w:pPr>
        <w:numPr>
          <w:ilvl w:val="0"/>
          <w:numId w:val="1"/>
        </w:numPr>
        <w:spacing w:line="440" w:lineRule="exact"/>
        <w:ind w:firstLine="456" w:firstLineChars="200"/>
        <w:rPr>
          <w:rFonts w:ascii="仿宋_GB2312" w:hAnsi="仿宋_GB2312" w:eastAsia="仿宋_GB2312" w:cs="仿宋_GB2312"/>
          <w:spacing w:val="-6"/>
          <w:sz w:val="24"/>
        </w:rPr>
      </w:pPr>
      <w:r>
        <w:rPr>
          <w:rFonts w:hint="eastAsia" w:ascii="仿宋_GB2312" w:hAnsi="仿宋_GB2312" w:eastAsia="仿宋_GB2312" w:cs="仿宋_GB2312"/>
          <w:spacing w:val="-6"/>
          <w:sz w:val="24"/>
        </w:rPr>
        <w:t>物流园诚信积分管理规则</w:t>
      </w:r>
    </w:p>
    <w:p>
      <w:pPr>
        <w:numPr>
          <w:ilvl w:val="0"/>
          <w:numId w:val="2"/>
        </w:numPr>
        <w:spacing w:line="440" w:lineRule="exact"/>
        <w:ind w:firstLine="456" w:firstLineChars="200"/>
        <w:rPr>
          <w:rFonts w:ascii="仿宋_GB2312" w:hAnsi="仿宋_GB2312" w:eastAsia="仿宋_GB2312" w:cs="仿宋_GB2312"/>
          <w:spacing w:val="-6"/>
          <w:sz w:val="24"/>
        </w:rPr>
      </w:pPr>
      <w:r>
        <w:rPr>
          <w:rFonts w:hint="eastAsia" w:ascii="仿宋_GB2312" w:hAnsi="仿宋_GB2312" w:eastAsia="仿宋_GB2312" w:cs="仿宋_GB2312"/>
          <w:spacing w:val="-6"/>
          <w:sz w:val="24"/>
        </w:rPr>
        <w:t>考核对象为入园的物流企业（招投标企业根据招投标公告另行约定），承租合同单独计分，起始分为100分，考核结果运用，仅限于本合同。</w:t>
      </w:r>
    </w:p>
    <w:p>
      <w:pPr>
        <w:numPr>
          <w:ilvl w:val="0"/>
          <w:numId w:val="2"/>
        </w:numPr>
        <w:spacing w:line="440" w:lineRule="exact"/>
        <w:ind w:firstLine="456" w:firstLineChars="200"/>
        <w:rPr>
          <w:rFonts w:ascii="仿宋_GB2312" w:hAnsi="仿宋_GB2312" w:eastAsia="仿宋_GB2312" w:cs="仿宋_GB2312"/>
          <w:spacing w:val="-6"/>
          <w:sz w:val="24"/>
        </w:rPr>
      </w:pPr>
      <w:r>
        <w:rPr>
          <w:rFonts w:hint="eastAsia" w:ascii="仿宋_GB2312" w:hAnsi="仿宋_GB2312" w:eastAsia="仿宋_GB2312" w:cs="仿宋_GB2312"/>
          <w:spacing w:val="-6"/>
          <w:sz w:val="24"/>
        </w:rPr>
        <w:t>同一个承租企业，相邻档口不允许拆分签署承租合同。</w:t>
      </w:r>
    </w:p>
    <w:p>
      <w:pPr>
        <w:numPr>
          <w:ilvl w:val="0"/>
          <w:numId w:val="2"/>
        </w:numPr>
        <w:spacing w:line="440" w:lineRule="exact"/>
        <w:ind w:firstLine="456" w:firstLineChars="200"/>
        <w:rPr>
          <w:rFonts w:ascii="仿宋_GB2312" w:hAnsi="仿宋_GB2312" w:eastAsia="仿宋_GB2312" w:cs="仿宋_GB2312"/>
          <w:spacing w:val="-6"/>
          <w:sz w:val="24"/>
        </w:rPr>
      </w:pPr>
      <w:r>
        <w:rPr>
          <w:rFonts w:hint="eastAsia" w:ascii="仿宋_GB2312" w:hAnsi="仿宋_GB2312" w:eastAsia="仿宋_GB2312" w:cs="仿宋_GB2312"/>
          <w:spacing w:val="-6"/>
          <w:sz w:val="24"/>
        </w:rPr>
        <w:t>签署合同之日起，一周年为一个诚信积分考核周期，下一周期重新计分。每月诚信积分情况于次月5日前向物流企业公示，遇节假日顺延。</w:t>
      </w:r>
    </w:p>
    <w:p>
      <w:pPr>
        <w:spacing w:line="590" w:lineRule="exact"/>
        <w:jc w:val="center"/>
        <w:rPr>
          <w:rFonts w:hint="eastAsia" w:ascii="黑体" w:hAnsi="黑体" w:eastAsia="黑体" w:cs="黑体"/>
          <w:spacing w:val="-6"/>
          <w:sz w:val="24"/>
        </w:rPr>
      </w:pPr>
      <w:r>
        <w:rPr>
          <w:rFonts w:hint="eastAsia" w:ascii="黑体" w:hAnsi="黑体" w:eastAsia="黑体" w:cs="黑体"/>
          <w:spacing w:val="-6"/>
          <w:sz w:val="24"/>
        </w:rPr>
        <w:t>第三章 诚信积分管理细则</w:t>
      </w:r>
    </w:p>
    <w:p>
      <w:pPr>
        <w:numPr>
          <w:ilvl w:val="0"/>
          <w:numId w:val="1"/>
        </w:numPr>
        <w:spacing w:line="440" w:lineRule="exact"/>
        <w:ind w:firstLine="456" w:firstLineChars="200"/>
        <w:rPr>
          <w:rFonts w:ascii="仿宋_GB2312" w:hAnsi="仿宋_GB2312" w:eastAsia="仿宋_GB2312" w:cs="仿宋_GB2312"/>
          <w:spacing w:val="-6"/>
          <w:sz w:val="24"/>
        </w:rPr>
      </w:pPr>
      <w:r>
        <w:rPr>
          <w:rFonts w:hint="eastAsia" w:ascii="仿宋_GB2312" w:hAnsi="仿宋_GB2312" w:eastAsia="仿宋_GB2312" w:cs="仿宋_GB2312"/>
          <w:spacing w:val="-6"/>
          <w:sz w:val="24"/>
        </w:rPr>
        <w:t>遵守诚信积分管理办法、表现优良的，按以下标准实施加分：</w:t>
      </w:r>
    </w:p>
    <w:p>
      <w:pPr>
        <w:pStyle w:val="5"/>
        <w:numPr>
          <w:ilvl w:val="0"/>
          <w:numId w:val="3"/>
        </w:numPr>
        <w:snapToGrid w:val="0"/>
        <w:spacing w:line="440" w:lineRule="exact"/>
        <w:ind w:left="0" w:firstLine="456" w:firstLineChars="200"/>
        <w:rPr>
          <w:rFonts w:ascii="仿宋_GB2312" w:hAnsi="仿宋_GB2312" w:eastAsia="仿宋_GB2312" w:cs="仿宋_GB2312"/>
          <w:spacing w:val="-6"/>
          <w:kern w:val="2"/>
          <w:sz w:val="24"/>
          <w:szCs w:val="24"/>
        </w:rPr>
      </w:pPr>
      <w:r>
        <w:rPr>
          <w:rFonts w:hint="eastAsia" w:ascii="仿宋_GB2312" w:hAnsi="仿宋_GB2312" w:eastAsia="仿宋_GB2312" w:cs="仿宋_GB2312"/>
          <w:spacing w:val="-6"/>
          <w:kern w:val="2"/>
          <w:sz w:val="24"/>
          <w:szCs w:val="24"/>
        </w:rPr>
        <w:t>有下列行为之一的，视情节奖励1分：</w:t>
      </w:r>
    </w:p>
    <w:p>
      <w:pPr>
        <w:pStyle w:val="5"/>
        <w:numPr>
          <w:ilvl w:val="0"/>
          <w:numId w:val="4"/>
        </w:numPr>
        <w:snapToGrid w:val="0"/>
        <w:spacing w:line="440" w:lineRule="exact"/>
        <w:ind w:firstLine="639"/>
        <w:rPr>
          <w:rFonts w:ascii="仿宋_GB2312" w:hAnsi="仿宋_GB2312" w:eastAsia="仿宋_GB2312" w:cs="仿宋_GB2312"/>
          <w:spacing w:val="-6"/>
          <w:kern w:val="2"/>
          <w:sz w:val="24"/>
          <w:szCs w:val="24"/>
        </w:rPr>
      </w:pPr>
      <w:r>
        <w:rPr>
          <w:rFonts w:hint="eastAsia" w:ascii="仿宋_GB2312" w:hAnsi="仿宋_GB2312" w:eastAsia="仿宋_GB2312" w:cs="仿宋_GB2312"/>
          <w:spacing w:val="-6"/>
          <w:kern w:val="2"/>
          <w:sz w:val="24"/>
          <w:szCs w:val="24"/>
        </w:rPr>
        <w:t>积极参加公益活动，成绩突出的。</w:t>
      </w:r>
    </w:p>
    <w:p>
      <w:pPr>
        <w:pStyle w:val="5"/>
        <w:numPr>
          <w:ilvl w:val="0"/>
          <w:numId w:val="4"/>
        </w:numPr>
        <w:snapToGrid w:val="0"/>
        <w:spacing w:line="440" w:lineRule="exact"/>
        <w:ind w:firstLine="639"/>
        <w:rPr>
          <w:rFonts w:ascii="仿宋_GB2312" w:hAnsi="仿宋_GB2312" w:eastAsia="仿宋_GB2312" w:cs="仿宋_GB2312"/>
          <w:spacing w:val="-6"/>
          <w:kern w:val="2"/>
          <w:sz w:val="24"/>
          <w:szCs w:val="24"/>
        </w:rPr>
      </w:pPr>
      <w:r>
        <w:rPr>
          <w:rFonts w:hint="eastAsia" w:ascii="仿宋_GB2312" w:hAnsi="仿宋_GB2312" w:eastAsia="仿宋_GB2312" w:cs="仿宋_GB2312"/>
          <w:spacing w:val="-6"/>
          <w:kern w:val="2"/>
          <w:sz w:val="24"/>
          <w:szCs w:val="24"/>
        </w:rPr>
        <w:t>积极参加园区管理</w:t>
      </w:r>
      <w:r>
        <w:rPr>
          <w:rFonts w:hint="eastAsia" w:ascii="仿宋_GB2312" w:hAnsi="仿宋_GB2312" w:eastAsia="仿宋_GB2312" w:cs="仿宋_GB2312"/>
          <w:spacing w:val="-6"/>
          <w:sz w:val="24"/>
          <w:szCs w:val="24"/>
        </w:rPr>
        <w:t>公司组织的各类培训</w:t>
      </w:r>
      <w:r>
        <w:rPr>
          <w:rFonts w:hint="eastAsia" w:ascii="仿宋_GB2312" w:hAnsi="仿宋_GB2312" w:eastAsia="仿宋_GB2312" w:cs="仿宋_GB2312"/>
          <w:spacing w:val="-6"/>
          <w:kern w:val="2"/>
          <w:sz w:val="24"/>
          <w:szCs w:val="24"/>
        </w:rPr>
        <w:t>。</w:t>
      </w:r>
    </w:p>
    <w:p>
      <w:pPr>
        <w:pStyle w:val="5"/>
        <w:numPr>
          <w:ilvl w:val="0"/>
          <w:numId w:val="4"/>
        </w:numPr>
        <w:snapToGrid w:val="0"/>
        <w:spacing w:line="440" w:lineRule="exact"/>
        <w:ind w:firstLine="639"/>
        <w:rPr>
          <w:rFonts w:ascii="仿宋_GB2312" w:hAnsi="仿宋_GB2312" w:eastAsia="仿宋_GB2312" w:cs="仿宋_GB2312"/>
          <w:spacing w:val="-6"/>
          <w:kern w:val="2"/>
          <w:sz w:val="24"/>
          <w:szCs w:val="24"/>
        </w:rPr>
      </w:pPr>
      <w:r>
        <w:rPr>
          <w:rFonts w:hint="eastAsia" w:ascii="仿宋_GB2312" w:hAnsi="仿宋_GB2312" w:eastAsia="仿宋_GB2312" w:cs="仿宋_GB2312"/>
          <w:spacing w:val="-6"/>
          <w:sz w:val="24"/>
          <w:szCs w:val="24"/>
        </w:rPr>
        <w:t>对于拒运易燃、易爆、剧毒、危险化学品或管制刀具等危险物品事实，主动检举上报的。</w:t>
      </w:r>
    </w:p>
    <w:p>
      <w:pPr>
        <w:pStyle w:val="5"/>
        <w:numPr>
          <w:ilvl w:val="0"/>
          <w:numId w:val="4"/>
        </w:numPr>
        <w:snapToGrid w:val="0"/>
        <w:spacing w:line="440" w:lineRule="exact"/>
        <w:ind w:firstLine="639"/>
        <w:rPr>
          <w:rFonts w:ascii="仿宋_GB2312" w:hAnsi="仿宋_GB2312" w:eastAsia="仿宋_GB2312" w:cs="仿宋_GB2312"/>
          <w:spacing w:val="-6"/>
          <w:kern w:val="2"/>
          <w:sz w:val="24"/>
          <w:szCs w:val="24"/>
        </w:rPr>
      </w:pPr>
      <w:r>
        <w:rPr>
          <w:rFonts w:hint="eastAsia" w:ascii="仿宋_GB2312" w:hAnsi="仿宋_GB2312" w:eastAsia="仿宋_GB2312" w:cs="仿宋_GB2312"/>
          <w:spacing w:val="-6"/>
          <w:sz w:val="24"/>
          <w:szCs w:val="24"/>
        </w:rPr>
        <w:t>园区管理公司或集团公司表彰的。</w:t>
      </w:r>
    </w:p>
    <w:p>
      <w:pPr>
        <w:pStyle w:val="5"/>
        <w:numPr>
          <w:ilvl w:val="0"/>
          <w:numId w:val="3"/>
        </w:numPr>
        <w:snapToGrid w:val="0"/>
        <w:spacing w:line="440" w:lineRule="exact"/>
        <w:ind w:left="0" w:firstLine="456" w:firstLineChars="200"/>
        <w:rPr>
          <w:rFonts w:ascii="仿宋_GB2312" w:hAnsi="仿宋_GB2312" w:eastAsia="仿宋_GB2312" w:cs="仿宋_GB2312"/>
          <w:spacing w:val="-6"/>
          <w:kern w:val="2"/>
          <w:sz w:val="24"/>
          <w:szCs w:val="24"/>
        </w:rPr>
      </w:pPr>
      <w:r>
        <w:rPr>
          <w:rFonts w:hint="eastAsia" w:ascii="仿宋_GB2312" w:hAnsi="仿宋_GB2312" w:eastAsia="仿宋_GB2312" w:cs="仿宋_GB2312"/>
          <w:spacing w:val="-6"/>
          <w:kern w:val="2"/>
          <w:sz w:val="24"/>
          <w:szCs w:val="24"/>
        </w:rPr>
        <w:t>有下列行为之一的，视情节奖励2分：</w:t>
      </w:r>
    </w:p>
    <w:p>
      <w:pPr>
        <w:pStyle w:val="5"/>
        <w:tabs>
          <w:tab w:val="left" w:pos="312"/>
        </w:tabs>
        <w:snapToGrid w:val="0"/>
        <w:spacing w:line="440" w:lineRule="exact"/>
        <w:ind w:left="0" w:firstLine="456" w:firstLineChars="200"/>
        <w:rPr>
          <w:rFonts w:ascii="仿宋_GB2312" w:hAnsi="仿宋_GB2312" w:eastAsia="仿宋_GB2312" w:cs="仿宋_GB2312"/>
          <w:spacing w:val="-6"/>
          <w:sz w:val="24"/>
          <w:szCs w:val="24"/>
        </w:rPr>
      </w:pPr>
      <w:r>
        <w:rPr>
          <w:rFonts w:hint="eastAsia" w:ascii="仿宋_GB2312" w:hAnsi="仿宋_GB2312" w:eastAsia="仿宋_GB2312" w:cs="仿宋_GB2312"/>
          <w:spacing w:val="-6"/>
          <w:sz w:val="24"/>
          <w:szCs w:val="24"/>
        </w:rPr>
        <w:t>1.使用信息化做好实名制登记工作的，按照规定要求接入统一服务信息平台，报送相关信息，年度信息报送率超过90%的，加2分（仅适用于首次使用时，后续使用不再重复加分）。</w:t>
      </w:r>
    </w:p>
    <w:p>
      <w:pPr>
        <w:pStyle w:val="5"/>
        <w:tabs>
          <w:tab w:val="left" w:pos="312"/>
        </w:tabs>
        <w:snapToGrid w:val="0"/>
        <w:spacing w:line="440" w:lineRule="exact"/>
        <w:ind w:left="0" w:firstLine="456" w:firstLineChars="200"/>
        <w:rPr>
          <w:rFonts w:ascii="仿宋_GB2312" w:hAnsi="仿宋_GB2312" w:eastAsia="仿宋_GB2312" w:cs="仿宋_GB2312"/>
          <w:spacing w:val="-6"/>
          <w:sz w:val="24"/>
          <w:szCs w:val="24"/>
        </w:rPr>
      </w:pPr>
      <w:r>
        <w:rPr>
          <w:rFonts w:hint="eastAsia" w:ascii="仿宋_GB2312" w:hAnsi="仿宋_GB2312" w:eastAsia="仿宋_GB2312" w:cs="仿宋_GB2312"/>
          <w:spacing w:val="-6"/>
          <w:sz w:val="24"/>
          <w:szCs w:val="24"/>
        </w:rPr>
        <w:t>2.义乌市信用主管部门评定的信用等级中被评为A类。</w:t>
      </w:r>
    </w:p>
    <w:p>
      <w:pPr>
        <w:pStyle w:val="5"/>
        <w:tabs>
          <w:tab w:val="left" w:pos="312"/>
        </w:tabs>
        <w:snapToGrid w:val="0"/>
        <w:spacing w:line="440" w:lineRule="exact"/>
        <w:ind w:left="0" w:firstLine="456" w:firstLineChars="200"/>
        <w:rPr>
          <w:rFonts w:ascii="仿宋_GB2312" w:hAnsi="仿宋_GB2312" w:eastAsia="仿宋_GB2312" w:cs="仿宋_GB2312"/>
          <w:spacing w:val="-6"/>
          <w:sz w:val="24"/>
          <w:szCs w:val="24"/>
        </w:rPr>
      </w:pPr>
      <w:r>
        <w:rPr>
          <w:rFonts w:hint="eastAsia" w:ascii="仿宋_GB2312" w:hAnsi="仿宋_GB2312" w:eastAsia="仿宋_GB2312" w:cs="仿宋_GB2312"/>
          <w:spacing w:val="-6"/>
          <w:sz w:val="24"/>
          <w:szCs w:val="24"/>
        </w:rPr>
        <w:t>3.省级相关部门表彰。</w:t>
      </w:r>
    </w:p>
    <w:p>
      <w:pPr>
        <w:pStyle w:val="5"/>
        <w:numPr>
          <w:ilvl w:val="0"/>
          <w:numId w:val="3"/>
        </w:numPr>
        <w:tabs>
          <w:tab w:val="left" w:pos="312"/>
        </w:tabs>
        <w:snapToGrid w:val="0"/>
        <w:spacing w:line="440" w:lineRule="exact"/>
        <w:ind w:left="0" w:firstLine="456" w:firstLineChars="200"/>
        <w:rPr>
          <w:rFonts w:ascii="仿宋_GB2312" w:hAnsi="仿宋_GB2312" w:eastAsia="仿宋_GB2312" w:cs="仿宋_GB2312"/>
          <w:spacing w:val="-6"/>
          <w:kern w:val="2"/>
          <w:sz w:val="24"/>
          <w:szCs w:val="24"/>
        </w:rPr>
      </w:pPr>
      <w:r>
        <w:rPr>
          <w:rFonts w:hint="eastAsia" w:ascii="仿宋_GB2312" w:hAnsi="仿宋_GB2312" w:eastAsia="仿宋_GB2312" w:cs="仿宋_GB2312"/>
          <w:spacing w:val="-6"/>
          <w:sz w:val="24"/>
          <w:szCs w:val="24"/>
        </w:rPr>
        <w:t>国家级媒体或相关部门表彰的</w:t>
      </w:r>
      <w:r>
        <w:rPr>
          <w:rFonts w:hint="eastAsia" w:ascii="仿宋_GB2312" w:hAnsi="仿宋_GB2312" w:eastAsia="仿宋_GB2312" w:cs="仿宋_GB2312"/>
          <w:spacing w:val="-6"/>
          <w:kern w:val="2"/>
          <w:sz w:val="24"/>
          <w:szCs w:val="24"/>
        </w:rPr>
        <w:t>，视情节奖励3分。</w:t>
      </w:r>
    </w:p>
    <w:p>
      <w:pPr>
        <w:numPr>
          <w:ilvl w:val="0"/>
          <w:numId w:val="1"/>
        </w:numPr>
        <w:spacing w:line="440" w:lineRule="exact"/>
        <w:ind w:firstLine="456" w:firstLineChars="200"/>
        <w:rPr>
          <w:rFonts w:ascii="仿宋_GB2312" w:hAnsi="仿宋_GB2312" w:eastAsia="仿宋_GB2312" w:cs="仿宋_GB2312"/>
          <w:spacing w:val="-6"/>
          <w:sz w:val="24"/>
        </w:rPr>
      </w:pPr>
      <w:r>
        <w:rPr>
          <w:rFonts w:hint="eastAsia" w:ascii="仿宋_GB2312" w:hAnsi="仿宋_GB2312" w:eastAsia="仿宋_GB2312" w:cs="仿宋_GB2312"/>
          <w:spacing w:val="-6"/>
          <w:sz w:val="24"/>
        </w:rPr>
        <w:t>违反诚信积分管理办法的，按以下标准实施扣分</w:t>
      </w:r>
    </w:p>
    <w:p>
      <w:pPr>
        <w:numPr>
          <w:ilvl w:val="0"/>
          <w:numId w:val="5"/>
        </w:numPr>
        <w:spacing w:line="44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有下列行为之一的，视情节扣</w:t>
      </w:r>
      <w:r>
        <w:rPr>
          <w:rFonts w:hint="eastAsia" w:ascii="仿宋_GB2312" w:hAnsi="仿宋_GB2312" w:eastAsia="仿宋_GB2312" w:cs="仿宋_GB2312"/>
          <w:spacing w:val="-6"/>
          <w:sz w:val="24"/>
        </w:rPr>
        <w:t>诚信积分</w:t>
      </w:r>
      <w:r>
        <w:rPr>
          <w:rFonts w:hint="eastAsia" w:ascii="仿宋_GB2312" w:hAnsi="仿宋_GB2312" w:eastAsia="仿宋_GB2312" w:cs="仿宋_GB2312"/>
          <w:kern w:val="0"/>
          <w:sz w:val="24"/>
        </w:rPr>
        <w:t>1分：</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1.未设置安全联络员的，安全联络员没有履行职责，疏于安全生产管理。</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2.从业人员未按要求参加安全生产教育和培训、未签订劳动合同、未购买约定保险的、未签订安全生产责任。</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3.与客户争吵情节严重、赤膊作业、随地大小便等不文明行为。</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4.货物超限、超载被有关部门查处的。</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5.被举报或投诉，发现拖欠员工工资、运费，扣押货款等现象的。</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6.门前“五包”不到位，卫生脏乱差，地上有烟头。</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7.疫情防控期间，未按防控要求落实相关工作。</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8.未设置垃圾分类设备、未进行垃圾分类投放、挪动或破坏园区设施设备。</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9.未向园区客户经理报备装卸工花名册。</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10.装卸作业时未佩戴安全帽等防护用品的。</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11.营业执照、税务登记证需亮证经营，发现未悬挂上墙的，或证照不齐全。</w:t>
      </w:r>
    </w:p>
    <w:p>
      <w:pPr>
        <w:numPr>
          <w:ilvl w:val="0"/>
          <w:numId w:val="5"/>
        </w:numPr>
        <w:spacing w:line="44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有下列行为之一的，视情节扣</w:t>
      </w:r>
      <w:r>
        <w:rPr>
          <w:rFonts w:hint="eastAsia" w:ascii="仿宋_GB2312" w:hAnsi="仿宋_GB2312" w:eastAsia="仿宋_GB2312" w:cs="仿宋_GB2312"/>
          <w:spacing w:val="-6"/>
          <w:sz w:val="24"/>
        </w:rPr>
        <w:t>诚信积分</w:t>
      </w:r>
      <w:r>
        <w:rPr>
          <w:rFonts w:hint="eastAsia" w:ascii="仿宋_GB2312" w:hAnsi="仿宋_GB2312" w:eastAsia="仿宋_GB2312" w:cs="仿宋_GB2312"/>
          <w:kern w:val="0"/>
          <w:sz w:val="24"/>
        </w:rPr>
        <w:t>2分：</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1.特种设备未年检、特种设备作业人员未持证作业。</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2.经营用房内存在违规使用大功率电器、使用劣质电器、擅自安装、改装电源线路，私拉乱接、给电瓶充电等行为。</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3.经营场所内未安装监控或监控存储不达90天的。</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4.在经营场所或车辆内安排人员住宿的。</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5.未及时缴纳租金、物业管理费、电费及其他应缴纳的费用。</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6.场内及门前有吸烟行为。</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7.携带儿童入园。</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8.不服从园区管理公司管理。</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9.存在占用公共场地堆放货物，堵塞消防通道，或挪用、拆迁、埋压、圈占、损坏消防设施与设备等行为。</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10.未落实实名制管理相关规定。检查发现未按要求在受理货物环节对托运人的身份进行查验，或未按要求进行开包验视工作的。</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11.不服从场站管理人员的调度和指挥，未按要求整齐停放车辆；档口内停放私家车。</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12.拒不配合园区管理公司组织的货运调解纠纷工作。</w:t>
      </w:r>
    </w:p>
    <w:p>
      <w:pPr>
        <w:numPr>
          <w:ilvl w:val="0"/>
          <w:numId w:val="5"/>
        </w:numPr>
        <w:spacing w:line="44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有下列行为之一的，视情节扣</w:t>
      </w:r>
      <w:r>
        <w:rPr>
          <w:rFonts w:hint="eastAsia" w:ascii="仿宋_GB2312" w:hAnsi="仿宋_GB2312" w:eastAsia="仿宋_GB2312" w:cs="仿宋_GB2312"/>
          <w:spacing w:val="-6"/>
          <w:sz w:val="24"/>
        </w:rPr>
        <w:t>诚信积分</w:t>
      </w:r>
      <w:r>
        <w:rPr>
          <w:rFonts w:hint="eastAsia" w:ascii="仿宋_GB2312" w:hAnsi="仿宋_GB2312" w:eastAsia="仿宋_GB2312" w:cs="仿宋_GB2312"/>
          <w:kern w:val="0"/>
          <w:sz w:val="24"/>
        </w:rPr>
        <w:t>5分：</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1.在经营场所内使用明火、使用易燃、易爆化学品。</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2.经营场所内藏有或托运易燃、易爆、剧毒、危险化学品或放射性材料等危险物品。</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3.未按规定依法纳税，受税务管理部门处理的。</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4.发生私下转租、转让行为未经园区同意。</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5.企业名称、法定代表人变更、个转企变更等未向园区报备的</w:t>
      </w:r>
    </w:p>
    <w:p>
      <w:pPr>
        <w:spacing w:line="44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6.企业未向装卸工配备安全防护相关装备、设施的。</w:t>
      </w:r>
    </w:p>
    <w:p>
      <w:pPr>
        <w:spacing w:line="440" w:lineRule="exact"/>
        <w:ind w:firstLine="480" w:firstLineChars="200"/>
        <w:rPr>
          <w:rFonts w:ascii="仿宋_GB2312" w:hAnsi="仿宋_GB2312" w:eastAsia="仿宋_GB2312" w:cs="仿宋_GB2312"/>
          <w:spacing w:val="-6"/>
          <w:sz w:val="24"/>
        </w:rPr>
      </w:pPr>
      <w:r>
        <w:rPr>
          <w:rFonts w:hint="eastAsia" w:ascii="仿宋_GB2312" w:hAnsi="仿宋_GB2312" w:eastAsia="仿宋_GB2312" w:cs="仿宋_GB2312"/>
          <w:sz w:val="24"/>
        </w:rPr>
        <w:t>7.发生安全生产事故、治安事件等突发情况时，主要负责人未立即组织抢救，或未在第一时间向园区管理公司报告的。</w:t>
      </w:r>
    </w:p>
    <w:p>
      <w:pPr>
        <w:spacing w:line="590" w:lineRule="exact"/>
        <w:jc w:val="center"/>
        <w:rPr>
          <w:rFonts w:hint="eastAsia" w:ascii="黑体" w:hAnsi="黑体" w:eastAsia="黑体" w:cs="黑体"/>
          <w:spacing w:val="-6"/>
          <w:sz w:val="24"/>
        </w:rPr>
      </w:pPr>
      <w:r>
        <w:rPr>
          <w:rFonts w:hint="eastAsia" w:ascii="黑体" w:hAnsi="黑体" w:eastAsia="黑体" w:cs="黑体"/>
          <w:spacing w:val="-6"/>
          <w:sz w:val="24"/>
        </w:rPr>
        <w:t>第四章  诚信积分结果运用</w:t>
      </w:r>
    </w:p>
    <w:p>
      <w:pPr>
        <w:numPr>
          <w:ilvl w:val="0"/>
          <w:numId w:val="1"/>
        </w:numPr>
        <w:spacing w:line="440" w:lineRule="exact"/>
        <w:ind w:firstLine="456" w:firstLineChars="200"/>
        <w:rPr>
          <w:rFonts w:ascii="仿宋_GB2312" w:hAnsi="仿宋_GB2312" w:eastAsia="仿宋_GB2312" w:cs="仿宋_GB2312"/>
          <w:spacing w:val="-6"/>
          <w:sz w:val="24"/>
        </w:rPr>
      </w:pPr>
      <w:r>
        <w:rPr>
          <w:rFonts w:hint="eastAsia" w:ascii="仿宋_GB2312" w:hAnsi="仿宋_GB2312" w:eastAsia="仿宋_GB2312" w:cs="仿宋_GB2312"/>
          <w:spacing w:val="-6"/>
          <w:sz w:val="24"/>
        </w:rPr>
        <w:t>遵守诚信积分管理办法的行为，视情节予以如下奖励：</w:t>
      </w:r>
    </w:p>
    <w:p>
      <w:pPr>
        <w:pStyle w:val="5"/>
        <w:numPr>
          <w:ilvl w:val="0"/>
          <w:numId w:val="6"/>
        </w:numPr>
        <w:snapToGrid w:val="0"/>
        <w:spacing w:line="440" w:lineRule="exact"/>
        <w:ind w:left="0" w:firstLine="456" w:firstLineChars="200"/>
        <w:rPr>
          <w:rFonts w:ascii="仿宋_GB2312" w:hAnsi="仿宋_GB2312" w:eastAsia="仿宋_GB2312" w:cs="仿宋_GB2312"/>
          <w:spacing w:val="-6"/>
          <w:kern w:val="2"/>
          <w:sz w:val="24"/>
          <w:szCs w:val="24"/>
        </w:rPr>
      </w:pPr>
      <w:r>
        <w:rPr>
          <w:rFonts w:hint="eastAsia" w:ascii="仿宋_GB2312" w:hAnsi="仿宋_GB2312" w:eastAsia="仿宋_GB2312" w:cs="仿宋_GB2312"/>
          <w:spacing w:val="-6"/>
          <w:kern w:val="2"/>
          <w:sz w:val="24"/>
          <w:szCs w:val="24"/>
        </w:rPr>
        <w:t>在一定范围内通报表扬。</w:t>
      </w:r>
    </w:p>
    <w:p>
      <w:pPr>
        <w:pStyle w:val="5"/>
        <w:numPr>
          <w:ilvl w:val="0"/>
          <w:numId w:val="6"/>
        </w:numPr>
        <w:snapToGrid w:val="0"/>
        <w:spacing w:line="440" w:lineRule="exact"/>
        <w:ind w:left="0" w:firstLine="456" w:firstLineChars="200"/>
        <w:rPr>
          <w:rFonts w:ascii="仿宋_GB2312" w:hAnsi="仿宋_GB2312" w:eastAsia="仿宋_GB2312" w:cs="仿宋_GB2312"/>
          <w:spacing w:val="-6"/>
          <w:kern w:val="2"/>
          <w:sz w:val="24"/>
          <w:szCs w:val="24"/>
        </w:rPr>
      </w:pPr>
      <w:r>
        <w:rPr>
          <w:rFonts w:hint="eastAsia" w:ascii="仿宋_GB2312" w:hAnsi="仿宋_GB2312" w:eastAsia="仿宋_GB2312" w:cs="仿宋_GB2312"/>
          <w:spacing w:val="-6"/>
          <w:sz w:val="24"/>
          <w:szCs w:val="24"/>
        </w:rPr>
        <w:t>当年诚信积分排名在所在园区档口租赁合同总数前5%的，给予该合同次年租金基准价5%的优惠。</w:t>
      </w:r>
    </w:p>
    <w:p>
      <w:pPr>
        <w:numPr>
          <w:ilvl w:val="0"/>
          <w:numId w:val="1"/>
        </w:numPr>
        <w:spacing w:line="440" w:lineRule="exact"/>
        <w:ind w:firstLine="456" w:firstLineChars="200"/>
        <w:rPr>
          <w:rFonts w:ascii="仿宋_GB2312" w:hAnsi="仿宋_GB2312" w:eastAsia="仿宋_GB2312" w:cs="仿宋_GB2312"/>
          <w:spacing w:val="-6"/>
          <w:sz w:val="24"/>
        </w:rPr>
      </w:pPr>
      <w:r>
        <w:rPr>
          <w:rFonts w:hint="eastAsia" w:ascii="仿宋_GB2312" w:hAnsi="仿宋_GB2312" w:eastAsia="仿宋_GB2312" w:cs="仿宋_GB2312"/>
          <w:spacing w:val="-6"/>
          <w:sz w:val="24"/>
        </w:rPr>
        <w:t>违反诚信积分管理办法的行为，视情节予以如下处罚:</w:t>
      </w:r>
    </w:p>
    <w:p>
      <w:pPr>
        <w:pStyle w:val="5"/>
        <w:numPr>
          <w:ilvl w:val="0"/>
          <w:numId w:val="7"/>
        </w:numPr>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口头通知限期自纠。</w:t>
      </w:r>
    </w:p>
    <w:p>
      <w:pPr>
        <w:pStyle w:val="5"/>
        <w:numPr>
          <w:ilvl w:val="0"/>
          <w:numId w:val="7"/>
        </w:numPr>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发放通知书限期整改，并予以扣分。</w:t>
      </w:r>
    </w:p>
    <w:p>
      <w:pPr>
        <w:pStyle w:val="5"/>
        <w:numPr>
          <w:ilvl w:val="0"/>
          <w:numId w:val="7"/>
        </w:numPr>
        <w:snapToGrid w:val="0"/>
        <w:spacing w:line="44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停业整顿，并予以扣分。</w:t>
      </w:r>
    </w:p>
    <w:p>
      <w:pPr>
        <w:pStyle w:val="5"/>
        <w:numPr>
          <w:ilvl w:val="0"/>
          <w:numId w:val="7"/>
        </w:numPr>
        <w:snapToGrid w:val="0"/>
        <w:spacing w:line="440" w:lineRule="exact"/>
        <w:ind w:firstLine="456" w:firstLineChars="200"/>
        <w:rPr>
          <w:rFonts w:ascii="仿宋_GB2312" w:hAnsi="仿宋_GB2312" w:eastAsia="仿宋_GB2312" w:cs="仿宋_GB2312"/>
          <w:spacing w:val="-6"/>
          <w:sz w:val="24"/>
          <w:szCs w:val="24"/>
        </w:rPr>
      </w:pPr>
      <w:r>
        <w:rPr>
          <w:rFonts w:hint="eastAsia" w:ascii="仿宋_GB2312" w:hAnsi="仿宋_GB2312" w:eastAsia="仿宋_GB2312" w:cs="仿宋_GB2312"/>
          <w:spacing w:val="-6"/>
          <w:sz w:val="24"/>
          <w:szCs w:val="24"/>
        </w:rPr>
        <w:t>在诚信积分考核周期结束，诚信积分排名在所在园区档口租赁合同总数末尾5%的，给予该合同次年租金基准价5%的上浮。</w:t>
      </w:r>
    </w:p>
    <w:p>
      <w:pPr>
        <w:numPr>
          <w:ilvl w:val="0"/>
          <w:numId w:val="1"/>
        </w:numPr>
        <w:spacing w:line="440" w:lineRule="exact"/>
        <w:ind w:firstLine="456" w:firstLineChars="200"/>
        <w:rPr>
          <w:rFonts w:ascii="仿宋_GB2312" w:hAnsi="仿宋_GB2312" w:eastAsia="仿宋_GB2312" w:cs="仿宋_GB2312"/>
          <w:spacing w:val="-6"/>
          <w:sz w:val="24"/>
        </w:rPr>
      </w:pPr>
      <w:r>
        <w:rPr>
          <w:rFonts w:hint="eastAsia" w:ascii="仿宋_GB2312" w:hAnsi="仿宋_GB2312" w:eastAsia="仿宋_GB2312" w:cs="仿宋_GB2312"/>
          <w:spacing w:val="-6"/>
          <w:sz w:val="24"/>
        </w:rPr>
        <w:t>结合物流园诚信积分管理办法、义乌市企业信用等级、物流企业效益综合评价等评价体系，对不符合要求的物流企业，园区管理公司与其终止房屋租赁合同或不再续签合同，每个考核周期内，终止合同的物流企业数量占所在园区管理公司物流企业总数的1%。</w:t>
      </w:r>
    </w:p>
    <w:p>
      <w:pPr>
        <w:spacing w:line="590" w:lineRule="exact"/>
        <w:jc w:val="center"/>
        <w:rPr>
          <w:rFonts w:hint="eastAsia" w:ascii="黑体" w:hAnsi="黑体" w:eastAsia="黑体" w:cs="黑体"/>
          <w:spacing w:val="-6"/>
          <w:sz w:val="24"/>
        </w:rPr>
      </w:pPr>
      <w:r>
        <w:rPr>
          <w:rFonts w:hint="eastAsia" w:ascii="黑体" w:hAnsi="黑体" w:eastAsia="黑体" w:cs="黑体"/>
          <w:spacing w:val="-6"/>
          <w:sz w:val="24"/>
        </w:rPr>
        <w:t>第五章  其他约定</w:t>
      </w:r>
    </w:p>
    <w:p>
      <w:pPr>
        <w:numPr>
          <w:ilvl w:val="0"/>
          <w:numId w:val="1"/>
        </w:numPr>
        <w:spacing w:line="440" w:lineRule="exact"/>
        <w:ind w:firstLine="456" w:firstLineChars="200"/>
        <w:rPr>
          <w:rFonts w:ascii="仿宋_GB2312" w:hAnsi="仿宋_GB2312" w:eastAsia="仿宋_GB2312" w:cs="仿宋_GB2312"/>
          <w:spacing w:val="-6"/>
          <w:sz w:val="24"/>
        </w:rPr>
      </w:pPr>
      <w:r>
        <w:rPr>
          <w:rFonts w:hint="eastAsia" w:ascii="仿宋_GB2312" w:hAnsi="仿宋_GB2312" w:eastAsia="仿宋_GB2312" w:cs="仿宋_GB2312"/>
          <w:spacing w:val="-6"/>
          <w:sz w:val="24"/>
        </w:rPr>
        <w:t>若物流企业被义乌市级部门通报批评或市级媒体曝光批评的，该企业所有合同次年租金在基准价基础上增加2%，且不得享受租金减免等优惠政策。</w:t>
      </w:r>
    </w:p>
    <w:p>
      <w:pPr>
        <w:numPr>
          <w:ilvl w:val="0"/>
          <w:numId w:val="1"/>
        </w:numPr>
        <w:spacing w:line="440" w:lineRule="exact"/>
        <w:ind w:firstLine="456" w:firstLineChars="200"/>
        <w:rPr>
          <w:rFonts w:ascii="仿宋_GB2312" w:hAnsi="仿宋_GB2312" w:eastAsia="仿宋_GB2312" w:cs="仿宋_GB2312"/>
          <w:spacing w:val="-6"/>
          <w:sz w:val="24"/>
        </w:rPr>
      </w:pPr>
      <w:r>
        <w:rPr>
          <w:rFonts w:hint="eastAsia" w:ascii="仿宋_GB2312" w:hAnsi="仿宋_GB2312" w:eastAsia="仿宋_GB2312" w:cs="仿宋_GB2312"/>
          <w:spacing w:val="-6"/>
          <w:sz w:val="24"/>
        </w:rPr>
        <w:t>若物流企业出现下列情况，集团有权终止房屋租赁合同，且不予退还履约保证金：</w:t>
      </w:r>
    </w:p>
    <w:p>
      <w:pPr>
        <w:numPr>
          <w:ilvl w:val="0"/>
          <w:numId w:val="8"/>
        </w:numPr>
        <w:tabs>
          <w:tab w:val="left" w:pos="762"/>
        </w:tabs>
        <w:spacing w:line="440" w:lineRule="exact"/>
        <w:ind w:firstLine="456" w:firstLineChars="200"/>
        <w:rPr>
          <w:rFonts w:ascii="仿宋_GB2312" w:hAnsi="仿宋_GB2312" w:eastAsia="仿宋_GB2312" w:cs="仿宋_GB2312"/>
          <w:spacing w:val="-6"/>
          <w:sz w:val="24"/>
        </w:rPr>
      </w:pPr>
      <w:r>
        <w:rPr>
          <w:rFonts w:hint="eastAsia" w:ascii="仿宋_GB2312" w:hAnsi="仿宋_GB2312" w:eastAsia="仿宋_GB2312" w:cs="仿宋_GB2312"/>
          <w:spacing w:val="-6"/>
          <w:sz w:val="24"/>
        </w:rPr>
        <w:t>被园区管理公司发现有托运危化品、危险品等行为，累计3次。</w:t>
      </w:r>
    </w:p>
    <w:p>
      <w:pPr>
        <w:numPr>
          <w:ilvl w:val="0"/>
          <w:numId w:val="8"/>
        </w:numPr>
        <w:tabs>
          <w:tab w:val="left" w:pos="762"/>
        </w:tabs>
        <w:spacing w:line="440" w:lineRule="exact"/>
        <w:ind w:firstLine="456" w:firstLineChars="200"/>
        <w:rPr>
          <w:rFonts w:ascii="仿宋_GB2312" w:hAnsi="仿宋_GB2312" w:eastAsia="仿宋_GB2312" w:cs="仿宋_GB2312"/>
          <w:spacing w:val="-6"/>
          <w:sz w:val="24"/>
        </w:rPr>
      </w:pPr>
      <w:r>
        <w:rPr>
          <w:rFonts w:hint="eastAsia" w:ascii="仿宋_GB2312" w:hAnsi="仿宋_GB2312" w:eastAsia="仿宋_GB2312" w:cs="仿宋_GB2312"/>
          <w:spacing w:val="-6"/>
          <w:sz w:val="24"/>
        </w:rPr>
        <w:t>被省级及以上新闻媒体或上级主管部门通报批评。</w:t>
      </w:r>
    </w:p>
    <w:p>
      <w:pPr>
        <w:numPr>
          <w:ilvl w:val="0"/>
          <w:numId w:val="8"/>
        </w:numPr>
        <w:tabs>
          <w:tab w:val="left" w:pos="762"/>
        </w:tabs>
        <w:spacing w:line="440" w:lineRule="exact"/>
        <w:ind w:firstLine="456" w:firstLineChars="200"/>
        <w:rPr>
          <w:rFonts w:ascii="仿宋_GB2312" w:hAnsi="仿宋_GB2312" w:eastAsia="仿宋_GB2312" w:cs="仿宋_GB2312"/>
          <w:spacing w:val="-6"/>
          <w:sz w:val="24"/>
        </w:rPr>
      </w:pPr>
      <w:r>
        <w:rPr>
          <w:rFonts w:hint="eastAsia" w:ascii="仿宋_GB2312" w:hAnsi="仿宋_GB2312" w:eastAsia="仿宋_GB2312" w:cs="仿宋_GB2312"/>
          <w:spacing w:val="-6"/>
          <w:sz w:val="24"/>
        </w:rPr>
        <w:t>在经营场所内从事黄赌毒活动或打架斗殴、雇佣社会势力扰乱经营秩序。</w:t>
      </w:r>
    </w:p>
    <w:p>
      <w:pPr>
        <w:numPr>
          <w:ilvl w:val="0"/>
          <w:numId w:val="8"/>
        </w:numPr>
        <w:tabs>
          <w:tab w:val="left" w:pos="762"/>
        </w:tabs>
        <w:spacing w:line="440" w:lineRule="exact"/>
        <w:ind w:firstLine="456" w:firstLineChars="200"/>
        <w:rPr>
          <w:rFonts w:ascii="仿宋_GB2312" w:hAnsi="仿宋_GB2312" w:eastAsia="仿宋_GB2312" w:cs="仿宋_GB2312"/>
          <w:spacing w:val="-6"/>
          <w:sz w:val="24"/>
        </w:rPr>
      </w:pPr>
      <w:r>
        <w:rPr>
          <w:rFonts w:hint="eastAsia" w:ascii="仿宋_GB2312" w:hAnsi="仿宋_GB2312" w:eastAsia="仿宋_GB2312" w:cs="仿宋_GB2312"/>
          <w:spacing w:val="-6"/>
          <w:sz w:val="24"/>
        </w:rPr>
        <w:t>市信用主管部门评定的信用等级中被评为E类企业。</w:t>
      </w:r>
    </w:p>
    <w:p>
      <w:pPr>
        <w:numPr>
          <w:ilvl w:val="0"/>
          <w:numId w:val="8"/>
        </w:numPr>
        <w:tabs>
          <w:tab w:val="left" w:pos="762"/>
        </w:tabs>
        <w:spacing w:line="440" w:lineRule="exact"/>
        <w:ind w:firstLine="456" w:firstLineChars="200"/>
        <w:rPr>
          <w:rFonts w:ascii="仿宋_GB2312" w:hAnsi="仿宋_GB2312" w:eastAsia="仿宋_GB2312" w:cs="仿宋_GB2312"/>
          <w:spacing w:val="-6"/>
          <w:sz w:val="24"/>
        </w:rPr>
      </w:pPr>
      <w:r>
        <w:rPr>
          <w:rFonts w:hint="eastAsia" w:ascii="仿宋_GB2312" w:hAnsi="仿宋_GB2312" w:eastAsia="仿宋_GB2312" w:cs="仿宋_GB2312"/>
          <w:spacing w:val="-6"/>
          <w:sz w:val="24"/>
        </w:rPr>
        <w:t>被行政主管部门通报列入重点监管对象的企业。</w:t>
      </w:r>
    </w:p>
    <w:p>
      <w:pPr>
        <w:numPr>
          <w:ilvl w:val="0"/>
          <w:numId w:val="8"/>
        </w:numPr>
        <w:tabs>
          <w:tab w:val="left" w:pos="762"/>
        </w:tabs>
        <w:spacing w:line="440" w:lineRule="exact"/>
        <w:ind w:firstLine="456" w:firstLineChars="200"/>
        <w:rPr>
          <w:rFonts w:ascii="仿宋_GB2312" w:hAnsi="仿宋_GB2312" w:eastAsia="仿宋_GB2312" w:cs="仿宋_GB2312"/>
          <w:spacing w:val="-6"/>
          <w:sz w:val="24"/>
        </w:rPr>
      </w:pPr>
      <w:r>
        <w:rPr>
          <w:rFonts w:hint="eastAsia" w:ascii="仿宋_GB2312" w:hAnsi="仿宋_GB2312" w:eastAsia="仿宋_GB2312" w:cs="仿宋_GB2312"/>
          <w:spacing w:val="-6"/>
          <w:sz w:val="24"/>
        </w:rPr>
        <w:t>经营户向园区管理公司提供虚假文件的资料，骗取园区管理公司优惠政策的行为。</w:t>
      </w:r>
    </w:p>
    <w:p>
      <w:pPr>
        <w:numPr>
          <w:ilvl w:val="0"/>
          <w:numId w:val="8"/>
        </w:numPr>
        <w:tabs>
          <w:tab w:val="left" w:pos="762"/>
        </w:tabs>
        <w:spacing w:line="440" w:lineRule="exact"/>
        <w:ind w:firstLine="456" w:firstLineChars="200"/>
        <w:rPr>
          <w:rFonts w:ascii="仿宋_GB2312" w:hAnsi="仿宋_GB2312" w:eastAsia="仿宋_GB2312" w:cs="仿宋_GB2312"/>
          <w:spacing w:val="-6"/>
          <w:sz w:val="24"/>
        </w:rPr>
      </w:pPr>
      <w:r>
        <w:rPr>
          <w:rFonts w:hint="eastAsia" w:ascii="仿宋_GB2312" w:hAnsi="仿宋_GB2312" w:eastAsia="仿宋_GB2312" w:cs="仿宋_GB2312"/>
          <w:spacing w:val="-6"/>
          <w:sz w:val="24"/>
        </w:rPr>
        <w:t>乙方未向园区管理公司报备审批转租转让，且拒不服从整改的。</w:t>
      </w:r>
    </w:p>
    <w:p>
      <w:pPr>
        <w:numPr>
          <w:ilvl w:val="0"/>
          <w:numId w:val="1"/>
        </w:numPr>
        <w:spacing w:line="440" w:lineRule="exact"/>
        <w:ind w:firstLine="456" w:firstLineChars="200"/>
        <w:rPr>
          <w:rFonts w:ascii="仿宋_GB2312" w:hAnsi="宋体" w:eastAsia="仿宋_GB2312"/>
          <w:spacing w:val="-6"/>
          <w:sz w:val="24"/>
        </w:rPr>
      </w:pPr>
      <w:r>
        <w:rPr>
          <w:rFonts w:hint="eastAsia" w:ascii="仿宋_GB2312" w:hAnsi="宋体" w:eastAsia="仿宋_GB2312"/>
          <w:spacing w:val="-6"/>
          <w:sz w:val="24"/>
        </w:rPr>
        <w:t>在承租期内，物流企业交次年租金前，按园区管理公司提出的整改要求对扣分项按时保量完成整改，不按要求整改的终止合同或不予续签。</w:t>
      </w:r>
    </w:p>
    <w:p>
      <w:pPr>
        <w:numPr>
          <w:ilvl w:val="0"/>
          <w:numId w:val="1"/>
        </w:numPr>
        <w:spacing w:line="440" w:lineRule="exact"/>
        <w:ind w:firstLine="456" w:firstLineChars="200"/>
        <w:rPr>
          <w:rFonts w:ascii="仿宋_GB2312" w:hAnsi="宋体" w:eastAsia="仿宋_GB2312"/>
          <w:spacing w:val="-6"/>
          <w:sz w:val="24"/>
        </w:rPr>
      </w:pPr>
      <w:r>
        <w:rPr>
          <w:rFonts w:hint="eastAsia" w:ascii="仿宋_GB2312" w:hAnsi="宋体" w:eastAsia="仿宋_GB2312"/>
          <w:spacing w:val="-6"/>
          <w:sz w:val="24"/>
        </w:rPr>
        <w:t>诚信积分结果应用作为次年租金增减的依据，次年不续签不享受奖励和处罚措施。</w:t>
      </w:r>
    </w:p>
    <w:p>
      <w:pPr>
        <w:numPr>
          <w:ilvl w:val="0"/>
          <w:numId w:val="1"/>
        </w:numPr>
        <w:spacing w:line="440" w:lineRule="exact"/>
        <w:ind w:firstLine="456" w:firstLineChars="200"/>
        <w:rPr>
          <w:rFonts w:ascii="仿宋_GB2312" w:hAnsi="宋体" w:eastAsia="仿宋_GB2312"/>
          <w:spacing w:val="-6"/>
          <w:sz w:val="24"/>
        </w:rPr>
      </w:pPr>
      <w:r>
        <w:rPr>
          <w:rFonts w:hint="eastAsia" w:ascii="仿宋_GB2312" w:hAnsi="宋体" w:eastAsia="仿宋_GB2312"/>
          <w:spacing w:val="-6"/>
          <w:sz w:val="24"/>
        </w:rPr>
        <w:t>合同签署之日起，不足（含）6个月的经营户不参与年度评分排名。</w:t>
      </w:r>
    </w:p>
    <w:p>
      <w:pPr>
        <w:spacing w:line="590" w:lineRule="exact"/>
        <w:jc w:val="center"/>
        <w:rPr>
          <w:rFonts w:hint="eastAsia" w:ascii="黑体" w:hAnsi="黑体" w:eastAsia="黑体" w:cs="黑体"/>
          <w:spacing w:val="-6"/>
          <w:sz w:val="24"/>
        </w:rPr>
      </w:pPr>
      <w:r>
        <w:rPr>
          <w:rFonts w:hint="eastAsia" w:ascii="黑体" w:hAnsi="黑体" w:eastAsia="黑体" w:cs="黑体"/>
          <w:spacing w:val="-6"/>
          <w:sz w:val="24"/>
        </w:rPr>
        <w:t>第六章  全市物流企业综合效益评价分级管理及结果运用</w:t>
      </w:r>
    </w:p>
    <w:p>
      <w:pPr>
        <w:numPr>
          <w:ilvl w:val="0"/>
          <w:numId w:val="1"/>
        </w:numPr>
        <w:spacing w:line="440" w:lineRule="exact"/>
        <w:ind w:firstLine="456" w:firstLineChars="200"/>
        <w:rPr>
          <w:rFonts w:ascii="仿宋_GB2312" w:hAnsi="宋体" w:eastAsia="仿宋_GB2312"/>
          <w:spacing w:val="-6"/>
          <w:sz w:val="24"/>
        </w:rPr>
      </w:pPr>
      <w:r>
        <w:rPr>
          <w:rFonts w:hint="eastAsia" w:ascii="仿宋_GB2312" w:hAnsi="宋体" w:eastAsia="仿宋_GB2312"/>
          <w:spacing w:val="-6"/>
          <w:sz w:val="24"/>
        </w:rPr>
        <w:t>各园区管理公司根据当年全市物流企业综合效益评价结果对物流企业进行应用：</w:t>
      </w:r>
    </w:p>
    <w:p>
      <w:pPr>
        <w:numPr>
          <w:ilvl w:val="0"/>
          <w:numId w:val="9"/>
        </w:numPr>
        <w:spacing w:line="440" w:lineRule="exact"/>
        <w:ind w:firstLine="456" w:firstLineChars="200"/>
        <w:rPr>
          <w:rFonts w:ascii="仿宋_GB2312" w:hAnsi="宋体" w:eastAsia="仿宋_GB2312"/>
          <w:spacing w:val="-6"/>
          <w:sz w:val="24"/>
        </w:rPr>
      </w:pPr>
      <w:r>
        <w:rPr>
          <w:rFonts w:hint="eastAsia" w:ascii="仿宋_GB2312" w:hAnsi="宋体" w:eastAsia="仿宋_GB2312"/>
          <w:spacing w:val="-6"/>
          <w:sz w:val="24"/>
        </w:rPr>
        <w:t>效益评价A类企业：次年租金基准价优惠5%。</w:t>
      </w:r>
    </w:p>
    <w:p>
      <w:pPr>
        <w:numPr>
          <w:ilvl w:val="0"/>
          <w:numId w:val="9"/>
        </w:numPr>
        <w:spacing w:line="440" w:lineRule="exact"/>
        <w:ind w:firstLine="456" w:firstLineChars="200"/>
        <w:rPr>
          <w:rFonts w:ascii="仿宋_GB2312" w:hAnsi="宋体" w:eastAsia="仿宋_GB2312"/>
          <w:spacing w:val="-6"/>
          <w:sz w:val="24"/>
        </w:rPr>
      </w:pPr>
      <w:r>
        <w:rPr>
          <w:rFonts w:hint="eastAsia" w:ascii="仿宋_GB2312" w:hAnsi="宋体" w:eastAsia="仿宋_GB2312"/>
          <w:spacing w:val="-6"/>
          <w:sz w:val="24"/>
        </w:rPr>
        <w:t>效益评价C类企业：次年租金基准价上浮5%。</w:t>
      </w:r>
    </w:p>
    <w:p>
      <w:pPr>
        <w:numPr>
          <w:ilvl w:val="0"/>
          <w:numId w:val="9"/>
        </w:numPr>
        <w:spacing w:line="440" w:lineRule="exact"/>
        <w:ind w:firstLine="456" w:firstLineChars="200"/>
        <w:rPr>
          <w:rFonts w:ascii="仿宋_GB2312" w:hAnsi="宋体" w:eastAsia="仿宋_GB2312"/>
          <w:spacing w:val="-6"/>
          <w:sz w:val="24"/>
        </w:rPr>
      </w:pPr>
      <w:r>
        <w:rPr>
          <w:rFonts w:hint="eastAsia" w:ascii="仿宋_GB2312" w:hAnsi="宋体" w:eastAsia="仿宋_GB2312"/>
          <w:spacing w:val="-6"/>
          <w:sz w:val="24"/>
        </w:rPr>
        <w:t>效益评价D类企业：次年租金基准价上浮8%；企业连续两年效益评价为D类，终止房屋租赁合同，清退出园。</w:t>
      </w:r>
    </w:p>
    <w:p>
      <w:pPr>
        <w:numPr>
          <w:ilvl w:val="0"/>
          <w:numId w:val="1"/>
        </w:numPr>
        <w:spacing w:line="440" w:lineRule="exact"/>
        <w:ind w:firstLine="456" w:firstLineChars="200"/>
        <w:rPr>
          <w:rFonts w:ascii="仿宋_GB2312" w:hAnsi="宋体" w:eastAsia="仿宋_GB2312"/>
          <w:spacing w:val="-6"/>
          <w:sz w:val="24"/>
        </w:rPr>
      </w:pPr>
      <w:r>
        <w:rPr>
          <w:rFonts w:hint="eastAsia" w:ascii="仿宋_GB2312" w:hAnsi="宋体" w:eastAsia="仿宋_GB2312"/>
          <w:spacing w:val="-6"/>
          <w:sz w:val="24"/>
        </w:rPr>
        <w:t>无效益评价结果企业：</w:t>
      </w:r>
    </w:p>
    <w:p>
      <w:pPr>
        <w:numPr>
          <w:ilvl w:val="0"/>
          <w:numId w:val="10"/>
        </w:numPr>
        <w:spacing w:line="440" w:lineRule="exact"/>
        <w:ind w:firstLine="456" w:firstLineChars="200"/>
        <w:rPr>
          <w:rFonts w:ascii="仿宋_GB2312" w:hAnsi="宋体" w:eastAsia="仿宋_GB2312"/>
          <w:spacing w:val="-6"/>
          <w:sz w:val="24"/>
        </w:rPr>
      </w:pPr>
      <w:r>
        <w:rPr>
          <w:rFonts w:hint="eastAsia" w:ascii="仿宋_GB2312" w:hAnsi="宋体" w:eastAsia="仿宋_GB2312"/>
          <w:spacing w:val="-6"/>
          <w:sz w:val="24"/>
        </w:rPr>
        <w:t>不符合效益评价申报条件导致无效益评价结果的企业：参照效益评价C类企业执行。</w:t>
      </w:r>
    </w:p>
    <w:p>
      <w:pPr>
        <w:numPr>
          <w:ilvl w:val="0"/>
          <w:numId w:val="10"/>
        </w:numPr>
        <w:spacing w:line="440" w:lineRule="exact"/>
        <w:ind w:firstLine="456" w:firstLineChars="200"/>
        <w:rPr>
          <w:rFonts w:ascii="仿宋_GB2312" w:hAnsi="仿宋_GB2312" w:eastAsia="仿宋_GB2312" w:cs="仿宋_GB2312"/>
          <w:spacing w:val="-6"/>
          <w:sz w:val="24"/>
        </w:rPr>
      </w:pPr>
      <w:r>
        <w:rPr>
          <w:rFonts w:hint="eastAsia" w:ascii="仿宋_GB2312" w:hAnsi="宋体" w:eastAsia="仿宋_GB2312"/>
          <w:spacing w:val="-6"/>
          <w:sz w:val="24"/>
        </w:rPr>
        <w:t>符合效益评价申报条件却未参评的企业：参照效益评价D类企业执行。</w:t>
      </w:r>
    </w:p>
    <w:p>
      <w:pPr>
        <w:numPr>
          <w:ilvl w:val="0"/>
          <w:numId w:val="1"/>
        </w:numPr>
        <w:spacing w:line="440" w:lineRule="exact"/>
        <w:ind w:firstLine="456" w:firstLineChars="200"/>
        <w:rPr>
          <w:rFonts w:ascii="仿宋_GB2312" w:hAnsi="宋体" w:eastAsia="仿宋_GB2312"/>
          <w:spacing w:val="-6"/>
          <w:sz w:val="24"/>
        </w:rPr>
      </w:pPr>
      <w:r>
        <w:rPr>
          <w:rFonts w:hint="eastAsia" w:ascii="仿宋_GB2312" w:hAnsi="宋体" w:eastAsia="仿宋_GB2312"/>
          <w:spacing w:val="-6"/>
          <w:sz w:val="24"/>
        </w:rPr>
        <w:t>连续两年</w:t>
      </w:r>
      <w:r>
        <w:rPr>
          <w:rFonts w:hint="eastAsia" w:ascii="仿宋_GB2312" w:hAnsi="仿宋_GB2312" w:eastAsia="仿宋_GB2312" w:cs="仿宋_GB2312"/>
          <w:spacing w:val="-6"/>
          <w:sz w:val="24"/>
        </w:rPr>
        <w:t>物流企业效益综合评价</w:t>
      </w:r>
      <w:r>
        <w:rPr>
          <w:rFonts w:hint="eastAsia" w:ascii="仿宋_GB2312" w:hAnsi="宋体" w:eastAsia="仿宋_GB2312"/>
          <w:spacing w:val="-6"/>
          <w:sz w:val="24"/>
        </w:rPr>
        <w:t>被评为D类的企业和无效益评价结果的企业（含其中一年被评为D类，一年无效益评价结果的情况），于本轮考核周期结束时，终止房屋租赁合同，并退还履约保证金。</w:t>
      </w:r>
    </w:p>
    <w:p>
      <w:pPr>
        <w:numPr>
          <w:ilvl w:val="0"/>
          <w:numId w:val="1"/>
        </w:numPr>
        <w:spacing w:line="440" w:lineRule="exact"/>
        <w:ind w:firstLine="456" w:firstLineChars="200"/>
        <w:rPr>
          <w:rFonts w:ascii="仿宋_GB2312" w:hAnsi="仿宋_GB2312" w:eastAsia="仿宋_GB2312" w:cs="仿宋_GB2312"/>
          <w:spacing w:val="-6"/>
          <w:sz w:val="24"/>
        </w:rPr>
      </w:pPr>
      <w:r>
        <w:rPr>
          <w:rFonts w:hint="eastAsia" w:ascii="仿宋_GB2312" w:hAnsi="宋体" w:eastAsia="仿宋_GB2312"/>
          <w:spacing w:val="-6"/>
          <w:sz w:val="24"/>
        </w:rPr>
        <w:t>次承租人连续两年</w:t>
      </w:r>
      <w:r>
        <w:rPr>
          <w:rFonts w:hint="eastAsia" w:ascii="仿宋_GB2312" w:hAnsi="仿宋_GB2312" w:eastAsia="仿宋_GB2312" w:cs="仿宋_GB2312"/>
          <w:spacing w:val="-6"/>
          <w:sz w:val="24"/>
        </w:rPr>
        <w:t>物流企业效益综合评价</w:t>
      </w:r>
      <w:r>
        <w:rPr>
          <w:rFonts w:hint="eastAsia" w:ascii="仿宋_GB2312" w:hAnsi="宋体" w:eastAsia="仿宋_GB2312"/>
          <w:spacing w:val="-6"/>
          <w:sz w:val="24"/>
        </w:rPr>
        <w:t>被评为D类的企业和无效益评价结果的企业（含其中一年被评为D类，一年无效益评价结果的情况），终止转租三方协议，清退出园，转租三方协议到期时执行。</w:t>
      </w:r>
    </w:p>
    <w:p>
      <w:pPr>
        <w:numPr>
          <w:ilvl w:val="0"/>
          <w:numId w:val="1"/>
        </w:numPr>
        <w:spacing w:line="440" w:lineRule="exact"/>
        <w:ind w:firstLine="456" w:firstLineChars="200"/>
        <w:rPr>
          <w:rFonts w:ascii="仿宋_GB2312" w:hAnsi="仿宋_GB2312" w:eastAsia="仿宋_GB2312" w:cs="仿宋_GB2312"/>
          <w:spacing w:val="-6"/>
          <w:sz w:val="24"/>
        </w:rPr>
      </w:pPr>
      <w:r>
        <w:rPr>
          <w:rFonts w:hint="eastAsia" w:ascii="仿宋_GB2312" w:hAnsi="宋体" w:eastAsia="仿宋_GB2312"/>
          <w:spacing w:val="-6"/>
          <w:sz w:val="24"/>
        </w:rPr>
        <w:t>企业享受本办法规定的租金优惠后，发生转租、转让的行为，企业需全额退回该档口的优惠额度。</w:t>
      </w:r>
    </w:p>
    <w:p>
      <w:pPr>
        <w:spacing w:line="590" w:lineRule="exact"/>
        <w:jc w:val="center"/>
        <w:rPr>
          <w:rFonts w:hint="eastAsia" w:ascii="黑体" w:hAnsi="黑体" w:eastAsia="黑体" w:cs="黑体"/>
          <w:spacing w:val="-6"/>
          <w:sz w:val="24"/>
        </w:rPr>
      </w:pPr>
      <w:r>
        <w:rPr>
          <w:rFonts w:hint="eastAsia" w:ascii="黑体" w:hAnsi="黑体" w:eastAsia="黑体" w:cs="黑体"/>
          <w:spacing w:val="-6"/>
          <w:sz w:val="24"/>
        </w:rPr>
        <w:t>第七章 附则</w:t>
      </w:r>
    </w:p>
    <w:p>
      <w:pPr>
        <w:numPr>
          <w:ilvl w:val="0"/>
          <w:numId w:val="1"/>
        </w:numPr>
        <w:spacing w:line="440" w:lineRule="exact"/>
        <w:ind w:firstLine="456" w:firstLineChars="200"/>
        <w:rPr>
          <w:rFonts w:ascii="仿宋_GB2312" w:hAnsi="仿宋_GB2312" w:eastAsia="仿宋_GB2312" w:cs="仿宋_GB2312"/>
          <w:spacing w:val="-6"/>
          <w:sz w:val="24"/>
        </w:rPr>
      </w:pPr>
      <w:r>
        <w:rPr>
          <w:rFonts w:hint="eastAsia" w:ascii="仿宋_GB2312" w:hAnsi="仿宋_GB2312" w:eastAsia="仿宋_GB2312" w:cs="仿宋_GB2312"/>
          <w:spacing w:val="-6"/>
          <w:sz w:val="24"/>
        </w:rPr>
        <w:t>本办法由义乌市国际陆港集团有限公司负责解释。</w:t>
      </w:r>
    </w:p>
    <w:p>
      <w:pPr>
        <w:numPr>
          <w:ilvl w:val="0"/>
          <w:numId w:val="1"/>
        </w:numPr>
        <w:spacing w:line="440" w:lineRule="exact"/>
        <w:ind w:firstLine="456" w:firstLineChars="200"/>
        <w:rPr>
          <w:rFonts w:ascii="仿宋_GB2312" w:hAnsi="仿宋_GB2312" w:eastAsia="仿宋_GB2312" w:cs="仿宋_GB2312"/>
          <w:spacing w:val="-6"/>
          <w:sz w:val="24"/>
        </w:rPr>
      </w:pPr>
      <w:r>
        <w:rPr>
          <w:rFonts w:hint="eastAsia" w:ascii="仿宋_GB2312" w:hAnsi="仿宋_GB2312" w:eastAsia="仿宋_GB2312" w:cs="仿宋_GB2312"/>
          <w:spacing w:val="-6"/>
          <w:sz w:val="24"/>
        </w:rPr>
        <w:t>本办法自印发之日起，正式实施。</w:t>
      </w:r>
    </w:p>
    <w:p>
      <w:pPr>
        <w:numPr>
          <w:ilvl w:val="0"/>
          <w:numId w:val="1"/>
        </w:numPr>
        <w:spacing w:line="440" w:lineRule="exact"/>
        <w:ind w:firstLine="456" w:firstLineChars="200"/>
        <w:rPr>
          <w:rFonts w:hint="eastAsia" w:ascii="仿宋_GB2312" w:hAnsi="仿宋_GB2312" w:eastAsia="仿宋_GB2312" w:cs="仿宋_GB2312"/>
          <w:spacing w:val="-6"/>
          <w:sz w:val="24"/>
        </w:rPr>
      </w:pPr>
      <w:r>
        <w:rPr>
          <w:rFonts w:hint="eastAsia" w:ascii="仿宋_GB2312" w:hAnsi="仿宋_GB2312" w:eastAsia="仿宋_GB2312" w:cs="仿宋_GB2312"/>
          <w:spacing w:val="-6"/>
          <w:sz w:val="24"/>
        </w:rPr>
        <w:t>《陆港集团“信用+物流园管理服务”暂行办法》（义陆港集团〔2019〕166 号）自本通知印发之日起，予以废止，停止执行。</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4F9732"/>
    <w:multiLevelType w:val="singleLevel"/>
    <w:tmpl w:val="8D4F9732"/>
    <w:lvl w:ilvl="0" w:tentative="0">
      <w:start w:val="1"/>
      <w:numFmt w:val="chineseCounting"/>
      <w:suff w:val="nothing"/>
      <w:lvlText w:val="（%1）"/>
      <w:lvlJc w:val="left"/>
      <w:rPr>
        <w:rFonts w:hint="eastAsia"/>
      </w:rPr>
    </w:lvl>
  </w:abstractNum>
  <w:abstractNum w:abstractNumId="1">
    <w:nsid w:val="07E88682"/>
    <w:multiLevelType w:val="singleLevel"/>
    <w:tmpl w:val="07E88682"/>
    <w:lvl w:ilvl="0" w:tentative="0">
      <w:start w:val="1"/>
      <w:numFmt w:val="chineseCounting"/>
      <w:suff w:val="space"/>
      <w:lvlText w:val="第%1条"/>
      <w:lvlJc w:val="left"/>
      <w:rPr>
        <w:rFonts w:hint="eastAsia"/>
        <w:b w:val="0"/>
        <w:bCs w:val="0"/>
      </w:rPr>
    </w:lvl>
  </w:abstractNum>
  <w:abstractNum w:abstractNumId="2">
    <w:nsid w:val="28E444EF"/>
    <w:multiLevelType w:val="singleLevel"/>
    <w:tmpl w:val="28E444EF"/>
    <w:lvl w:ilvl="0" w:tentative="0">
      <w:start w:val="1"/>
      <w:numFmt w:val="chineseCounting"/>
      <w:suff w:val="nothing"/>
      <w:lvlText w:val="（%1）"/>
      <w:lvlJc w:val="left"/>
      <w:rPr>
        <w:rFonts w:hint="eastAsia"/>
      </w:rPr>
    </w:lvl>
  </w:abstractNum>
  <w:abstractNum w:abstractNumId="3">
    <w:nsid w:val="2B77F33E"/>
    <w:multiLevelType w:val="singleLevel"/>
    <w:tmpl w:val="2B77F33E"/>
    <w:lvl w:ilvl="0" w:tentative="0">
      <w:start w:val="1"/>
      <w:numFmt w:val="chineseCounting"/>
      <w:suff w:val="nothing"/>
      <w:lvlText w:val="（%1）"/>
      <w:lvlJc w:val="left"/>
      <w:rPr>
        <w:rFonts w:hint="eastAsia"/>
      </w:rPr>
    </w:lvl>
  </w:abstractNum>
  <w:abstractNum w:abstractNumId="4">
    <w:nsid w:val="48E88572"/>
    <w:multiLevelType w:val="singleLevel"/>
    <w:tmpl w:val="48E88572"/>
    <w:lvl w:ilvl="0" w:tentative="0">
      <w:start w:val="1"/>
      <w:numFmt w:val="chineseCounting"/>
      <w:suff w:val="nothing"/>
      <w:lvlText w:val="（%1）"/>
      <w:lvlJc w:val="left"/>
      <w:rPr>
        <w:rFonts w:hint="eastAsia"/>
      </w:rPr>
    </w:lvl>
  </w:abstractNum>
  <w:abstractNum w:abstractNumId="5">
    <w:nsid w:val="5771F32C"/>
    <w:multiLevelType w:val="singleLevel"/>
    <w:tmpl w:val="5771F32C"/>
    <w:lvl w:ilvl="0" w:tentative="0">
      <w:start w:val="1"/>
      <w:numFmt w:val="decimal"/>
      <w:suff w:val="space"/>
      <w:lvlText w:val="%1."/>
      <w:lvlJc w:val="left"/>
    </w:lvl>
  </w:abstractNum>
  <w:abstractNum w:abstractNumId="6">
    <w:nsid w:val="58088767"/>
    <w:multiLevelType w:val="singleLevel"/>
    <w:tmpl w:val="58088767"/>
    <w:lvl w:ilvl="0" w:tentative="0">
      <w:start w:val="1"/>
      <w:numFmt w:val="chineseCounting"/>
      <w:suff w:val="nothing"/>
      <w:lvlText w:val="（%1）"/>
      <w:lvlJc w:val="left"/>
      <w:rPr>
        <w:rFonts w:hint="eastAsia"/>
      </w:rPr>
    </w:lvl>
  </w:abstractNum>
  <w:abstractNum w:abstractNumId="7">
    <w:nsid w:val="599B2E67"/>
    <w:multiLevelType w:val="singleLevel"/>
    <w:tmpl w:val="599B2E67"/>
    <w:lvl w:ilvl="0" w:tentative="0">
      <w:start w:val="1"/>
      <w:numFmt w:val="chineseCounting"/>
      <w:suff w:val="nothing"/>
      <w:lvlText w:val="（%1）"/>
      <w:lvlJc w:val="left"/>
      <w:rPr>
        <w:rFonts w:hint="eastAsia"/>
      </w:rPr>
    </w:lvl>
  </w:abstractNum>
  <w:abstractNum w:abstractNumId="8">
    <w:nsid w:val="5C5BDD54"/>
    <w:multiLevelType w:val="singleLevel"/>
    <w:tmpl w:val="5C5BDD54"/>
    <w:lvl w:ilvl="0" w:tentative="0">
      <w:start w:val="1"/>
      <w:numFmt w:val="chineseCounting"/>
      <w:suff w:val="nothing"/>
      <w:lvlText w:val="（%1）"/>
      <w:lvlJc w:val="left"/>
      <w:rPr>
        <w:rFonts w:hint="eastAsia"/>
      </w:rPr>
    </w:lvl>
  </w:abstractNum>
  <w:abstractNum w:abstractNumId="9">
    <w:nsid w:val="79A5BC41"/>
    <w:multiLevelType w:val="singleLevel"/>
    <w:tmpl w:val="79A5BC41"/>
    <w:lvl w:ilvl="0" w:tentative="0">
      <w:start w:val="1"/>
      <w:numFmt w:val="chineseCounting"/>
      <w:suff w:val="nothing"/>
      <w:lvlText w:val="（%1）"/>
      <w:lvlJc w:val="left"/>
      <w:pPr>
        <w:ind w:left="640" w:firstLine="0"/>
      </w:pPr>
      <w:rPr>
        <w:rFonts w:hint="eastAsia"/>
      </w:rPr>
    </w:lvl>
  </w:abstractNum>
  <w:num w:numId="1">
    <w:abstractNumId w:val="1"/>
  </w:num>
  <w:num w:numId="2">
    <w:abstractNumId w:val="3"/>
  </w:num>
  <w:num w:numId="3">
    <w:abstractNumId w:val="4"/>
  </w:num>
  <w:num w:numId="4">
    <w:abstractNumId w:val="5"/>
  </w:num>
  <w:num w:numId="5">
    <w:abstractNumId w:val="9"/>
  </w:num>
  <w:num w:numId="6">
    <w:abstractNumId w:val="7"/>
  </w:num>
  <w:num w:numId="7">
    <w:abstractNumId w:val="2"/>
  </w:num>
  <w:num w:numId="8">
    <w:abstractNumId w:val="8"/>
  </w:num>
  <w:num w:numId="9">
    <w:abstractNumId w:val="6"/>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D250CF"/>
    <w:rsid w:val="0BD250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customStyle="1" w:styleId="5">
    <w:name w:val="0"/>
    <w:basedOn w:val="1"/>
    <w:qFormat/>
    <w:uiPriority w:val="0"/>
    <w:pPr>
      <w:widowControl/>
      <w:spacing w:line="365" w:lineRule="atLeast"/>
      <w:ind w:left="1"/>
      <w:textAlignment w:val="bottom"/>
    </w:pPr>
    <w:rPr>
      <w:kern w:val="0"/>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2021-11-10T05:38:00Z</dcterms:created>
  <dc:creator>admin</dc:creator>
  <cp:lastModifiedBy>admin</cp:lastModifiedBy>
  <dcterms:modified xsi:type="dcterms:W3CDTF">2021-11-10T05:39:37Z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73F800B3FE1A4731AD77F8952EC0AC6A</vt:lpwstr>
  </property>
</Properties>
</file>