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jc w:val="center"/>
        <w:rPr>
          <w:rFonts w:hint="eastAsia"/>
          <w:sz w:val="32"/>
          <w:szCs w:val="32"/>
        </w:rPr>
      </w:pPr>
      <w:r>
        <w:rPr>
          <w:rFonts w:hint="eastAsia"/>
          <w:b/>
          <w:bCs/>
          <w:sz w:val="44"/>
          <w:szCs w:val="44"/>
        </w:rPr>
        <w:t>廿三里街道互联网租赁电动自行车企业运营服务管理办法</w:t>
      </w:r>
      <w:bookmarkStart w:id="0" w:name="_GoBack"/>
      <w:bookmarkEnd w:id="0"/>
    </w:p>
    <w:p>
      <w:pPr>
        <w:ind w:firstLine="600" w:firstLineChars="200"/>
        <w:jc w:val="left"/>
        <w:rPr>
          <w:rFonts w:hint="eastAsia" w:ascii="仿宋" w:hAnsi="仿宋" w:eastAsia="仿宋" w:cs="仿宋"/>
          <w:sz w:val="30"/>
          <w:szCs w:val="30"/>
        </w:rPr>
      </w:pPr>
      <w:r>
        <w:rPr>
          <w:rFonts w:hint="eastAsia" w:ascii="仿宋" w:hAnsi="仿宋" w:eastAsia="仿宋" w:cs="仿宋"/>
          <w:sz w:val="30"/>
          <w:szCs w:val="30"/>
        </w:rPr>
        <w:t>为加强</w:t>
      </w:r>
      <w:r>
        <w:rPr>
          <w:rFonts w:hint="eastAsia" w:ascii="仿宋" w:hAnsi="仿宋" w:eastAsia="仿宋" w:cs="仿宋"/>
          <w:sz w:val="30"/>
          <w:szCs w:val="30"/>
          <w:lang w:eastAsia="zh-CN"/>
        </w:rPr>
        <w:t>廿三里街道</w:t>
      </w:r>
      <w:r>
        <w:rPr>
          <w:rFonts w:hint="eastAsia" w:ascii="仿宋" w:hAnsi="仿宋" w:eastAsia="仿宋" w:cs="仿宋"/>
          <w:sz w:val="30"/>
          <w:szCs w:val="30"/>
        </w:rPr>
        <w:t>互联网租赁</w:t>
      </w:r>
      <w:r>
        <w:rPr>
          <w:rFonts w:hint="eastAsia" w:ascii="仿宋" w:hAnsi="仿宋" w:eastAsia="仿宋" w:cs="仿宋"/>
          <w:sz w:val="30"/>
          <w:szCs w:val="30"/>
          <w:lang w:eastAsia="zh-CN"/>
        </w:rPr>
        <w:t>共享电动</w:t>
      </w:r>
      <w:r>
        <w:rPr>
          <w:rFonts w:hint="eastAsia" w:ascii="仿宋" w:hAnsi="仿宋" w:eastAsia="仿宋" w:cs="仿宋"/>
          <w:sz w:val="30"/>
          <w:szCs w:val="30"/>
        </w:rPr>
        <w:t>自行车行业管理，规范企业</w:t>
      </w:r>
      <w:r>
        <w:rPr>
          <w:rFonts w:hint="eastAsia" w:ascii="仿宋" w:hAnsi="仿宋" w:eastAsia="仿宋" w:cs="仿宋"/>
          <w:sz w:val="30"/>
          <w:szCs w:val="30"/>
          <w:lang w:eastAsia="zh-CN"/>
        </w:rPr>
        <w:t>运</w:t>
      </w:r>
      <w:r>
        <w:rPr>
          <w:rFonts w:hint="eastAsia" w:ascii="仿宋" w:hAnsi="仿宋" w:eastAsia="仿宋" w:cs="仿宋"/>
          <w:sz w:val="30"/>
          <w:szCs w:val="30"/>
        </w:rPr>
        <w:t>营服务行为，维护</w:t>
      </w:r>
      <w:r>
        <w:rPr>
          <w:rFonts w:hint="eastAsia" w:ascii="仿宋" w:hAnsi="仿宋" w:eastAsia="仿宋" w:cs="仿宋"/>
          <w:sz w:val="30"/>
          <w:szCs w:val="30"/>
          <w:lang w:eastAsia="zh-CN"/>
        </w:rPr>
        <w:t>街道</w:t>
      </w:r>
      <w:r>
        <w:rPr>
          <w:rFonts w:hint="eastAsia" w:ascii="仿宋" w:hAnsi="仿宋" w:eastAsia="仿宋" w:cs="仿宋"/>
          <w:sz w:val="30"/>
          <w:szCs w:val="30"/>
        </w:rPr>
        <w:t>公共秩序</w:t>
      </w:r>
      <w:r>
        <w:rPr>
          <w:rFonts w:hint="eastAsia" w:ascii="仿宋" w:hAnsi="仿宋" w:eastAsia="仿宋" w:cs="仿宋"/>
          <w:sz w:val="30"/>
          <w:szCs w:val="30"/>
          <w:lang w:eastAsia="zh-CN"/>
        </w:rPr>
        <w:t>，根据街道实际</w:t>
      </w:r>
      <w:r>
        <w:rPr>
          <w:rFonts w:hint="eastAsia" w:ascii="仿宋" w:hAnsi="仿宋" w:eastAsia="仿宋" w:cs="仿宋"/>
          <w:sz w:val="30"/>
          <w:szCs w:val="30"/>
        </w:rPr>
        <w:t>特制定本办法。</w:t>
      </w:r>
    </w:p>
    <w:p>
      <w:pPr>
        <w:jc w:val="both"/>
        <w:rPr>
          <w:rFonts w:hint="eastAsia" w:ascii="仿宋" w:hAnsi="仿宋" w:eastAsia="仿宋" w:cs="仿宋"/>
          <w:sz w:val="30"/>
          <w:szCs w:val="30"/>
        </w:rPr>
      </w:pPr>
      <w:r>
        <w:rPr>
          <w:rFonts w:hint="eastAsia" w:ascii="仿宋" w:hAnsi="仿宋" w:eastAsia="仿宋" w:cs="仿宋"/>
          <w:sz w:val="30"/>
          <w:szCs w:val="30"/>
        </w:rPr>
        <w:t>一、指导思想和原则</w:t>
      </w:r>
    </w:p>
    <w:p>
      <w:pPr>
        <w:jc w:val="left"/>
        <w:rPr>
          <w:rFonts w:hint="eastAsia" w:ascii="仿宋" w:hAnsi="仿宋" w:eastAsia="仿宋" w:cs="仿宋"/>
          <w:sz w:val="30"/>
          <w:szCs w:val="30"/>
        </w:rPr>
      </w:pPr>
      <w:r>
        <w:rPr>
          <w:rFonts w:hint="eastAsia" w:ascii="仿宋" w:hAnsi="仿宋" w:eastAsia="仿宋" w:cs="仿宋"/>
          <w:sz w:val="30"/>
          <w:szCs w:val="30"/>
          <w:lang w:val="en-US" w:eastAsia="zh-CN"/>
        </w:rPr>
        <w:t xml:space="preserve">   </w:t>
      </w:r>
      <w:r>
        <w:rPr>
          <w:rFonts w:hint="eastAsia" w:ascii="仿宋" w:hAnsi="仿宋" w:eastAsia="仿宋" w:cs="仿宋"/>
          <w:sz w:val="30"/>
          <w:szCs w:val="30"/>
        </w:rPr>
        <w:t>以习近平新时代中国特色社会主义思想为指导，全面贯彻落实国家和省、市关于规范互联网租赁自行车运营服务的意</w:t>
      </w:r>
      <w:r>
        <w:rPr>
          <w:rFonts w:hint="eastAsia" w:ascii="仿宋" w:hAnsi="仿宋" w:eastAsia="仿宋" w:cs="仿宋"/>
          <w:sz w:val="30"/>
          <w:szCs w:val="30"/>
          <w:lang w:eastAsia="zh-CN"/>
        </w:rPr>
        <w:t>见</w:t>
      </w:r>
      <w:r>
        <w:rPr>
          <w:rFonts w:hint="eastAsia" w:ascii="仿宋" w:hAnsi="仿宋" w:eastAsia="仿宋" w:cs="仿宋"/>
          <w:sz w:val="30"/>
          <w:szCs w:val="30"/>
        </w:rPr>
        <w:t>要求。遵循公平、公正、公开和分类统计、标准统一、时</w:t>
      </w:r>
      <w:r>
        <w:rPr>
          <w:rFonts w:hint="eastAsia" w:ascii="仿宋" w:hAnsi="仿宋" w:eastAsia="仿宋" w:cs="仿宋"/>
          <w:sz w:val="30"/>
          <w:szCs w:val="30"/>
          <w:lang w:eastAsia="zh-CN"/>
        </w:rPr>
        <w:t>间同</w:t>
      </w:r>
      <w:r>
        <w:rPr>
          <w:rFonts w:hint="eastAsia" w:ascii="仿宋" w:hAnsi="仿宋" w:eastAsia="仿宋" w:cs="仿宋"/>
          <w:sz w:val="30"/>
          <w:szCs w:val="30"/>
        </w:rPr>
        <w:t>步的原则，坚持服务为本、规范引导、多方参与、科学监管的指导方针，对互联网租赁</w:t>
      </w:r>
      <w:r>
        <w:rPr>
          <w:rFonts w:hint="eastAsia" w:ascii="仿宋" w:hAnsi="仿宋" w:eastAsia="仿宋" w:cs="仿宋"/>
          <w:sz w:val="30"/>
          <w:szCs w:val="30"/>
          <w:lang w:eastAsia="zh-CN"/>
        </w:rPr>
        <w:t>电动</w:t>
      </w:r>
      <w:r>
        <w:rPr>
          <w:rFonts w:hint="eastAsia" w:ascii="仿宋" w:hAnsi="仿宋" w:eastAsia="仿宋" w:cs="仿宋"/>
          <w:sz w:val="30"/>
          <w:szCs w:val="30"/>
        </w:rPr>
        <w:t>自行车运营企业的服务水平、调度能力、安全措施、社会影响等方面进行综合评价。</w:t>
      </w:r>
    </w:p>
    <w:p>
      <w:pPr>
        <w:jc w:val="left"/>
        <w:rPr>
          <w:rFonts w:hint="eastAsia" w:ascii="仿宋" w:hAnsi="仿宋" w:eastAsia="仿宋" w:cs="仿宋"/>
          <w:sz w:val="30"/>
          <w:szCs w:val="30"/>
        </w:rPr>
      </w:pPr>
      <w:r>
        <w:rPr>
          <w:rFonts w:hint="eastAsia" w:ascii="仿宋" w:hAnsi="仿宋" w:eastAsia="仿宋" w:cs="仿宋"/>
          <w:sz w:val="30"/>
          <w:szCs w:val="30"/>
        </w:rPr>
        <w:t>二、考核范围和投放数量</w:t>
      </w:r>
    </w:p>
    <w:p>
      <w:pPr>
        <w:jc w:val="left"/>
        <w:rPr>
          <w:rFonts w:hint="eastAsia" w:ascii="仿宋" w:hAnsi="仿宋" w:eastAsia="仿宋" w:cs="仿宋"/>
          <w:sz w:val="30"/>
          <w:szCs w:val="30"/>
        </w:rPr>
      </w:pPr>
      <w:r>
        <w:rPr>
          <w:rFonts w:hint="eastAsia" w:ascii="仿宋" w:hAnsi="仿宋" w:eastAsia="仿宋" w:cs="仿宋"/>
          <w:sz w:val="30"/>
          <w:szCs w:val="30"/>
        </w:rPr>
        <w:t>(一)考核范围</w:t>
      </w:r>
    </w:p>
    <w:p>
      <w:pPr>
        <w:jc w:val="left"/>
        <w:rPr>
          <w:rFonts w:hint="eastAsia" w:ascii="仿宋" w:hAnsi="仿宋" w:eastAsia="仿宋" w:cs="仿宋"/>
          <w:sz w:val="30"/>
          <w:szCs w:val="30"/>
        </w:rPr>
      </w:pPr>
      <w:r>
        <w:rPr>
          <w:rFonts w:hint="eastAsia" w:ascii="仿宋" w:hAnsi="仿宋" w:eastAsia="仿宋" w:cs="仿宋"/>
          <w:sz w:val="30"/>
          <w:szCs w:val="30"/>
        </w:rPr>
        <w:t>本办法考核范围及对象为:</w:t>
      </w:r>
      <w:r>
        <w:rPr>
          <w:rFonts w:hint="eastAsia" w:ascii="仿宋" w:hAnsi="仿宋" w:eastAsia="仿宋" w:cs="仿宋"/>
          <w:sz w:val="30"/>
          <w:szCs w:val="30"/>
          <w:lang w:eastAsia="zh-CN"/>
        </w:rPr>
        <w:t>廿三里街道范围内</w:t>
      </w:r>
      <w:r>
        <w:rPr>
          <w:rFonts w:hint="eastAsia" w:ascii="仿宋" w:hAnsi="仿宋" w:eastAsia="仿宋" w:cs="仿宋"/>
          <w:sz w:val="30"/>
          <w:szCs w:val="30"/>
        </w:rPr>
        <w:t>运营的互联网租赁</w:t>
      </w:r>
      <w:r>
        <w:rPr>
          <w:rFonts w:hint="eastAsia" w:ascii="仿宋" w:hAnsi="仿宋" w:eastAsia="仿宋" w:cs="仿宋"/>
          <w:sz w:val="30"/>
          <w:szCs w:val="30"/>
          <w:lang w:eastAsia="zh-CN"/>
        </w:rPr>
        <w:t>电动</w:t>
      </w:r>
      <w:r>
        <w:rPr>
          <w:rFonts w:hint="eastAsia" w:ascii="仿宋" w:hAnsi="仿宋" w:eastAsia="仿宋" w:cs="仿宋"/>
          <w:sz w:val="30"/>
          <w:szCs w:val="30"/>
        </w:rPr>
        <w:t>自行车企业。</w:t>
      </w:r>
    </w:p>
    <w:p>
      <w:pPr>
        <w:jc w:val="left"/>
        <w:rPr>
          <w:rFonts w:hint="eastAsia" w:ascii="仿宋" w:hAnsi="仿宋" w:eastAsia="仿宋" w:cs="仿宋"/>
          <w:sz w:val="30"/>
          <w:szCs w:val="30"/>
        </w:rPr>
      </w:pPr>
      <w:r>
        <w:rPr>
          <w:rFonts w:hint="eastAsia" w:ascii="仿宋" w:hAnsi="仿宋" w:eastAsia="仿宋" w:cs="仿宋"/>
          <w:sz w:val="30"/>
          <w:szCs w:val="30"/>
        </w:rPr>
        <w:t>(二)投放数量</w:t>
      </w:r>
    </w:p>
    <w:p>
      <w:pPr>
        <w:ind w:firstLine="600" w:firstLineChars="200"/>
        <w:jc w:val="left"/>
        <w:rPr>
          <w:rFonts w:hint="eastAsia" w:ascii="仿宋" w:hAnsi="仿宋" w:eastAsia="仿宋" w:cs="仿宋"/>
          <w:sz w:val="30"/>
          <w:szCs w:val="30"/>
        </w:rPr>
      </w:pPr>
      <w:r>
        <w:rPr>
          <w:rFonts w:hint="eastAsia" w:ascii="仿宋" w:hAnsi="仿宋" w:eastAsia="仿宋" w:cs="仿宋"/>
          <w:sz w:val="30"/>
          <w:szCs w:val="30"/>
        </w:rPr>
        <w:t>根据本</w:t>
      </w:r>
      <w:r>
        <w:rPr>
          <w:rFonts w:hint="eastAsia" w:ascii="仿宋" w:hAnsi="仿宋" w:eastAsia="仿宋" w:cs="仿宋"/>
          <w:sz w:val="30"/>
          <w:szCs w:val="30"/>
          <w:lang w:eastAsia="zh-CN"/>
        </w:rPr>
        <w:t>街道</w:t>
      </w:r>
      <w:r>
        <w:rPr>
          <w:rFonts w:hint="eastAsia" w:ascii="仿宋" w:hAnsi="仿宋" w:eastAsia="仿宋" w:cs="仿宋"/>
          <w:sz w:val="30"/>
          <w:szCs w:val="30"/>
        </w:rPr>
        <w:t>现有空间承载能力、停放设施资源、市民出行需求等因素，设定单车投放总量</w:t>
      </w:r>
      <w:r>
        <w:rPr>
          <w:rFonts w:hint="eastAsia" w:ascii="仿宋" w:hAnsi="仿宋" w:eastAsia="仿宋" w:cs="仿宋"/>
          <w:sz w:val="30"/>
          <w:szCs w:val="30"/>
          <w:lang w:eastAsia="zh-CN"/>
        </w:rPr>
        <w:t>为</w:t>
      </w:r>
      <w:r>
        <w:rPr>
          <w:rFonts w:hint="eastAsia" w:ascii="仿宋" w:hAnsi="仿宋" w:eastAsia="仿宋" w:cs="仿宋"/>
          <w:sz w:val="30"/>
          <w:szCs w:val="30"/>
          <w:lang w:val="en-US" w:eastAsia="zh-CN"/>
        </w:rPr>
        <w:t>1600辆</w:t>
      </w:r>
      <w:r>
        <w:rPr>
          <w:rFonts w:hint="eastAsia" w:ascii="仿宋" w:hAnsi="仿宋" w:eastAsia="仿宋" w:cs="仿宋"/>
          <w:sz w:val="30"/>
          <w:szCs w:val="30"/>
        </w:rPr>
        <w:t>，并进行适时动态调整，依据考核结果，进行评估测算，合理分配各企业车辆投放份额。</w:t>
      </w:r>
    </w:p>
    <w:p>
      <w:pPr>
        <w:jc w:val="left"/>
        <w:rPr>
          <w:rFonts w:hint="eastAsia" w:ascii="仿宋" w:hAnsi="仿宋" w:eastAsia="仿宋" w:cs="仿宋"/>
          <w:sz w:val="30"/>
          <w:szCs w:val="30"/>
        </w:rPr>
      </w:pPr>
      <w:r>
        <w:rPr>
          <w:rFonts w:hint="eastAsia" w:ascii="仿宋" w:hAnsi="仿宋" w:eastAsia="仿宋" w:cs="仿宋"/>
          <w:sz w:val="30"/>
          <w:szCs w:val="30"/>
        </w:rPr>
        <w:t>三、考核部门及方式</w:t>
      </w:r>
    </w:p>
    <w:p>
      <w:pPr>
        <w:jc w:val="left"/>
        <w:rPr>
          <w:rFonts w:hint="eastAsia" w:ascii="仿宋" w:hAnsi="仿宋" w:eastAsia="仿宋" w:cs="仿宋"/>
          <w:sz w:val="30"/>
          <w:szCs w:val="30"/>
        </w:rPr>
      </w:pPr>
      <w:r>
        <w:rPr>
          <w:rFonts w:hint="eastAsia" w:ascii="仿宋" w:hAnsi="仿宋" w:eastAsia="仿宋" w:cs="仿宋"/>
          <w:sz w:val="30"/>
          <w:szCs w:val="30"/>
        </w:rPr>
        <w:t>(一)考核部门</w:t>
      </w:r>
    </w:p>
    <w:p>
      <w:pPr>
        <w:jc w:val="left"/>
        <w:rPr>
          <w:rFonts w:hint="eastAsia" w:ascii="仿宋" w:hAnsi="仿宋" w:eastAsia="仿宋" w:cs="仿宋"/>
          <w:sz w:val="30"/>
          <w:szCs w:val="30"/>
          <w:lang w:eastAsia="zh-CN"/>
        </w:rPr>
      </w:pPr>
      <w:r>
        <w:rPr>
          <w:rFonts w:hint="eastAsia" w:ascii="仿宋" w:hAnsi="仿宋" w:eastAsia="仿宋" w:cs="仿宋"/>
          <w:sz w:val="30"/>
          <w:szCs w:val="30"/>
          <w:lang w:val="en-US" w:eastAsia="zh-CN"/>
        </w:rPr>
        <w:t xml:space="preserve">   </w:t>
      </w:r>
      <w:r>
        <w:rPr>
          <w:rFonts w:hint="eastAsia" w:ascii="仿宋" w:hAnsi="仿宋" w:eastAsia="仿宋" w:cs="仿宋"/>
          <w:sz w:val="30"/>
          <w:szCs w:val="30"/>
          <w:lang w:eastAsia="zh-CN"/>
        </w:rPr>
        <w:t>由廿三里街道城市服务管理办公室牵头，</w:t>
      </w:r>
      <w:r>
        <w:rPr>
          <w:rFonts w:hint="eastAsia" w:ascii="仿宋" w:hAnsi="仿宋" w:eastAsia="仿宋" w:cs="仿宋"/>
          <w:sz w:val="30"/>
          <w:szCs w:val="30"/>
        </w:rPr>
        <w:t>人大、纪工委、</w:t>
      </w:r>
      <w:r>
        <w:rPr>
          <w:rFonts w:hint="eastAsia" w:ascii="仿宋" w:hAnsi="仿宋" w:eastAsia="仿宋" w:cs="仿宋"/>
          <w:sz w:val="30"/>
          <w:szCs w:val="30"/>
          <w:lang w:eastAsia="zh-CN"/>
        </w:rPr>
        <w:t>交警、</w:t>
      </w:r>
      <w:r>
        <w:rPr>
          <w:rFonts w:hint="eastAsia" w:ascii="仿宋" w:hAnsi="仿宋" w:eastAsia="仿宋" w:cs="仿宋"/>
          <w:sz w:val="30"/>
          <w:szCs w:val="30"/>
        </w:rPr>
        <w:t>执法大队等组成考</w:t>
      </w:r>
      <w:r>
        <w:rPr>
          <w:rFonts w:hint="eastAsia" w:ascii="仿宋" w:hAnsi="仿宋" w:eastAsia="仿宋" w:cs="仿宋"/>
          <w:sz w:val="30"/>
          <w:szCs w:val="30"/>
          <w:lang w:eastAsia="zh-CN"/>
        </w:rPr>
        <w:t>核</w:t>
      </w:r>
      <w:r>
        <w:rPr>
          <w:rFonts w:hint="eastAsia" w:ascii="仿宋" w:hAnsi="仿宋" w:eastAsia="仿宋" w:cs="仿宋"/>
          <w:sz w:val="30"/>
          <w:szCs w:val="30"/>
        </w:rPr>
        <w:t>组</w:t>
      </w:r>
      <w:r>
        <w:rPr>
          <w:rFonts w:hint="eastAsia" w:ascii="仿宋" w:hAnsi="仿宋" w:eastAsia="仿宋" w:cs="仿宋"/>
          <w:sz w:val="30"/>
          <w:szCs w:val="30"/>
          <w:lang w:eastAsia="zh-CN"/>
        </w:rPr>
        <w:t>。</w:t>
      </w:r>
    </w:p>
    <w:p>
      <w:pPr>
        <w:jc w:val="left"/>
        <w:rPr>
          <w:rFonts w:hint="eastAsia" w:ascii="仿宋" w:hAnsi="仿宋" w:eastAsia="仿宋" w:cs="仿宋"/>
          <w:sz w:val="30"/>
          <w:szCs w:val="30"/>
        </w:rPr>
      </w:pPr>
      <w:r>
        <w:rPr>
          <w:rFonts w:hint="eastAsia" w:ascii="仿宋" w:hAnsi="仿宋" w:eastAsia="仿宋" w:cs="仿宋"/>
          <w:sz w:val="30"/>
          <w:szCs w:val="30"/>
        </w:rPr>
        <w:t>(二)考核方式</w:t>
      </w:r>
    </w:p>
    <w:p>
      <w:pPr>
        <w:ind w:firstLine="600" w:firstLineChars="200"/>
        <w:jc w:val="left"/>
        <w:rPr>
          <w:rFonts w:hint="eastAsia" w:ascii="仿宋" w:hAnsi="仿宋" w:eastAsia="仿宋" w:cs="仿宋"/>
          <w:sz w:val="30"/>
          <w:szCs w:val="30"/>
        </w:rPr>
      </w:pPr>
      <w:r>
        <w:rPr>
          <w:rFonts w:hint="eastAsia" w:ascii="仿宋" w:hAnsi="仿宋" w:eastAsia="仿宋" w:cs="仿宋"/>
          <w:sz w:val="30"/>
          <w:szCs w:val="30"/>
        </w:rPr>
        <w:t>考核组成员</w:t>
      </w:r>
      <w:r>
        <w:rPr>
          <w:rFonts w:hint="eastAsia" w:ascii="仿宋" w:hAnsi="仿宋" w:eastAsia="仿宋" w:cs="仿宋"/>
          <w:sz w:val="30"/>
          <w:szCs w:val="30"/>
          <w:lang w:eastAsia="zh-CN"/>
        </w:rPr>
        <w:t>按要求</w:t>
      </w:r>
      <w:r>
        <w:rPr>
          <w:rFonts w:hint="eastAsia" w:ascii="仿宋" w:hAnsi="仿宋" w:eastAsia="仿宋" w:cs="仿宋"/>
          <w:sz w:val="30"/>
          <w:szCs w:val="30"/>
        </w:rPr>
        <w:t>对我</w:t>
      </w:r>
      <w:r>
        <w:rPr>
          <w:rFonts w:hint="eastAsia" w:ascii="仿宋" w:hAnsi="仿宋" w:eastAsia="仿宋" w:cs="仿宋"/>
          <w:sz w:val="30"/>
          <w:szCs w:val="30"/>
          <w:lang w:eastAsia="zh-CN"/>
        </w:rPr>
        <w:t>街道</w:t>
      </w:r>
      <w:r>
        <w:rPr>
          <w:rFonts w:hint="eastAsia" w:ascii="仿宋" w:hAnsi="仿宋" w:eastAsia="仿宋" w:cs="仿宋"/>
          <w:sz w:val="30"/>
          <w:szCs w:val="30"/>
        </w:rPr>
        <w:t>运营的互联网租赁</w:t>
      </w:r>
      <w:r>
        <w:rPr>
          <w:rFonts w:hint="eastAsia" w:ascii="仿宋" w:hAnsi="仿宋" w:eastAsia="仿宋" w:cs="仿宋"/>
          <w:sz w:val="30"/>
          <w:szCs w:val="30"/>
          <w:lang w:eastAsia="zh-CN"/>
        </w:rPr>
        <w:t>电动</w:t>
      </w:r>
      <w:r>
        <w:rPr>
          <w:rFonts w:hint="eastAsia" w:ascii="仿宋" w:hAnsi="仿宋" w:eastAsia="仿宋" w:cs="仿宋"/>
          <w:sz w:val="30"/>
          <w:szCs w:val="30"/>
        </w:rPr>
        <w:t>自行车运营企业进行考核评价，考核周期原则为每季度一次(具体实施中，可根据工作任务及单车市场运营实际情况做出适时调整)。</w:t>
      </w:r>
    </w:p>
    <w:p>
      <w:pPr>
        <w:numPr>
          <w:ilvl w:val="0"/>
          <w:numId w:val="1"/>
        </w:numPr>
        <w:jc w:val="left"/>
        <w:rPr>
          <w:rFonts w:hint="eastAsia" w:ascii="仿宋" w:hAnsi="仿宋" w:eastAsia="仿宋" w:cs="仿宋"/>
          <w:sz w:val="30"/>
          <w:szCs w:val="30"/>
        </w:rPr>
      </w:pPr>
      <w:r>
        <w:rPr>
          <w:rFonts w:hint="eastAsia" w:ascii="仿宋" w:hAnsi="仿宋" w:eastAsia="仿宋" w:cs="仿宋"/>
          <w:sz w:val="30"/>
          <w:szCs w:val="30"/>
        </w:rPr>
        <w:t>考核内容</w:t>
      </w:r>
    </w:p>
    <w:p>
      <w:pPr>
        <w:numPr>
          <w:ilvl w:val="0"/>
          <w:numId w:val="0"/>
        </w:numPr>
        <w:ind w:firstLine="600" w:firstLineChars="200"/>
        <w:jc w:val="left"/>
        <w:rPr>
          <w:rFonts w:hint="eastAsia" w:ascii="仿宋" w:hAnsi="仿宋" w:eastAsia="仿宋" w:cs="仿宋"/>
          <w:sz w:val="30"/>
          <w:szCs w:val="30"/>
          <w:lang w:val="en-US" w:eastAsia="zh-CN"/>
        </w:rPr>
      </w:pPr>
      <w:r>
        <w:rPr>
          <w:rFonts w:hint="eastAsia" w:ascii="仿宋" w:hAnsi="仿宋" w:eastAsia="仿宋" w:cs="仿宋"/>
          <w:sz w:val="30"/>
          <w:szCs w:val="30"/>
          <w:lang w:eastAsia="zh-CN"/>
        </w:rPr>
        <w:t>详见附件：廿三里街道电动自行车租赁企业运营服务评价指标明细。</w:t>
      </w:r>
    </w:p>
    <w:p>
      <w:pPr>
        <w:jc w:val="left"/>
        <w:rPr>
          <w:rFonts w:hint="eastAsia" w:ascii="仿宋" w:hAnsi="仿宋" w:eastAsia="仿宋" w:cs="仿宋"/>
          <w:sz w:val="30"/>
          <w:szCs w:val="30"/>
        </w:rPr>
      </w:pPr>
      <w:r>
        <w:rPr>
          <w:rFonts w:hint="eastAsia" w:ascii="仿宋" w:hAnsi="仿宋" w:eastAsia="仿宋" w:cs="仿宋"/>
          <w:sz w:val="30"/>
          <w:szCs w:val="30"/>
        </w:rPr>
        <w:t>五、考核结果运用</w:t>
      </w:r>
    </w:p>
    <w:p>
      <w:pPr>
        <w:ind w:firstLine="600" w:firstLineChars="200"/>
        <w:jc w:val="left"/>
        <w:rPr>
          <w:rFonts w:hint="eastAsia" w:ascii="仿宋" w:hAnsi="仿宋" w:eastAsia="仿宋" w:cs="仿宋"/>
          <w:sz w:val="30"/>
          <w:szCs w:val="30"/>
        </w:rPr>
      </w:pPr>
      <w:r>
        <w:rPr>
          <w:rFonts w:hint="eastAsia" w:ascii="仿宋" w:hAnsi="仿宋" w:eastAsia="仿宋" w:cs="仿宋"/>
          <w:sz w:val="30"/>
          <w:szCs w:val="30"/>
        </w:rPr>
        <w:t>互联网租赁</w:t>
      </w:r>
      <w:r>
        <w:rPr>
          <w:rFonts w:hint="eastAsia" w:ascii="仿宋" w:hAnsi="仿宋" w:eastAsia="仿宋" w:cs="仿宋"/>
          <w:sz w:val="30"/>
          <w:szCs w:val="30"/>
          <w:lang w:eastAsia="zh-CN"/>
        </w:rPr>
        <w:t>电动</w:t>
      </w:r>
      <w:r>
        <w:rPr>
          <w:rFonts w:hint="eastAsia" w:ascii="仿宋" w:hAnsi="仿宋" w:eastAsia="仿宋" w:cs="仿宋"/>
          <w:sz w:val="30"/>
          <w:szCs w:val="30"/>
        </w:rPr>
        <w:t>车企业考核，分为优秀、合格、不合格三个等级，考核分数大于等于</w:t>
      </w:r>
      <w:r>
        <w:rPr>
          <w:rFonts w:hint="eastAsia" w:ascii="仿宋" w:hAnsi="仿宋" w:eastAsia="仿宋" w:cs="仿宋"/>
          <w:sz w:val="30"/>
          <w:szCs w:val="30"/>
          <w:lang w:val="en-US" w:eastAsia="zh-CN"/>
        </w:rPr>
        <w:t>85</w:t>
      </w:r>
      <w:r>
        <w:rPr>
          <w:rFonts w:hint="eastAsia" w:ascii="仿宋" w:hAnsi="仿宋" w:eastAsia="仿宋" w:cs="仿宋"/>
          <w:sz w:val="30"/>
          <w:szCs w:val="30"/>
        </w:rPr>
        <w:t>分的企业评为优秀，考核分数</w:t>
      </w:r>
      <w:r>
        <w:rPr>
          <w:rFonts w:hint="eastAsia" w:ascii="仿宋" w:hAnsi="仿宋" w:eastAsia="仿宋" w:cs="仿宋"/>
          <w:sz w:val="30"/>
          <w:szCs w:val="30"/>
          <w:lang w:val="en-US" w:eastAsia="zh-CN"/>
        </w:rPr>
        <w:t>84-60</w:t>
      </w:r>
      <w:r>
        <w:rPr>
          <w:rFonts w:hint="eastAsia" w:ascii="仿宋" w:hAnsi="仿宋" w:eastAsia="仿宋" w:cs="仿宋"/>
          <w:sz w:val="30"/>
          <w:szCs w:val="30"/>
        </w:rPr>
        <w:t>分的企业评为合格，考核分数小于60分的企业评为不合格。</w:t>
      </w:r>
      <w:r>
        <w:rPr>
          <w:rFonts w:hint="eastAsia" w:ascii="仿宋" w:hAnsi="仿宋" w:eastAsia="仿宋" w:cs="仿宋"/>
          <w:sz w:val="30"/>
          <w:szCs w:val="30"/>
          <w:lang w:eastAsia="zh-CN"/>
        </w:rPr>
        <w:t>在合同期内每次考核都在合格及以上的，合同到期可延续一年。</w:t>
      </w:r>
      <w:r>
        <w:rPr>
          <w:rFonts w:hint="eastAsia" w:ascii="仿宋" w:hAnsi="仿宋" w:eastAsia="仿宋" w:cs="仿宋"/>
          <w:sz w:val="30"/>
          <w:szCs w:val="30"/>
        </w:rPr>
        <w:t>根据上述评分结果，具体考核运用为:</w:t>
      </w:r>
    </w:p>
    <w:p>
      <w:pPr>
        <w:jc w:val="left"/>
        <w:rPr>
          <w:rFonts w:hint="eastAsia" w:ascii="仿宋" w:hAnsi="仿宋" w:eastAsia="仿宋" w:cs="仿宋"/>
          <w:sz w:val="30"/>
          <w:szCs w:val="30"/>
        </w:rPr>
      </w:pPr>
      <w:r>
        <w:rPr>
          <w:rFonts w:hint="eastAsia" w:ascii="仿宋" w:hAnsi="仿宋" w:eastAsia="仿宋" w:cs="仿宋"/>
          <w:sz w:val="30"/>
          <w:szCs w:val="30"/>
        </w:rPr>
        <w:t>(一)严格把控单车市场准入和投放规模</w:t>
      </w:r>
    </w:p>
    <w:p>
      <w:pPr>
        <w:ind w:firstLine="600" w:firstLineChars="200"/>
        <w:jc w:val="left"/>
        <w:rPr>
          <w:rFonts w:hint="eastAsia" w:ascii="仿宋" w:hAnsi="仿宋" w:eastAsia="仿宋" w:cs="仿宋"/>
          <w:sz w:val="30"/>
          <w:szCs w:val="30"/>
          <w:lang w:val="en-US" w:eastAsia="zh-CN"/>
        </w:rPr>
      </w:pPr>
      <w:r>
        <w:rPr>
          <w:rFonts w:hint="eastAsia" w:ascii="仿宋" w:hAnsi="仿宋" w:eastAsia="仿宋" w:cs="仿宋"/>
          <w:sz w:val="30"/>
          <w:szCs w:val="30"/>
        </w:rPr>
        <w:t>为鼓励各企业履行服务承诺、积极提升服务质量，根据服务考核结果对企业的车辆投放量进行调整。调整的原则为:对考核不合格的企业进行减量，考核优秀的企业适当增量，增量不大于减量。具体的调整措施为:</w:t>
      </w:r>
      <w:r>
        <w:rPr>
          <w:rFonts w:hint="eastAsia" w:ascii="仿宋" w:hAnsi="仿宋" w:eastAsia="仿宋" w:cs="仿宋"/>
          <w:sz w:val="30"/>
          <w:szCs w:val="30"/>
          <w:lang w:val="en-US" w:eastAsia="zh-CN"/>
        </w:rPr>
        <w:t xml:space="preserve"> </w:t>
      </w:r>
    </w:p>
    <w:p>
      <w:pPr>
        <w:numPr>
          <w:ilvl w:val="0"/>
          <w:numId w:val="2"/>
        </w:numPr>
        <w:jc w:val="left"/>
        <w:rPr>
          <w:rFonts w:hint="eastAsia" w:ascii="仿宋" w:hAnsi="仿宋" w:eastAsia="仿宋" w:cs="仿宋"/>
          <w:sz w:val="30"/>
          <w:szCs w:val="30"/>
        </w:rPr>
      </w:pPr>
      <w:r>
        <w:rPr>
          <w:rFonts w:hint="eastAsia" w:ascii="仿宋" w:hAnsi="仿宋" w:eastAsia="仿宋" w:cs="仿宋"/>
          <w:sz w:val="30"/>
          <w:szCs w:val="30"/>
        </w:rPr>
        <w:t>企业评为优秀的。将在下一考核周</w:t>
      </w:r>
      <w:r>
        <w:rPr>
          <w:rFonts w:hint="eastAsia" w:ascii="仿宋" w:hAnsi="仿宋" w:eastAsia="仿宋" w:cs="仿宋"/>
          <w:sz w:val="30"/>
          <w:szCs w:val="30"/>
          <w:lang w:eastAsia="zh-CN"/>
        </w:rPr>
        <w:t>期</w:t>
      </w:r>
      <w:r>
        <w:rPr>
          <w:rFonts w:hint="eastAsia" w:ascii="仿宋" w:hAnsi="仿宋" w:eastAsia="仿宋" w:cs="仿宋"/>
          <w:sz w:val="30"/>
          <w:szCs w:val="30"/>
        </w:rPr>
        <w:t>中</w:t>
      </w:r>
      <w:r>
        <w:rPr>
          <w:rFonts w:hint="eastAsia" w:ascii="仿宋" w:hAnsi="仿宋" w:eastAsia="仿宋" w:cs="仿宋"/>
          <w:sz w:val="30"/>
          <w:szCs w:val="30"/>
          <w:lang w:eastAsia="zh-CN"/>
        </w:rPr>
        <w:t>适当</w:t>
      </w:r>
      <w:r>
        <w:rPr>
          <w:rFonts w:hint="eastAsia" w:ascii="仿宋" w:hAnsi="仿宋" w:eastAsia="仿宋" w:cs="仿宋"/>
          <w:sz w:val="30"/>
          <w:szCs w:val="30"/>
        </w:rPr>
        <w:t>增加</w:t>
      </w:r>
      <w:r>
        <w:rPr>
          <w:rFonts w:hint="eastAsia" w:ascii="仿宋" w:hAnsi="仿宋" w:eastAsia="仿宋" w:cs="仿宋"/>
          <w:sz w:val="30"/>
          <w:szCs w:val="30"/>
          <w:lang w:eastAsia="zh-CN"/>
        </w:rPr>
        <w:t>投放数量</w:t>
      </w:r>
      <w:r>
        <w:rPr>
          <w:rFonts w:hint="eastAsia" w:ascii="仿宋" w:hAnsi="仿宋" w:eastAsia="仿宋" w:cs="仿宋"/>
          <w:sz w:val="30"/>
          <w:szCs w:val="30"/>
        </w:rPr>
        <w:t>，</w:t>
      </w:r>
      <w:r>
        <w:rPr>
          <w:rFonts w:hint="eastAsia" w:ascii="仿宋" w:hAnsi="仿宋" w:eastAsia="仿宋" w:cs="仿宋"/>
          <w:sz w:val="30"/>
          <w:szCs w:val="30"/>
          <w:lang w:eastAsia="zh-CN"/>
        </w:rPr>
        <w:t>增加的数</w:t>
      </w:r>
      <w:r>
        <w:rPr>
          <w:rFonts w:hint="eastAsia" w:ascii="仿宋" w:hAnsi="仿宋" w:eastAsia="仿宋" w:cs="仿宋"/>
          <w:sz w:val="30"/>
          <w:szCs w:val="30"/>
        </w:rPr>
        <w:t>量</w:t>
      </w:r>
      <w:r>
        <w:rPr>
          <w:rFonts w:hint="eastAsia" w:ascii="仿宋" w:hAnsi="仿宋" w:eastAsia="仿宋" w:cs="仿宋"/>
          <w:sz w:val="30"/>
          <w:szCs w:val="30"/>
          <w:lang w:eastAsia="zh-CN"/>
        </w:rPr>
        <w:t>不大于</w:t>
      </w:r>
      <w:r>
        <w:rPr>
          <w:rFonts w:hint="eastAsia" w:ascii="仿宋" w:hAnsi="仿宋" w:eastAsia="仿宋" w:cs="仿宋"/>
          <w:sz w:val="30"/>
          <w:szCs w:val="30"/>
        </w:rPr>
        <w:t>该考核周期其他企业减少</w:t>
      </w:r>
      <w:r>
        <w:rPr>
          <w:rFonts w:hint="eastAsia" w:ascii="仿宋" w:hAnsi="仿宋" w:eastAsia="仿宋" w:cs="仿宋"/>
          <w:sz w:val="30"/>
          <w:szCs w:val="30"/>
          <w:lang w:eastAsia="zh-CN"/>
        </w:rPr>
        <w:t>的数量</w:t>
      </w:r>
      <w:r>
        <w:rPr>
          <w:rFonts w:hint="eastAsia" w:ascii="仿宋" w:hAnsi="仿宋" w:eastAsia="仿宋" w:cs="仿宋"/>
          <w:sz w:val="30"/>
          <w:szCs w:val="30"/>
        </w:rPr>
        <w:t>。</w:t>
      </w:r>
    </w:p>
    <w:p>
      <w:pPr>
        <w:numPr>
          <w:ilvl w:val="0"/>
          <w:numId w:val="0"/>
        </w:numPr>
        <w:jc w:val="left"/>
        <w:rPr>
          <w:rFonts w:hint="eastAsia" w:ascii="仿宋" w:hAnsi="仿宋" w:eastAsia="仿宋" w:cs="仿宋"/>
          <w:sz w:val="30"/>
          <w:szCs w:val="30"/>
        </w:rPr>
      </w:pPr>
      <w:r>
        <w:rPr>
          <w:rFonts w:hint="eastAsia" w:ascii="仿宋" w:hAnsi="仿宋" w:eastAsia="仿宋" w:cs="仿宋"/>
          <w:sz w:val="30"/>
          <w:szCs w:val="30"/>
        </w:rPr>
        <w:t>2、企业评为合格的。不对其进行投放量调整。</w:t>
      </w:r>
    </w:p>
    <w:p>
      <w:pPr>
        <w:jc w:val="left"/>
        <w:rPr>
          <w:rFonts w:hint="eastAsia" w:ascii="仿宋" w:hAnsi="仿宋" w:eastAsia="仿宋" w:cs="仿宋"/>
          <w:sz w:val="30"/>
          <w:szCs w:val="30"/>
        </w:rPr>
      </w:pPr>
      <w:r>
        <w:rPr>
          <w:rFonts w:hint="eastAsia" w:ascii="仿宋" w:hAnsi="仿宋" w:eastAsia="仿宋" w:cs="仿宋"/>
          <w:sz w:val="30"/>
          <w:szCs w:val="30"/>
        </w:rPr>
        <w:t>3、企业评为不合格的。在下一考核周期将减少其</w:t>
      </w:r>
      <w:r>
        <w:rPr>
          <w:rFonts w:hint="eastAsia" w:ascii="仿宋" w:hAnsi="仿宋" w:eastAsia="仿宋" w:cs="仿宋"/>
          <w:sz w:val="30"/>
          <w:szCs w:val="30"/>
          <w:lang w:val="en-US" w:eastAsia="zh-CN"/>
        </w:rPr>
        <w:t>1</w:t>
      </w:r>
      <w:r>
        <w:rPr>
          <w:rFonts w:hint="eastAsia" w:ascii="仿宋" w:hAnsi="仿宋" w:eastAsia="仿宋" w:cs="仿宋"/>
          <w:sz w:val="30"/>
          <w:szCs w:val="30"/>
        </w:rPr>
        <w:t>0%投放</w:t>
      </w:r>
    </w:p>
    <w:p>
      <w:pPr>
        <w:jc w:val="left"/>
        <w:rPr>
          <w:rFonts w:hint="eastAsia" w:ascii="仿宋" w:hAnsi="仿宋" w:eastAsia="仿宋" w:cs="仿宋"/>
          <w:sz w:val="30"/>
          <w:szCs w:val="30"/>
        </w:rPr>
      </w:pPr>
      <w:r>
        <w:rPr>
          <w:rFonts w:hint="eastAsia" w:ascii="仿宋" w:hAnsi="仿宋" w:eastAsia="仿宋" w:cs="仿宋"/>
          <w:sz w:val="30"/>
          <w:szCs w:val="30"/>
        </w:rPr>
        <w:t>量;累计两期考核不合格的，在下一考核周期减少其</w:t>
      </w:r>
      <w:r>
        <w:rPr>
          <w:rFonts w:hint="eastAsia" w:ascii="仿宋" w:hAnsi="仿宋" w:eastAsia="仿宋" w:cs="仿宋"/>
          <w:sz w:val="30"/>
          <w:szCs w:val="30"/>
          <w:lang w:val="en-US" w:eastAsia="zh-CN"/>
        </w:rPr>
        <w:t>3</w:t>
      </w:r>
      <w:r>
        <w:rPr>
          <w:rFonts w:hint="eastAsia" w:ascii="仿宋" w:hAnsi="仿宋" w:eastAsia="仿宋" w:cs="仿宋"/>
          <w:sz w:val="30"/>
          <w:szCs w:val="30"/>
        </w:rPr>
        <w:t>0%投</w:t>
      </w:r>
    </w:p>
    <w:p>
      <w:pPr>
        <w:jc w:val="left"/>
        <w:rPr>
          <w:rFonts w:hint="eastAsia" w:ascii="仿宋" w:hAnsi="仿宋" w:eastAsia="仿宋" w:cs="仿宋"/>
          <w:sz w:val="30"/>
          <w:szCs w:val="30"/>
        </w:rPr>
      </w:pPr>
      <w:r>
        <w:rPr>
          <w:rFonts w:hint="eastAsia" w:ascii="仿宋" w:hAnsi="仿宋" w:eastAsia="仿宋" w:cs="仿宋"/>
          <w:sz w:val="30"/>
          <w:szCs w:val="30"/>
        </w:rPr>
        <w:t>放量。</w:t>
      </w:r>
    </w:p>
    <w:p>
      <w:pPr>
        <w:jc w:val="left"/>
        <w:rPr>
          <w:rFonts w:hint="eastAsia" w:ascii="仿宋" w:hAnsi="仿宋" w:eastAsia="仿宋" w:cs="仿宋"/>
          <w:sz w:val="30"/>
          <w:szCs w:val="30"/>
        </w:rPr>
      </w:pPr>
      <w:r>
        <w:rPr>
          <w:rFonts w:hint="eastAsia" w:ascii="仿宋" w:hAnsi="仿宋" w:eastAsia="仿宋" w:cs="仿宋"/>
          <w:sz w:val="30"/>
          <w:szCs w:val="30"/>
          <w:lang w:val="en-US" w:eastAsia="zh-CN"/>
        </w:rPr>
        <w:t>4</w:t>
      </w:r>
      <w:r>
        <w:rPr>
          <w:rFonts w:hint="eastAsia" w:ascii="仿宋" w:hAnsi="仿宋" w:eastAsia="仿宋" w:cs="仿宋"/>
          <w:sz w:val="30"/>
          <w:szCs w:val="30"/>
        </w:rPr>
        <w:t>、经监管部门核查确认，对不合格企业，其减量下市的单车，在监管部门监督下，由企业自行封存</w:t>
      </w:r>
      <w:r>
        <w:rPr>
          <w:rFonts w:hint="eastAsia" w:ascii="仿宋" w:hAnsi="仿宋" w:eastAsia="仿宋" w:cs="仿宋"/>
          <w:sz w:val="30"/>
          <w:szCs w:val="30"/>
          <w:lang w:eastAsia="zh-CN"/>
        </w:rPr>
        <w:t>一周内</w:t>
      </w:r>
      <w:r>
        <w:rPr>
          <w:rFonts w:hint="eastAsia" w:ascii="仿宋" w:hAnsi="仿宋" w:eastAsia="仿宋" w:cs="仿宋"/>
          <w:sz w:val="30"/>
          <w:szCs w:val="30"/>
        </w:rPr>
        <w:t>运出</w:t>
      </w:r>
      <w:r>
        <w:rPr>
          <w:rFonts w:hint="eastAsia" w:ascii="仿宋" w:hAnsi="仿宋" w:eastAsia="仿宋" w:cs="仿宋"/>
          <w:sz w:val="30"/>
          <w:szCs w:val="30"/>
          <w:lang w:eastAsia="zh-CN"/>
        </w:rPr>
        <w:t>廿三里</w:t>
      </w:r>
      <w:r>
        <w:rPr>
          <w:rFonts w:hint="eastAsia" w:ascii="仿宋" w:hAnsi="仿宋" w:eastAsia="仿宋" w:cs="仿宋"/>
          <w:sz w:val="30"/>
          <w:szCs w:val="30"/>
        </w:rPr>
        <w:t>市场，逾期未转移的，再扣除其考核量10%投放份额。</w:t>
      </w:r>
    </w:p>
    <w:p>
      <w:pPr>
        <w:jc w:val="left"/>
        <w:rPr>
          <w:rFonts w:hint="eastAsia" w:ascii="仿宋" w:hAnsi="仿宋" w:eastAsia="仿宋" w:cs="仿宋"/>
          <w:sz w:val="30"/>
          <w:szCs w:val="30"/>
        </w:rPr>
      </w:pPr>
      <w:r>
        <w:rPr>
          <w:rFonts w:hint="eastAsia" w:ascii="仿宋" w:hAnsi="仿宋" w:eastAsia="仿宋" w:cs="仿宋"/>
          <w:sz w:val="30"/>
          <w:szCs w:val="30"/>
        </w:rPr>
        <w:t>(二)退出机制</w:t>
      </w:r>
    </w:p>
    <w:p>
      <w:pPr>
        <w:jc w:val="left"/>
        <w:rPr>
          <w:rFonts w:hint="eastAsia" w:ascii="仿宋" w:hAnsi="仿宋" w:eastAsia="仿宋" w:cs="仿宋"/>
          <w:sz w:val="30"/>
          <w:szCs w:val="30"/>
        </w:rPr>
      </w:pPr>
      <w:r>
        <w:rPr>
          <w:rFonts w:hint="eastAsia" w:ascii="仿宋" w:hAnsi="仿宋" w:eastAsia="仿宋" w:cs="仿宋"/>
          <w:sz w:val="30"/>
          <w:szCs w:val="30"/>
        </w:rPr>
        <w:t>1、在</w:t>
      </w:r>
      <w:r>
        <w:rPr>
          <w:rFonts w:hint="eastAsia" w:ascii="仿宋" w:hAnsi="仿宋" w:eastAsia="仿宋" w:cs="仿宋"/>
          <w:sz w:val="30"/>
          <w:szCs w:val="30"/>
          <w:lang w:eastAsia="zh-CN"/>
        </w:rPr>
        <w:t>廿三里街道</w:t>
      </w:r>
      <w:r>
        <w:rPr>
          <w:rFonts w:hint="eastAsia" w:ascii="仿宋" w:hAnsi="仿宋" w:eastAsia="仿宋" w:cs="仿宋"/>
          <w:sz w:val="30"/>
          <w:szCs w:val="30"/>
        </w:rPr>
        <w:t>经营的互联网租赁</w:t>
      </w:r>
      <w:r>
        <w:rPr>
          <w:rFonts w:hint="eastAsia" w:ascii="仿宋" w:hAnsi="仿宋" w:eastAsia="仿宋" w:cs="仿宋"/>
          <w:sz w:val="30"/>
          <w:szCs w:val="30"/>
          <w:lang w:eastAsia="zh-CN"/>
        </w:rPr>
        <w:t>电动</w:t>
      </w:r>
      <w:r>
        <w:rPr>
          <w:rFonts w:hint="eastAsia" w:ascii="仿宋" w:hAnsi="仿宋" w:eastAsia="仿宋" w:cs="仿宋"/>
          <w:sz w:val="30"/>
          <w:szCs w:val="30"/>
        </w:rPr>
        <w:t>自行车企业，出现不按考核要求减投或违规多投车辆的，</w:t>
      </w:r>
      <w:r>
        <w:rPr>
          <w:rFonts w:hint="eastAsia" w:ascii="仿宋" w:hAnsi="仿宋" w:eastAsia="仿宋" w:cs="仿宋"/>
          <w:sz w:val="30"/>
          <w:szCs w:val="30"/>
          <w:lang w:eastAsia="zh-CN"/>
        </w:rPr>
        <w:t>街道有权责令该</w:t>
      </w:r>
      <w:r>
        <w:rPr>
          <w:rFonts w:hint="eastAsia" w:ascii="仿宋" w:hAnsi="仿宋" w:eastAsia="仿宋" w:cs="仿宋"/>
          <w:sz w:val="30"/>
          <w:szCs w:val="30"/>
        </w:rPr>
        <w:t>企业退出</w:t>
      </w:r>
      <w:r>
        <w:rPr>
          <w:rFonts w:hint="eastAsia" w:ascii="仿宋" w:hAnsi="仿宋" w:eastAsia="仿宋" w:cs="仿宋"/>
          <w:sz w:val="30"/>
          <w:szCs w:val="30"/>
          <w:lang w:eastAsia="zh-CN"/>
        </w:rPr>
        <w:t>廿三里</w:t>
      </w:r>
      <w:r>
        <w:rPr>
          <w:rFonts w:hint="eastAsia" w:ascii="仿宋" w:hAnsi="仿宋" w:eastAsia="仿宋" w:cs="仿宋"/>
          <w:sz w:val="30"/>
          <w:szCs w:val="30"/>
        </w:rPr>
        <w:t>市场。</w:t>
      </w:r>
    </w:p>
    <w:p>
      <w:pPr>
        <w:jc w:val="left"/>
        <w:rPr>
          <w:rFonts w:hint="eastAsia" w:ascii="仿宋" w:hAnsi="仿宋" w:eastAsia="仿宋" w:cs="仿宋"/>
          <w:sz w:val="30"/>
          <w:szCs w:val="30"/>
        </w:rPr>
      </w:pPr>
      <w:r>
        <w:rPr>
          <w:rFonts w:hint="eastAsia" w:ascii="仿宋" w:hAnsi="仿宋" w:eastAsia="仿宋" w:cs="仿宋"/>
          <w:sz w:val="30"/>
          <w:szCs w:val="30"/>
        </w:rPr>
        <w:t>2、对累计三期考核不合格的企业，</w:t>
      </w:r>
      <w:r>
        <w:rPr>
          <w:rFonts w:hint="eastAsia" w:ascii="仿宋" w:hAnsi="仿宋" w:eastAsia="仿宋" w:cs="仿宋"/>
          <w:sz w:val="30"/>
          <w:szCs w:val="30"/>
          <w:lang w:eastAsia="zh-CN"/>
        </w:rPr>
        <w:t>街道有权责令该</w:t>
      </w:r>
      <w:r>
        <w:rPr>
          <w:rFonts w:hint="eastAsia" w:ascii="仿宋" w:hAnsi="仿宋" w:eastAsia="仿宋" w:cs="仿宋"/>
          <w:sz w:val="30"/>
          <w:szCs w:val="30"/>
        </w:rPr>
        <w:t>企业退出</w:t>
      </w:r>
      <w:r>
        <w:rPr>
          <w:rFonts w:hint="eastAsia" w:ascii="仿宋" w:hAnsi="仿宋" w:eastAsia="仿宋" w:cs="仿宋"/>
          <w:sz w:val="30"/>
          <w:szCs w:val="30"/>
          <w:lang w:eastAsia="zh-CN"/>
        </w:rPr>
        <w:t>廿三里</w:t>
      </w:r>
      <w:r>
        <w:rPr>
          <w:rFonts w:hint="eastAsia" w:ascii="仿宋" w:hAnsi="仿宋" w:eastAsia="仿宋" w:cs="仿宋"/>
          <w:sz w:val="30"/>
          <w:szCs w:val="30"/>
        </w:rPr>
        <w:t>市场。</w:t>
      </w:r>
    </w:p>
    <w:p>
      <w:pPr>
        <w:jc w:val="left"/>
        <w:rPr>
          <w:rFonts w:hint="eastAsia" w:ascii="仿宋" w:hAnsi="仿宋" w:eastAsia="仿宋" w:cs="仿宋"/>
          <w:sz w:val="30"/>
          <w:szCs w:val="30"/>
        </w:rPr>
      </w:pPr>
      <w:r>
        <w:rPr>
          <w:rFonts w:hint="eastAsia" w:ascii="仿宋" w:hAnsi="仿宋" w:eastAsia="仿宋" w:cs="仿宋"/>
          <w:sz w:val="30"/>
          <w:szCs w:val="30"/>
        </w:rPr>
        <w:t>3、互联网租赁</w:t>
      </w:r>
      <w:r>
        <w:rPr>
          <w:rFonts w:hint="eastAsia" w:ascii="仿宋" w:hAnsi="仿宋" w:eastAsia="仿宋" w:cs="仿宋"/>
          <w:sz w:val="30"/>
          <w:szCs w:val="30"/>
          <w:lang w:eastAsia="zh-CN"/>
        </w:rPr>
        <w:t>电动</w:t>
      </w:r>
      <w:r>
        <w:rPr>
          <w:rFonts w:hint="eastAsia" w:ascii="仿宋" w:hAnsi="仿宋" w:eastAsia="仿宋" w:cs="仿宋"/>
          <w:sz w:val="30"/>
          <w:szCs w:val="30"/>
        </w:rPr>
        <w:t>自行车企业出现因运营管理或押金、预付款退还等问题，引发群体性事件的，或出现违反法律法规，组织、煽动、参与影响社会公共秩序、损害社会公共利益的群体性事件的</w:t>
      </w:r>
      <w:r>
        <w:rPr>
          <w:rFonts w:hint="eastAsia" w:ascii="仿宋" w:hAnsi="仿宋" w:eastAsia="仿宋" w:cs="仿宋"/>
          <w:sz w:val="30"/>
          <w:szCs w:val="30"/>
          <w:lang w:eastAsia="zh-CN"/>
        </w:rPr>
        <w:t>。</w:t>
      </w:r>
      <w:r>
        <w:rPr>
          <w:rFonts w:hint="eastAsia" w:ascii="仿宋" w:hAnsi="仿宋" w:eastAsia="仿宋" w:cs="仿宋"/>
          <w:sz w:val="30"/>
          <w:szCs w:val="30"/>
        </w:rPr>
        <w:t>各相关部门立即采取措施，记入信用信息共享平台，并上报网信及通信管理部门，下架企业APP，</w:t>
      </w:r>
      <w:r>
        <w:rPr>
          <w:rFonts w:hint="eastAsia" w:ascii="仿宋" w:hAnsi="仿宋" w:eastAsia="仿宋" w:cs="仿宋"/>
          <w:sz w:val="30"/>
          <w:szCs w:val="30"/>
          <w:lang w:eastAsia="zh-CN"/>
        </w:rPr>
        <w:t>街道责令该</w:t>
      </w:r>
      <w:r>
        <w:rPr>
          <w:rFonts w:hint="eastAsia" w:ascii="仿宋" w:hAnsi="仿宋" w:eastAsia="仿宋" w:cs="仿宋"/>
          <w:sz w:val="30"/>
          <w:szCs w:val="30"/>
        </w:rPr>
        <w:t>企业退出</w:t>
      </w:r>
      <w:r>
        <w:rPr>
          <w:rFonts w:hint="eastAsia" w:ascii="仿宋" w:hAnsi="仿宋" w:eastAsia="仿宋" w:cs="仿宋"/>
          <w:sz w:val="30"/>
          <w:szCs w:val="30"/>
          <w:lang w:eastAsia="zh-CN"/>
        </w:rPr>
        <w:t>廿三里</w:t>
      </w:r>
      <w:r>
        <w:rPr>
          <w:rFonts w:hint="eastAsia" w:ascii="仿宋" w:hAnsi="仿宋" w:eastAsia="仿宋" w:cs="仿宋"/>
          <w:sz w:val="30"/>
          <w:szCs w:val="30"/>
        </w:rPr>
        <w:t>市场。</w:t>
      </w:r>
    </w:p>
    <w:p>
      <w:pPr>
        <w:rPr>
          <w:rFonts w:hint="eastAsia" w:ascii="仿宋" w:hAnsi="仿宋" w:eastAsia="仿宋" w:cs="仿宋"/>
          <w:sz w:val="30"/>
          <w:szCs w:val="30"/>
        </w:rPr>
      </w:pPr>
      <w:r>
        <w:rPr>
          <w:rFonts w:hint="eastAsia" w:ascii="仿宋" w:hAnsi="仿宋" w:eastAsia="仿宋" w:cs="仿宋"/>
          <w:sz w:val="30"/>
          <w:szCs w:val="30"/>
        </w:rPr>
        <w:t>本办法自印发之日起执行，由</w:t>
      </w:r>
      <w:r>
        <w:rPr>
          <w:rFonts w:hint="eastAsia" w:ascii="仿宋" w:hAnsi="仿宋" w:eastAsia="仿宋" w:cs="仿宋"/>
          <w:sz w:val="30"/>
          <w:szCs w:val="30"/>
          <w:lang w:eastAsia="zh-CN"/>
        </w:rPr>
        <w:t>廿三里街道城市服务管理办公</w:t>
      </w:r>
      <w:r>
        <w:rPr>
          <w:rFonts w:hint="eastAsia" w:ascii="仿宋" w:hAnsi="仿宋" w:eastAsia="仿宋" w:cs="仿宋"/>
          <w:sz w:val="30"/>
          <w:szCs w:val="30"/>
        </w:rPr>
        <w:t>负责解释。</w:t>
      </w:r>
    </w:p>
    <w:p>
      <w:pPr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/>
        </w:rPr>
        <w:t>附件:</w:t>
      </w:r>
      <w:r>
        <w:rPr>
          <w:rFonts w:hint="eastAsia"/>
          <w:lang w:eastAsia="zh-CN"/>
        </w:rPr>
        <w:t>廿三里街道</w:t>
      </w:r>
      <w:r>
        <w:rPr>
          <w:rFonts w:hint="eastAsia"/>
        </w:rPr>
        <w:t>互联网租赁</w:t>
      </w:r>
      <w:r>
        <w:rPr>
          <w:rFonts w:hint="eastAsia"/>
          <w:lang w:eastAsia="zh-CN"/>
        </w:rPr>
        <w:t>电动</w:t>
      </w:r>
      <w:r>
        <w:rPr>
          <w:rFonts w:hint="eastAsia"/>
        </w:rPr>
        <w:t>自行车企业运营服务评价指标明细</w:t>
      </w:r>
    </w:p>
    <w:tbl>
      <w:tblPr>
        <w:tblStyle w:val="2"/>
        <w:tblpPr w:leftFromText="180" w:rightFromText="180" w:vertAnchor="text" w:horzAnchor="page" w:tblpX="1762" w:tblpY="289"/>
        <w:tblOverlap w:val="never"/>
        <w:tblW w:w="812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auto"/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894"/>
        <w:gridCol w:w="802"/>
        <w:gridCol w:w="897"/>
        <w:gridCol w:w="4353"/>
        <w:gridCol w:w="603"/>
        <w:gridCol w:w="576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68" w:hRule="atLeast"/>
        </w:trPr>
        <w:tc>
          <w:tcPr>
            <w:tcW w:w="8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b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评价模块</w:t>
            </w:r>
          </w:p>
        </w:tc>
        <w:tc>
          <w:tcPr>
            <w:tcW w:w="80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b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评价角度</w:t>
            </w:r>
          </w:p>
        </w:tc>
        <w:tc>
          <w:tcPr>
            <w:tcW w:w="8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b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评价指标</w:t>
            </w:r>
          </w:p>
        </w:tc>
        <w:tc>
          <w:tcPr>
            <w:tcW w:w="43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b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评分标准</w:t>
            </w:r>
          </w:p>
        </w:tc>
        <w:tc>
          <w:tcPr>
            <w:tcW w:w="6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b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分值</w:t>
            </w:r>
          </w:p>
        </w:tc>
        <w:tc>
          <w:tcPr>
            <w:tcW w:w="576" w:type="dxa"/>
            <w:tcBorders>
              <w:top w:val="single" w:color="000000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b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得分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356" w:hRule="atLeast"/>
        </w:trPr>
        <w:tc>
          <w:tcPr>
            <w:tcW w:w="894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运营管理</w:t>
            </w:r>
          </w:p>
        </w:tc>
        <w:tc>
          <w:tcPr>
            <w:tcW w:w="802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企业</w:t>
            </w:r>
          </w:p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服务</w:t>
            </w:r>
          </w:p>
        </w:tc>
        <w:tc>
          <w:tcPr>
            <w:tcW w:w="897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top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  <w:p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  <w:p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  <w:p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运营</w:t>
            </w:r>
          </w:p>
          <w:p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服务</w:t>
            </w:r>
          </w:p>
        </w:tc>
        <w:tc>
          <w:tcPr>
            <w:tcW w:w="43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top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企业安全运营及服务管理制度落实情况，运维人员数量与投放车辆规模是否适应，满足或落实即得分，不足或未落实则减分；企业需提供用工合同及用工证明等相关材料。缺失项，1-10分酌情扣分。</w:t>
            </w:r>
          </w:p>
        </w:tc>
        <w:tc>
          <w:tcPr>
            <w:tcW w:w="6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  <w:lang w:val="en-US" w:eastAsia="zh-CN"/>
              </w:rPr>
              <w:t>10</w:t>
            </w:r>
          </w:p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  <w:lang w:val="en-US" w:eastAsia="zh-CN"/>
              </w:rPr>
            </w:pPr>
          </w:p>
          <w:p>
            <w:pPr>
              <w:jc w:val="center"/>
              <w:rPr>
                <w:rFonts w:hint="default" w:ascii="宋体" w:hAnsi="宋体" w:eastAsia="宋体" w:cs="宋体"/>
                <w:i w:val="0"/>
                <w:color w:val="000000"/>
                <w:sz w:val="24"/>
                <w:szCs w:val="24"/>
                <w:u w:val="none"/>
                <w:lang w:val="en-US" w:eastAsia="zh-CN"/>
              </w:rPr>
            </w:pPr>
          </w:p>
        </w:tc>
        <w:tc>
          <w:tcPr>
            <w:tcW w:w="57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271" w:hRule="atLeast"/>
        </w:trPr>
        <w:tc>
          <w:tcPr>
            <w:tcW w:w="894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802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897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top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43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top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企业应当配有面积不小于300平方米的仓库用于维修和集中调度车辆，禁止运营企业占用城市道路等公共空间用于车辆存放、周转和维修，如不达标扣5分。</w:t>
            </w:r>
          </w:p>
        </w:tc>
        <w:tc>
          <w:tcPr>
            <w:tcW w:w="6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  <w:lang w:val="en-US" w:eastAsia="zh-CN"/>
              </w:rPr>
              <w:t>5</w:t>
            </w:r>
          </w:p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  <w:lang w:val="en-US" w:eastAsia="zh-CN"/>
              </w:rPr>
            </w:pPr>
          </w:p>
        </w:tc>
        <w:tc>
          <w:tcPr>
            <w:tcW w:w="57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050" w:hRule="atLeast"/>
        </w:trPr>
        <w:tc>
          <w:tcPr>
            <w:tcW w:w="894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802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8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top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  <w:p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保险</w:t>
            </w:r>
          </w:p>
          <w:p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理赔</w:t>
            </w:r>
          </w:p>
        </w:tc>
        <w:tc>
          <w:tcPr>
            <w:tcW w:w="43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top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default" w:ascii="宋体" w:hAnsi="宋体" w:eastAsia="宋体" w:cs="宋体"/>
                <w:i w:val="0"/>
                <w:color w:val="000000"/>
                <w:sz w:val="20"/>
                <w:szCs w:val="20"/>
                <w:u w:val="none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运营企业应当为用户购买非机动车第三责任险和人身意外保险。用户在使用期间发生交通意外，企业应妥善处理，快速理赔。未做到扣5分。</w:t>
            </w:r>
          </w:p>
        </w:tc>
        <w:tc>
          <w:tcPr>
            <w:tcW w:w="6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  <w:lang w:val="en-US" w:eastAsia="zh-CN"/>
              </w:rPr>
              <w:t>5</w:t>
            </w:r>
          </w:p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  <w:lang w:val="en-US" w:eastAsia="zh-CN"/>
              </w:rPr>
            </w:pPr>
          </w:p>
        </w:tc>
        <w:tc>
          <w:tcPr>
            <w:tcW w:w="576" w:type="dxa"/>
            <w:tcBorders>
              <w:top w:val="single" w:color="auto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390" w:hRule="atLeast"/>
        </w:trPr>
        <w:tc>
          <w:tcPr>
            <w:tcW w:w="894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802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企业</w:t>
            </w:r>
          </w:p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管理</w:t>
            </w:r>
          </w:p>
        </w:tc>
        <w:tc>
          <w:tcPr>
            <w:tcW w:w="8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top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  <w:p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违规</w:t>
            </w:r>
          </w:p>
          <w:p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运营</w:t>
            </w:r>
          </w:p>
        </w:tc>
        <w:tc>
          <w:tcPr>
            <w:tcW w:w="43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top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企业运营中要遵守相关管理文件要求，主动使用电子围栏、超范围停车提醒等科技手段，规范用户文明停车；不得有违规投放、恶意竞争等不利于出行市场规范运营的行为，如有违反的，视情节扣5-20分。</w:t>
            </w:r>
          </w:p>
        </w:tc>
        <w:tc>
          <w:tcPr>
            <w:tcW w:w="6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  <w:lang w:val="en-US" w:eastAsia="zh-CN"/>
              </w:rPr>
              <w:t>20</w:t>
            </w:r>
          </w:p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  <w:lang w:val="en-US" w:eastAsia="zh-CN"/>
              </w:rPr>
            </w:pPr>
          </w:p>
          <w:p>
            <w:pPr>
              <w:jc w:val="center"/>
              <w:rPr>
                <w:rFonts w:hint="default" w:ascii="宋体" w:hAnsi="宋体" w:eastAsia="宋体" w:cs="宋体"/>
                <w:i w:val="0"/>
                <w:color w:val="000000"/>
                <w:sz w:val="24"/>
                <w:szCs w:val="24"/>
                <w:u w:val="none"/>
                <w:lang w:val="en-US" w:eastAsia="zh-CN"/>
              </w:rPr>
            </w:pPr>
          </w:p>
        </w:tc>
        <w:tc>
          <w:tcPr>
            <w:tcW w:w="5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390" w:hRule="atLeast"/>
        </w:trPr>
        <w:tc>
          <w:tcPr>
            <w:tcW w:w="894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802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8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top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  <w:p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安全</w:t>
            </w:r>
          </w:p>
          <w:p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生产</w:t>
            </w:r>
          </w:p>
        </w:tc>
        <w:tc>
          <w:tcPr>
            <w:tcW w:w="43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top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企业未按规定履行经营者安全生产主体责任发生伤人安全事故的，扣10分。企业未落实经营者安全生产主体责任，发生因车辆质量等问题造成骑行死亡事故的本期考核为不合格。</w:t>
            </w:r>
          </w:p>
        </w:tc>
        <w:tc>
          <w:tcPr>
            <w:tcW w:w="6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  <w:lang w:val="en-US" w:eastAsia="zh-CN"/>
              </w:rPr>
              <w:t>10</w:t>
            </w:r>
          </w:p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  <w:lang w:val="en-US" w:eastAsia="zh-CN"/>
              </w:rPr>
            </w:pPr>
          </w:p>
          <w:p>
            <w:pPr>
              <w:jc w:val="center"/>
              <w:rPr>
                <w:rFonts w:hint="default" w:ascii="宋体" w:hAnsi="宋体" w:eastAsia="宋体" w:cs="宋体"/>
                <w:i w:val="0"/>
                <w:color w:val="000000"/>
                <w:sz w:val="24"/>
                <w:szCs w:val="24"/>
                <w:u w:val="none"/>
                <w:lang w:val="en-US" w:eastAsia="zh-CN"/>
              </w:rPr>
            </w:pPr>
          </w:p>
        </w:tc>
        <w:tc>
          <w:tcPr>
            <w:tcW w:w="5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825" w:hRule="atLeast"/>
        </w:trPr>
        <w:tc>
          <w:tcPr>
            <w:tcW w:w="894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802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8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top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暂扣</w:t>
            </w:r>
          </w:p>
          <w:p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处理</w:t>
            </w:r>
          </w:p>
        </w:tc>
        <w:tc>
          <w:tcPr>
            <w:tcW w:w="43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top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企业应积极领回行政管理部门暂扣的车辆，不积极配合的，视情况扣1-10分。</w:t>
            </w:r>
          </w:p>
        </w:tc>
        <w:tc>
          <w:tcPr>
            <w:tcW w:w="6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  <w:lang w:val="en-US" w:eastAsia="zh-CN"/>
              </w:rPr>
              <w:t>10</w:t>
            </w:r>
          </w:p>
          <w:p>
            <w:pPr>
              <w:jc w:val="center"/>
              <w:rPr>
                <w:rFonts w:hint="default" w:ascii="宋体" w:hAnsi="宋体" w:eastAsia="宋体" w:cs="宋体"/>
                <w:i w:val="0"/>
                <w:color w:val="000000"/>
                <w:sz w:val="24"/>
                <w:szCs w:val="24"/>
                <w:u w:val="none"/>
                <w:lang w:val="en-US" w:eastAsia="zh-CN"/>
              </w:rPr>
            </w:pPr>
          </w:p>
        </w:tc>
        <w:tc>
          <w:tcPr>
            <w:tcW w:w="5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050" w:hRule="atLeast"/>
        </w:trPr>
        <w:tc>
          <w:tcPr>
            <w:tcW w:w="894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802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8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top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文明</w:t>
            </w:r>
          </w:p>
          <w:p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宣传</w:t>
            </w:r>
          </w:p>
        </w:tc>
        <w:tc>
          <w:tcPr>
            <w:tcW w:w="43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top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企业根据主管部门要求，积极引导用户规范骑行，规范停放，APP及企业网站具备开展宣传功能的。未做到的视情扣1-5分。</w:t>
            </w:r>
          </w:p>
        </w:tc>
        <w:tc>
          <w:tcPr>
            <w:tcW w:w="6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  <w:lang w:val="en-US" w:eastAsia="zh-CN"/>
              </w:rPr>
              <w:t>5</w:t>
            </w:r>
          </w:p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  <w:lang w:val="en-US" w:eastAsia="zh-CN"/>
              </w:rPr>
            </w:pPr>
          </w:p>
        </w:tc>
        <w:tc>
          <w:tcPr>
            <w:tcW w:w="5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050" w:hRule="atLeast"/>
        </w:trPr>
        <w:tc>
          <w:tcPr>
            <w:tcW w:w="894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秩序及信息管理</w:t>
            </w:r>
          </w:p>
        </w:tc>
        <w:tc>
          <w:tcPr>
            <w:tcW w:w="802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秩序</w:t>
            </w:r>
          </w:p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管理</w:t>
            </w:r>
          </w:p>
        </w:tc>
        <w:tc>
          <w:tcPr>
            <w:tcW w:w="8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top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  <w:p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停放</w:t>
            </w:r>
          </w:p>
          <w:p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秩序</w:t>
            </w:r>
          </w:p>
        </w:tc>
        <w:tc>
          <w:tcPr>
            <w:tcW w:w="43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top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建立共享电动车企业管理群，规范停车秩序，收到主管部门通知在5分钟内做出回应，并在20分钟内到现场，完成相关规范措施。未及时处理的视情况扣3—15分。</w:t>
            </w:r>
          </w:p>
        </w:tc>
        <w:tc>
          <w:tcPr>
            <w:tcW w:w="6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  <w:lang w:val="en-US" w:eastAsia="zh-CN"/>
              </w:rPr>
              <w:t>15</w:t>
            </w:r>
          </w:p>
          <w:p>
            <w:pPr>
              <w:jc w:val="center"/>
              <w:rPr>
                <w:rFonts w:hint="default" w:ascii="宋体" w:hAnsi="宋体" w:eastAsia="宋体" w:cs="宋体"/>
                <w:i w:val="0"/>
                <w:color w:val="000000"/>
                <w:sz w:val="24"/>
                <w:szCs w:val="24"/>
                <w:u w:val="none"/>
                <w:lang w:val="en-US" w:eastAsia="zh-CN"/>
              </w:rPr>
            </w:pPr>
          </w:p>
        </w:tc>
        <w:tc>
          <w:tcPr>
            <w:tcW w:w="5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050" w:hRule="atLeast"/>
        </w:trPr>
        <w:tc>
          <w:tcPr>
            <w:tcW w:w="894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802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8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top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运维</w:t>
            </w:r>
          </w:p>
          <w:p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管理</w:t>
            </w:r>
          </w:p>
        </w:tc>
        <w:tc>
          <w:tcPr>
            <w:tcW w:w="43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top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企业及时向街道提供运维人员名单，并按要求合理分配区域，及时对破损车辆进行维修。未及时处理的视情扣1—10分。</w:t>
            </w:r>
          </w:p>
        </w:tc>
        <w:tc>
          <w:tcPr>
            <w:tcW w:w="6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  <w:lang w:val="en-US" w:eastAsia="zh-CN"/>
              </w:rPr>
              <w:t>10</w:t>
            </w:r>
          </w:p>
          <w:p>
            <w:pPr>
              <w:jc w:val="center"/>
              <w:rPr>
                <w:rFonts w:hint="default" w:ascii="宋体" w:hAnsi="宋体" w:eastAsia="宋体" w:cs="宋体"/>
                <w:i w:val="0"/>
                <w:color w:val="000000"/>
                <w:sz w:val="24"/>
                <w:szCs w:val="24"/>
                <w:u w:val="none"/>
                <w:lang w:val="en-US" w:eastAsia="zh-CN"/>
              </w:rPr>
            </w:pPr>
          </w:p>
        </w:tc>
        <w:tc>
          <w:tcPr>
            <w:tcW w:w="5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95" w:hRule="atLeast"/>
        </w:trPr>
        <w:tc>
          <w:tcPr>
            <w:tcW w:w="894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80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信息</w:t>
            </w:r>
          </w:p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上报</w:t>
            </w:r>
          </w:p>
        </w:tc>
        <w:tc>
          <w:tcPr>
            <w:tcW w:w="8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top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信息</w:t>
            </w:r>
          </w:p>
          <w:p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共享</w:t>
            </w:r>
          </w:p>
        </w:tc>
        <w:tc>
          <w:tcPr>
            <w:tcW w:w="43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top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按管理部门要求及时提供运营数据信息，未按要求上报的1-5分酌情减扣。</w:t>
            </w:r>
          </w:p>
        </w:tc>
        <w:tc>
          <w:tcPr>
            <w:tcW w:w="6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  <w:lang w:val="en-US" w:eastAsia="zh-CN"/>
              </w:rPr>
              <w:t>5</w:t>
            </w:r>
          </w:p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  <w:lang w:val="en-US" w:eastAsia="zh-CN"/>
              </w:rPr>
            </w:pPr>
          </w:p>
        </w:tc>
        <w:tc>
          <w:tcPr>
            <w:tcW w:w="5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</w:p>
        </w:tc>
      </w:tr>
    </w:tbl>
    <w:p>
      <w:pPr>
        <w:rPr>
          <w:rFonts w:hint="eastAsia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仿宋_GB2312">
    <w:altName w:val="仿宋"/>
    <w:panose1 w:val="02010609030101010101"/>
    <w:charset w:val="86"/>
    <w:family w:val="modern"/>
    <w:pitch w:val="default"/>
    <w:sig w:usb0="00000000" w:usb1="00000000" w:usb2="00000000" w:usb3="00000000" w:csb0="00040000" w:csb1="00000000"/>
  </w:font>
  <w:font w:name="楷体">
    <w:panose1 w:val="02010609060101010101"/>
    <w:charset w:val="86"/>
    <w:family w:val="modern"/>
    <w:pitch w:val="default"/>
    <w:sig w:usb0="800002BF" w:usb1="38CF7CFA" w:usb2="00000016" w:usb3="00000000" w:csb0="00040001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A315E004"/>
    <w:multiLevelType w:val="singleLevel"/>
    <w:tmpl w:val="A315E004"/>
    <w:lvl w:ilvl="0" w:tentative="0">
      <w:start w:val="4"/>
      <w:numFmt w:val="chineseCounting"/>
      <w:suff w:val="nothing"/>
      <w:lvlText w:val="%1、"/>
      <w:lvlJc w:val="left"/>
      <w:rPr>
        <w:rFonts w:hint="eastAsia"/>
      </w:rPr>
    </w:lvl>
  </w:abstractNum>
  <w:abstractNum w:abstractNumId="1">
    <w:nsid w:val="6FA4B49F"/>
    <w:multiLevelType w:val="singleLevel"/>
    <w:tmpl w:val="6FA4B49F"/>
    <w:lvl w:ilvl="0" w:tentative="0">
      <w:start w:val="1"/>
      <w:numFmt w:val="decimal"/>
      <w:suff w:val="nothing"/>
      <w:lvlText w:val="%1、"/>
      <w:lvlJc w:val="left"/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2"/>
  </w:compat>
  <w:rsids>
    <w:rsidRoot w:val="00627E77"/>
    <w:rsid w:val="00284B34"/>
    <w:rsid w:val="00340C99"/>
    <w:rsid w:val="00627E77"/>
    <w:rsid w:val="009E4B3C"/>
    <w:rsid w:val="027B465F"/>
    <w:rsid w:val="031B4824"/>
    <w:rsid w:val="154C5666"/>
    <w:rsid w:val="1A4C190E"/>
    <w:rsid w:val="20C66022"/>
    <w:rsid w:val="263E5EBC"/>
    <w:rsid w:val="2B81446B"/>
    <w:rsid w:val="310E2300"/>
    <w:rsid w:val="347D31A6"/>
    <w:rsid w:val="3C711676"/>
    <w:rsid w:val="460957AA"/>
    <w:rsid w:val="50F23C8D"/>
    <w:rsid w:val="545551F4"/>
    <w:rsid w:val="55502FB2"/>
    <w:rsid w:val="6ED672B8"/>
    <w:rsid w:val="796150F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Times New Roman" w:hAnsi="Times New Roman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name="header"/>
    <w:lsdException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qFormat="1"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4">
    <w:name w:val="Default Paragraph Font"/>
    <w:semiHidden/>
    <w:unhideWhenUsed/>
    <w:qFormat/>
    <w:uiPriority w:val="1"/>
  </w:style>
  <w:style w:type="table" w:default="1" w:styleId="2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3">
    <w:name w:val="Table Grid"/>
    <w:basedOn w:val="2"/>
    <w:qFormat/>
    <w:uiPriority w:val="59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numbering" Target="numbering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Microsoft</Company>
  <Pages>1</Pages>
  <Words>429</Words>
  <Characters>2450</Characters>
  <Lines>20</Lines>
  <Paragraphs>5</Paragraphs>
  <TotalTime>1</TotalTime>
  <ScaleCrop>false</ScaleCrop>
  <LinksUpToDate>false</LinksUpToDate>
  <CharactersWithSpaces>2874</CharactersWithSpaces>
  <Application>WPS Office_11.1.0.9192_F1E327BC-269C-435d-A152-05C5408002CA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2022-01-18T06:27:00Z</dcterms:created>
  <dc:creator>AutoBVT</dc:creator>
  <cp:lastModifiedBy>坚正</cp:lastModifiedBy>
  <dcterms:modified xsi:type="dcterms:W3CDTF">2022-02-28T01:01:13Z</dcterms:modified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2052-11.1.0.9192</vt:lpwstr>
  </property>
</Properties>
</file>