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宋体" w:eastAsia="黑体"/>
          <w:spacing w:val="20"/>
          <w:sz w:val="32"/>
          <w:szCs w:val="32"/>
          <w:u w:val="single"/>
        </w:rPr>
      </w:pPr>
      <w:r>
        <w:rPr>
          <w:rFonts w:hint="eastAsia" w:ascii="黑体" w:hAnsi="宋体" w:eastAsia="黑体"/>
          <w:spacing w:val="20"/>
          <w:sz w:val="32"/>
          <w:szCs w:val="32"/>
          <w:u w:val="single"/>
        </w:rPr>
        <w:t>包头钢铁（集团）有限责任公司</w:t>
      </w:r>
    </w:p>
    <w:p>
      <w:pPr>
        <w:spacing w:line="360" w:lineRule="auto"/>
        <w:jc w:val="center"/>
        <w:rPr>
          <w:rFonts w:hint="eastAsia" w:ascii="黑体" w:hAnsi="华文中宋" w:eastAsia="黑体"/>
          <w:sz w:val="32"/>
          <w:szCs w:val="32"/>
        </w:rPr>
      </w:pPr>
      <w:r>
        <w:rPr>
          <w:rFonts w:ascii="黑体" w:hAnsi="宋体" w:eastAsia="黑体"/>
          <w:spacing w:val="20"/>
          <w:sz w:val="32"/>
          <w:szCs w:val="32"/>
          <w:u w:val="single"/>
        </w:rPr>
        <w:t>房产转让</w:t>
      </w:r>
      <w:r>
        <w:rPr>
          <w:rFonts w:hint="eastAsia" w:ascii="黑体" w:hAnsi="宋体" w:eastAsia="黑体"/>
          <w:spacing w:val="20"/>
          <w:sz w:val="32"/>
          <w:szCs w:val="32"/>
        </w:rPr>
        <w:t>项目网络竞价</w:t>
      </w:r>
      <w:r>
        <w:rPr>
          <w:rFonts w:hint="eastAsia" w:ascii="黑体" w:hAnsi="华文中宋" w:eastAsia="黑体"/>
          <w:sz w:val="32"/>
          <w:szCs w:val="32"/>
        </w:rPr>
        <w:t>须知</w:t>
      </w:r>
    </w:p>
    <w:p>
      <w:pPr>
        <w:spacing w:line="360" w:lineRule="auto"/>
        <w:ind w:firstLine="1242" w:firstLineChars="345"/>
        <w:rPr>
          <w:rFonts w:hint="eastAsia" w:ascii="仿宋_GB2312" w:hAnsi="华文中宋" w:eastAsia="仿宋_GB2312"/>
          <w:sz w:val="36"/>
          <w:szCs w:val="36"/>
        </w:rPr>
      </w:pPr>
    </w:p>
    <w:p>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本次标的转让，经委托方同意由内蒙古产权交易中心有限责任公司采用网络竞价确定受让方。现发布报价须知如下：</w:t>
      </w:r>
    </w:p>
    <w:p>
      <w:pPr>
        <w:spacing w:line="360" w:lineRule="auto"/>
        <w:ind w:firstLine="482" w:firstLineChars="200"/>
        <w:rPr>
          <w:rFonts w:hint="eastAsia" w:ascii="仿宋_GB2312" w:eastAsia="仿宋_GB2312"/>
          <w:b/>
          <w:color w:val="000000"/>
          <w:sz w:val="24"/>
        </w:rPr>
      </w:pPr>
      <w:r>
        <w:rPr>
          <w:rFonts w:hint="eastAsia" w:ascii="仿宋_GB2312" w:hAnsi="宋体" w:eastAsia="仿宋_GB2312"/>
          <w:b/>
          <w:sz w:val="24"/>
        </w:rPr>
        <w:t xml:space="preserve">第一条 </w:t>
      </w:r>
      <w:r>
        <w:rPr>
          <w:rFonts w:hint="eastAsia" w:ascii="仿宋_GB2312" w:eastAsia="仿宋_GB2312"/>
          <w:b/>
          <w:color w:val="000000"/>
          <w:sz w:val="24"/>
        </w:rPr>
        <w:t>本须知是内蒙古产权交易中心有限责任公司根据本场报价活动的具体情况而制定的文件</w:t>
      </w:r>
    </w:p>
    <w:p>
      <w:pPr>
        <w:spacing w:line="360" w:lineRule="auto"/>
        <w:ind w:firstLine="480" w:firstLineChars="200"/>
        <w:rPr>
          <w:rFonts w:hint="eastAsia" w:ascii="仿宋_GB2312" w:eastAsia="仿宋_GB2312"/>
          <w:color w:val="000000"/>
          <w:sz w:val="24"/>
        </w:rPr>
      </w:pPr>
      <w:r>
        <w:rPr>
          <w:rFonts w:hint="eastAsia" w:ascii="仿宋_GB2312" w:hAnsi="宋体" w:eastAsia="仿宋_GB2312"/>
          <w:sz w:val="24"/>
        </w:rPr>
        <w:t>参与</w:t>
      </w:r>
      <w:r>
        <w:rPr>
          <w:rFonts w:hint="eastAsia" w:ascii="仿宋_GB2312" w:hAnsi="宋体" w:eastAsia="仿宋_GB2312"/>
          <w:color w:val="FF0000"/>
          <w:sz w:val="24"/>
        </w:rPr>
        <w:t>网络竞价</w:t>
      </w:r>
      <w:r>
        <w:rPr>
          <w:rFonts w:hint="eastAsia" w:ascii="仿宋_GB2312" w:hAnsi="宋体" w:eastAsia="仿宋_GB2312"/>
          <w:bCs/>
          <w:kern w:val="0"/>
          <w:sz w:val="24"/>
          <w:lang w:val="en"/>
        </w:rPr>
        <w:t>的意向受让方在办理报价登记手续前</w:t>
      </w:r>
      <w:r>
        <w:rPr>
          <w:rFonts w:hint="eastAsia" w:ascii="仿宋_GB2312" w:eastAsia="仿宋_GB2312"/>
          <w:sz w:val="24"/>
        </w:rPr>
        <w:t>均已对</w:t>
      </w:r>
      <w:r>
        <w:rPr>
          <w:rFonts w:hint="eastAsia" w:ascii="仿宋_GB2312" w:eastAsia="仿宋_GB2312"/>
          <w:sz w:val="24"/>
          <w:u w:val="single"/>
        </w:rPr>
        <w:t xml:space="preserve"> 包头钢铁（集团）有限责任公司房产 </w:t>
      </w:r>
      <w:r>
        <w:rPr>
          <w:rFonts w:hint="eastAsia" w:ascii="仿宋_GB2312" w:eastAsia="仿宋_GB2312"/>
          <w:sz w:val="24"/>
        </w:rPr>
        <w:t>转让公告中各项内容知悉，并仔细阅读此须知且同意其中的各项</w:t>
      </w:r>
      <w:r>
        <w:rPr>
          <w:rFonts w:hint="eastAsia" w:ascii="仿宋_GB2312" w:eastAsia="仿宋_GB2312"/>
          <w:color w:val="000000"/>
          <w:sz w:val="24"/>
        </w:rPr>
        <w:t>条款和要求，同时也确定已仔细阅读</w:t>
      </w:r>
      <w:r>
        <w:rPr>
          <w:rFonts w:hint="eastAsia" w:ascii="仿宋_GB2312" w:hAnsi="宋体" w:eastAsia="仿宋_GB2312"/>
          <w:bCs/>
          <w:color w:val="000000"/>
          <w:kern w:val="0"/>
          <w:sz w:val="24"/>
          <w:lang w:val="en"/>
        </w:rPr>
        <w:t>《</w:t>
      </w:r>
      <w:r>
        <w:rPr>
          <w:rFonts w:hint="eastAsia" w:ascii="仿宋_GB2312" w:hAnsi="宋体" w:eastAsia="仿宋_GB2312"/>
          <w:bCs/>
          <w:color w:val="FF0000"/>
          <w:kern w:val="0"/>
          <w:sz w:val="24"/>
          <w:lang w:val="en"/>
        </w:rPr>
        <w:t>E交易平台竞价交易规则》</w:t>
      </w:r>
      <w:r>
        <w:rPr>
          <w:rFonts w:hint="eastAsia" w:ascii="仿宋_GB2312" w:hAnsi="宋体" w:eastAsia="仿宋_GB2312"/>
          <w:bCs/>
          <w:color w:val="000000"/>
          <w:kern w:val="0"/>
          <w:sz w:val="24"/>
          <w:lang w:val="en"/>
        </w:rPr>
        <w:t>的有关规定，</w:t>
      </w:r>
      <w:r>
        <w:rPr>
          <w:rFonts w:hint="eastAsia" w:ascii="仿宋_GB2312" w:eastAsia="仿宋_GB2312"/>
          <w:color w:val="000000"/>
          <w:sz w:val="24"/>
        </w:rPr>
        <w:t>并同意其中的各项条款和要求。</w:t>
      </w:r>
    </w:p>
    <w:p>
      <w:pPr>
        <w:spacing w:line="360" w:lineRule="auto"/>
        <w:ind w:firstLine="480" w:firstLineChars="200"/>
        <w:rPr>
          <w:rFonts w:hint="eastAsia" w:ascii="仿宋_GB2312" w:eastAsia="仿宋_GB2312"/>
          <w:color w:val="000000"/>
          <w:sz w:val="24"/>
        </w:rPr>
      </w:pPr>
      <w:r>
        <w:rPr>
          <w:rFonts w:hint="eastAsia" w:ascii="仿宋_GB2312" w:hAnsi="宋体" w:eastAsia="仿宋_GB2312"/>
          <w:sz w:val="24"/>
        </w:rPr>
        <w:t>参与</w:t>
      </w:r>
      <w:r>
        <w:rPr>
          <w:rFonts w:hint="eastAsia" w:ascii="仿宋_GB2312" w:hAnsi="宋体" w:eastAsia="仿宋_GB2312"/>
          <w:color w:val="FF0000"/>
          <w:sz w:val="24"/>
        </w:rPr>
        <w:t>网络竞价前，</w:t>
      </w:r>
      <w:r>
        <w:rPr>
          <w:rFonts w:hint="eastAsia" w:ascii="仿宋_GB2312" w:hAnsi="宋体" w:eastAsia="仿宋_GB2312"/>
          <w:bCs/>
          <w:kern w:val="0"/>
          <w:sz w:val="24"/>
          <w:lang w:val="en"/>
        </w:rPr>
        <w:t>意向受让方须按照《平台操作指南》自行登录内蒙古产权交易市场（http://</w:t>
      </w:r>
      <w:r>
        <w:rPr>
          <w:rFonts w:hint="eastAsia" w:ascii="仿宋_GB2312" w:hAnsi="宋体" w:eastAsia="仿宋_GB2312"/>
          <w:bCs/>
          <w:kern w:val="0"/>
          <w:sz w:val="24"/>
        </w:rPr>
        <w:t>www.nmcqjy.com</w:t>
      </w:r>
      <w:r>
        <w:rPr>
          <w:rFonts w:hint="eastAsia" w:ascii="仿宋_GB2312" w:hAnsi="宋体" w:eastAsia="仿宋_GB2312"/>
          <w:bCs/>
          <w:kern w:val="0"/>
          <w:sz w:val="24"/>
          <w:lang w:val="en"/>
        </w:rPr>
        <w:t>）进行会员注册。</w:t>
      </w:r>
    </w:p>
    <w:p>
      <w:pPr>
        <w:spacing w:line="360" w:lineRule="auto"/>
        <w:ind w:firstLine="480" w:firstLineChars="200"/>
        <w:rPr>
          <w:rFonts w:hint="eastAsia" w:ascii="仿宋_GB2312" w:hAnsi="宋体" w:eastAsia="仿宋_GB2312"/>
          <w:sz w:val="24"/>
        </w:rPr>
      </w:pPr>
      <w:r>
        <w:rPr>
          <w:rFonts w:hint="eastAsia" w:ascii="仿宋_GB2312" w:eastAsia="仿宋_GB2312"/>
          <w:color w:val="000000"/>
          <w:sz w:val="24"/>
        </w:rPr>
        <w:t>意向受让方应</w:t>
      </w:r>
      <w:r>
        <w:rPr>
          <w:rFonts w:hint="eastAsia" w:ascii="仿宋_GB2312" w:hAnsi="宋体" w:eastAsia="仿宋_GB2312"/>
          <w:color w:val="000000"/>
          <w:sz w:val="24"/>
        </w:rPr>
        <w:t>保持自身报价行为的独立性、严肃性，共同避免和抵制相互操纵、相互</w:t>
      </w:r>
      <w:r>
        <w:rPr>
          <w:rFonts w:hint="eastAsia" w:ascii="仿宋_GB2312" w:hAnsi="宋体" w:eastAsia="仿宋_GB2312"/>
          <w:sz w:val="24"/>
        </w:rPr>
        <w:t>串通、恶意抬压价格等不良行为。</w:t>
      </w:r>
    </w:p>
    <w:p>
      <w:pPr>
        <w:spacing w:line="360" w:lineRule="auto"/>
        <w:ind w:firstLine="482" w:firstLineChars="200"/>
        <w:rPr>
          <w:rFonts w:hint="eastAsia" w:ascii="仿宋_GB2312" w:hAnsi="宋体" w:eastAsia="仿宋_GB2312"/>
          <w:b/>
          <w:bCs/>
          <w:kern w:val="0"/>
          <w:sz w:val="24"/>
          <w:lang w:val="en"/>
        </w:rPr>
      </w:pPr>
      <w:r>
        <w:rPr>
          <w:rFonts w:hint="eastAsia" w:ascii="仿宋_GB2312" w:hAnsi="宋体" w:eastAsia="仿宋_GB2312"/>
          <w:b/>
          <w:bCs/>
          <w:kern w:val="0"/>
          <w:sz w:val="24"/>
          <w:lang w:val="en"/>
        </w:rPr>
        <w:t>第二条 意向受让登记</w:t>
      </w:r>
    </w:p>
    <w:p>
      <w:pPr>
        <w:spacing w:line="360" w:lineRule="auto"/>
        <w:ind w:firstLine="480" w:firstLineChars="200"/>
        <w:rPr>
          <w:rFonts w:hint="eastAsia" w:ascii="仿宋_GB2312" w:hAnsi="宋体" w:eastAsia="仿宋_GB2312"/>
          <w:bCs/>
          <w:color w:val="000000"/>
          <w:kern w:val="0"/>
          <w:sz w:val="24"/>
          <w:lang w:val="en"/>
        </w:rPr>
      </w:pPr>
      <w:r>
        <w:rPr>
          <w:rFonts w:hint="eastAsia" w:ascii="仿宋_GB2312" w:eastAsia="仿宋_GB2312"/>
          <w:color w:val="000000"/>
          <w:sz w:val="24"/>
        </w:rPr>
        <w:t>参与</w:t>
      </w:r>
      <w:r>
        <w:rPr>
          <w:rFonts w:hint="eastAsia" w:ascii="仿宋_GB2312" w:eastAsia="仿宋_GB2312"/>
          <w:color w:val="FF0000"/>
          <w:sz w:val="24"/>
        </w:rPr>
        <w:t>网络竞价</w:t>
      </w:r>
      <w:r>
        <w:rPr>
          <w:rFonts w:hint="eastAsia" w:ascii="仿宋_GB2312" w:eastAsia="仿宋_GB2312"/>
          <w:color w:val="000000"/>
          <w:sz w:val="24"/>
        </w:rPr>
        <w:t>的意向受让方</w:t>
      </w:r>
      <w:r>
        <w:rPr>
          <w:rFonts w:hint="eastAsia" w:ascii="仿宋_GB2312" w:hAnsi="宋体" w:eastAsia="仿宋_GB2312"/>
          <w:bCs/>
          <w:color w:val="000000"/>
          <w:kern w:val="0"/>
          <w:sz w:val="24"/>
          <w:lang w:val="en"/>
        </w:rPr>
        <w:t>在公告规定的期限内自行登录内蒙古产权交易市场（http://</w:t>
      </w:r>
      <w:r>
        <w:rPr>
          <w:rFonts w:hint="eastAsia" w:ascii="仿宋_GB2312" w:hAnsi="宋体" w:eastAsia="仿宋_GB2312"/>
          <w:bCs/>
          <w:color w:val="000000"/>
          <w:kern w:val="0"/>
          <w:sz w:val="24"/>
        </w:rPr>
        <w:t>www.nmcqjy.com</w:t>
      </w:r>
      <w:r>
        <w:rPr>
          <w:rFonts w:hint="eastAsia" w:ascii="仿宋_GB2312" w:hAnsi="宋体" w:eastAsia="仿宋_GB2312"/>
          <w:bCs/>
          <w:color w:val="000000"/>
          <w:kern w:val="0"/>
          <w:sz w:val="24"/>
          <w:lang w:val="en"/>
        </w:rPr>
        <w:t>）</w:t>
      </w:r>
      <w:r>
        <w:rPr>
          <w:rFonts w:hint="eastAsia" w:ascii="仿宋_GB2312" w:hAnsi="宋体" w:eastAsia="仿宋_GB2312"/>
          <w:bCs/>
          <w:kern w:val="0"/>
          <w:sz w:val="24"/>
          <w:lang w:val="en"/>
        </w:rPr>
        <w:t>按照《平台操作指南》的操作说明，</w:t>
      </w:r>
      <w:r>
        <w:rPr>
          <w:rFonts w:hint="eastAsia" w:ascii="仿宋_GB2312" w:hAnsi="宋体" w:eastAsia="仿宋_GB2312"/>
          <w:bCs/>
          <w:color w:val="000000"/>
          <w:kern w:val="0"/>
          <w:sz w:val="24"/>
          <w:lang w:val="en"/>
        </w:rPr>
        <w:t>通过该网站“会员登录”进行意向受让登记。</w:t>
      </w:r>
    </w:p>
    <w:p>
      <w:pPr>
        <w:pBdr>
          <w:bottom w:val="none" w:color="auto" w:sz="0" w:space="0"/>
        </w:pBdr>
        <w:spacing w:line="360" w:lineRule="auto"/>
        <w:ind w:firstLine="482" w:firstLineChars="200"/>
        <w:rPr>
          <w:rFonts w:hint="eastAsia" w:ascii="仿宋_GB2312" w:hAnsi="宋体" w:eastAsia="仿宋_GB2312"/>
          <w:b/>
          <w:color w:val="000000"/>
          <w:sz w:val="24"/>
        </w:rPr>
      </w:pPr>
      <w:r>
        <w:rPr>
          <w:rFonts w:hint="eastAsia" w:ascii="仿宋_GB2312" w:hAnsi="宋体" w:eastAsia="仿宋_GB2312"/>
          <w:b/>
          <w:color w:val="000000"/>
          <w:sz w:val="24"/>
        </w:rPr>
        <w:t>第三条 本次标的报价基本内容</w:t>
      </w:r>
    </w:p>
    <w:tbl>
      <w:tblPr>
        <w:tblStyle w:val="9"/>
        <w:tblpPr w:leftFromText="180" w:rightFromText="180" w:vertAnchor="text" w:horzAnchor="page" w:tblpX="1669" w:tblpY="264"/>
        <w:tblOverlap w:val="never"/>
        <w:tblW w:w="8559" w:type="dxa"/>
        <w:tblInd w:w="0" w:type="dxa"/>
        <w:tblLayout w:type="fixed"/>
        <w:tblCellMar>
          <w:top w:w="15" w:type="dxa"/>
          <w:left w:w="15" w:type="dxa"/>
          <w:bottom w:w="15" w:type="dxa"/>
          <w:right w:w="15" w:type="dxa"/>
        </w:tblCellMar>
      </w:tblPr>
      <w:tblGrid>
        <w:gridCol w:w="1080"/>
        <w:gridCol w:w="1733"/>
        <w:gridCol w:w="975"/>
        <w:gridCol w:w="990"/>
        <w:gridCol w:w="3781"/>
      </w:tblGrid>
      <w:tr>
        <w:tblPrEx>
          <w:tblLayout w:type="fixed"/>
          <w:tblCellMar>
            <w:top w:w="15" w:type="dxa"/>
            <w:left w:w="15" w:type="dxa"/>
            <w:bottom w:w="15" w:type="dxa"/>
            <w:right w:w="15" w:type="dxa"/>
          </w:tblCellMar>
        </w:tblPrEx>
        <w:trPr>
          <w:trHeight w:val="285" w:hRule="atLeast"/>
        </w:trPr>
        <w:tc>
          <w:tcPr>
            <w:tcW w:w="2813" w:type="dxa"/>
            <w:gridSpan w:val="2"/>
            <w:tcBorders>
              <w:top w:val="single" w:color="000000" w:sz="4" w:space="0"/>
              <w:left w:val="single" w:color="000000" w:sz="4" w:space="0"/>
              <w:bottom w:val="single" w:color="000000" w:sz="4" w:space="0"/>
              <w:right w:val="single" w:color="000000" w:sz="4" w:space="0"/>
            </w:tcBorders>
            <w:vAlign w:val="center"/>
          </w:tcPr>
          <w:p>
            <w:pPr>
              <w:widowControl/>
              <w:pBdr>
                <w:bottom w:val="none" w:color="auto" w:sz="0" w:space="0"/>
              </w:pBdr>
              <w:jc w:val="center"/>
              <w:textAlignment w:val="center"/>
              <w:rPr>
                <w:rFonts w:hint="eastAsia" w:ascii="仿宋" w:hAnsi="仿宋" w:eastAsia="仿宋" w:cs="仿宋"/>
                <w:b/>
                <w:bCs/>
                <w:color w:val="000000"/>
                <w:sz w:val="24"/>
              </w:rPr>
            </w:pPr>
            <w:r>
              <w:rPr>
                <w:rFonts w:hint="eastAsia" w:ascii="仿宋" w:hAnsi="仿宋" w:eastAsia="仿宋" w:cs="仿宋"/>
                <w:b/>
                <w:bCs/>
                <w:color w:val="000000"/>
                <w:kern w:val="0"/>
                <w:sz w:val="24"/>
                <w:lang w:bidi="ar"/>
              </w:rPr>
              <w:t>项目名称</w:t>
            </w:r>
          </w:p>
        </w:tc>
        <w:tc>
          <w:tcPr>
            <w:tcW w:w="975" w:type="dxa"/>
            <w:tcBorders>
              <w:top w:val="single" w:color="000000" w:sz="4" w:space="0"/>
              <w:left w:val="single" w:color="000000" w:sz="4" w:space="0"/>
              <w:bottom w:val="single" w:color="000000" w:sz="4" w:space="0"/>
              <w:right w:val="single" w:color="000000" w:sz="4" w:space="0"/>
            </w:tcBorders>
            <w:vAlign w:val="center"/>
          </w:tcPr>
          <w:p>
            <w:pPr>
              <w:widowControl/>
              <w:pBdr>
                <w:bottom w:val="none" w:color="auto" w:sz="0" w:space="0"/>
              </w:pBdr>
              <w:jc w:val="center"/>
              <w:textAlignment w:val="center"/>
              <w:rPr>
                <w:rFonts w:hint="eastAsia" w:ascii="仿宋" w:hAnsi="仿宋" w:eastAsia="仿宋" w:cs="仿宋"/>
                <w:b/>
                <w:bCs/>
                <w:color w:val="000000"/>
                <w:sz w:val="24"/>
              </w:rPr>
            </w:pPr>
            <w:r>
              <w:rPr>
                <w:rFonts w:hint="eastAsia" w:ascii="仿宋" w:hAnsi="仿宋" w:eastAsia="仿宋" w:cs="仿宋"/>
                <w:b/>
                <w:bCs/>
                <w:color w:val="000000"/>
                <w:kern w:val="0"/>
                <w:sz w:val="24"/>
                <w:lang w:bidi="ar"/>
              </w:rPr>
              <w:t>挂牌价（万元）</w:t>
            </w:r>
          </w:p>
        </w:tc>
        <w:tc>
          <w:tcPr>
            <w:tcW w:w="990" w:type="dxa"/>
            <w:tcBorders>
              <w:top w:val="single" w:color="000000" w:sz="4" w:space="0"/>
              <w:left w:val="single" w:color="000000" w:sz="4" w:space="0"/>
              <w:bottom w:val="single" w:color="000000" w:sz="4" w:space="0"/>
              <w:right w:val="single" w:color="000000" w:sz="4" w:space="0"/>
            </w:tcBorders>
            <w:vAlign w:val="center"/>
          </w:tcPr>
          <w:p>
            <w:pPr>
              <w:widowControl/>
              <w:pBdr>
                <w:bottom w:val="none" w:color="auto" w:sz="0" w:space="0"/>
              </w:pBdr>
              <w:jc w:val="center"/>
              <w:textAlignment w:val="center"/>
              <w:rPr>
                <w:rFonts w:hint="eastAsia" w:ascii="仿宋" w:hAnsi="仿宋" w:eastAsia="仿宋" w:cs="仿宋"/>
                <w:b/>
                <w:bCs/>
                <w:color w:val="000000"/>
                <w:sz w:val="24"/>
              </w:rPr>
            </w:pPr>
            <w:r>
              <w:rPr>
                <w:rFonts w:hint="eastAsia" w:ascii="仿宋" w:hAnsi="仿宋" w:eastAsia="仿宋" w:cs="仿宋"/>
                <w:b/>
                <w:bCs/>
                <w:color w:val="000000"/>
                <w:kern w:val="0"/>
                <w:sz w:val="24"/>
                <w:lang w:bidi="ar"/>
              </w:rPr>
              <w:t>加价幅度（万元）</w:t>
            </w:r>
          </w:p>
        </w:tc>
        <w:tc>
          <w:tcPr>
            <w:tcW w:w="3781" w:type="dxa"/>
            <w:tcBorders>
              <w:top w:val="single" w:color="000000" w:sz="4" w:space="0"/>
              <w:left w:val="single" w:color="000000" w:sz="4" w:space="0"/>
              <w:bottom w:val="single" w:color="000000" w:sz="4" w:space="0"/>
              <w:right w:val="single" w:color="000000" w:sz="4" w:space="0"/>
            </w:tcBorders>
            <w:vAlign w:val="center"/>
          </w:tcPr>
          <w:p>
            <w:pPr>
              <w:widowControl/>
              <w:pBdr>
                <w:bottom w:val="none" w:color="auto" w:sz="0" w:space="0"/>
              </w:pBdr>
              <w:jc w:val="center"/>
              <w:textAlignment w:val="center"/>
              <w:rPr>
                <w:rFonts w:hint="eastAsia" w:ascii="仿宋" w:hAnsi="仿宋" w:eastAsia="仿宋" w:cs="仿宋"/>
                <w:b/>
                <w:bCs/>
                <w:color w:val="000000"/>
                <w:sz w:val="24"/>
              </w:rPr>
            </w:pPr>
            <w:r>
              <w:rPr>
                <w:rFonts w:hint="eastAsia" w:ascii="仿宋" w:hAnsi="仿宋" w:eastAsia="仿宋" w:cs="仿宋"/>
                <w:b/>
                <w:bCs/>
                <w:color w:val="0D0D0D"/>
                <w:sz w:val="24"/>
              </w:rPr>
              <w:t>自由报价期起止时间</w:t>
            </w:r>
          </w:p>
        </w:tc>
      </w:tr>
      <w:tr>
        <w:tblPrEx>
          <w:tblLayout w:type="fixed"/>
          <w:tblCellMar>
            <w:top w:w="15" w:type="dxa"/>
            <w:left w:w="15" w:type="dxa"/>
            <w:bottom w:w="15" w:type="dxa"/>
            <w:right w:w="15" w:type="dxa"/>
          </w:tblCellMar>
        </w:tblPrEx>
        <w:trPr>
          <w:trHeight w:val="90" w:hRule="atLeast"/>
        </w:trPr>
        <w:tc>
          <w:tcPr>
            <w:tcW w:w="1080" w:type="dxa"/>
            <w:vMerge w:val="restart"/>
            <w:tcBorders>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val="en-US" w:eastAsia="zh-CN"/>
              </w:rPr>
              <w:t>包钢（集团）朋限责任公司包头地区房产</w:t>
            </w:r>
          </w:p>
        </w:tc>
        <w:tc>
          <w:tcPr>
            <w:tcW w:w="1733" w:type="dxa"/>
            <w:tcBorders>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r>
              <w:rPr>
                <w:rFonts w:ascii="宋体" w:hAnsi="宋体" w:eastAsia="宋体" w:cs="宋体"/>
                <w:color w:val="000000"/>
                <w:sz w:val="18"/>
                <w:szCs w:val="18"/>
              </w:rPr>
              <w:t>包钢少先20东墙外包商银行商业房产转让</w:t>
            </w:r>
          </w:p>
        </w:tc>
        <w:tc>
          <w:tcPr>
            <w:tcW w:w="9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859</w:t>
            </w:r>
          </w:p>
        </w:tc>
        <w:tc>
          <w:tcPr>
            <w:tcW w:w="990" w:type="dxa"/>
            <w:vMerge w:val="restart"/>
            <w:tcBorders>
              <w:top w:val="single" w:color="000000" w:sz="4" w:space="0"/>
              <w:left w:val="single" w:color="000000" w:sz="4" w:space="0"/>
              <w:bottom w:val="nil"/>
              <w:right w:val="single" w:color="000000" w:sz="4" w:space="0"/>
            </w:tcBorders>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0.2</w:t>
            </w:r>
          </w:p>
        </w:tc>
        <w:tc>
          <w:tcPr>
            <w:tcW w:w="37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 9月2</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日-10月1</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日 09时30分</w:t>
            </w:r>
          </w:p>
        </w:tc>
      </w:tr>
      <w:tr>
        <w:tblPrEx>
          <w:tblLayout w:type="fixed"/>
          <w:tblCellMar>
            <w:top w:w="15" w:type="dxa"/>
            <w:left w:w="15" w:type="dxa"/>
            <w:bottom w:w="15" w:type="dxa"/>
            <w:right w:w="15" w:type="dxa"/>
          </w:tblCellMar>
        </w:tblPrEx>
        <w:trPr>
          <w:trHeight w:val="285" w:hRule="atLeast"/>
        </w:trPr>
        <w:tc>
          <w:tcPr>
            <w:tcW w:w="1080"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p>
        </w:tc>
        <w:tc>
          <w:tcPr>
            <w:tcW w:w="1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r>
              <w:rPr>
                <w:rFonts w:ascii="宋体" w:hAnsi="宋体" w:eastAsia="宋体" w:cs="宋体"/>
                <w:color w:val="000000"/>
                <w:sz w:val="18"/>
                <w:szCs w:val="18"/>
              </w:rPr>
              <w:t>物资公司昆区友谊30街坊（三八路）7、8号商业房产转让</w:t>
            </w:r>
          </w:p>
        </w:tc>
        <w:tc>
          <w:tcPr>
            <w:tcW w:w="9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154</w:t>
            </w:r>
          </w:p>
        </w:tc>
        <w:tc>
          <w:tcPr>
            <w:tcW w:w="990" w:type="dxa"/>
            <w:vMerge w:val="continue"/>
            <w:tcBorders>
              <w:top w:val="nil"/>
              <w:left w:val="single" w:color="000000" w:sz="4" w:space="0"/>
              <w:bottom w:val="nil"/>
              <w:right w:val="single" w:color="000000" w:sz="4" w:space="0"/>
            </w:tcBorders>
            <w:vAlign w:val="center"/>
          </w:tcPr>
          <w:p>
            <w:pPr>
              <w:widowControl/>
              <w:jc w:val="center"/>
              <w:textAlignment w:val="center"/>
              <w:rPr>
                <w:rFonts w:hint="eastAsia" w:ascii="宋体" w:hAnsi="宋体" w:eastAsia="宋体" w:cs="宋体"/>
                <w:color w:val="000000"/>
                <w:sz w:val="18"/>
                <w:szCs w:val="18"/>
              </w:rPr>
            </w:pPr>
          </w:p>
        </w:tc>
        <w:tc>
          <w:tcPr>
            <w:tcW w:w="37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 9月2</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日-10月1</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日 10时00分</w:t>
            </w:r>
          </w:p>
        </w:tc>
      </w:tr>
      <w:tr>
        <w:tblPrEx>
          <w:tblLayout w:type="fixed"/>
          <w:tblCellMar>
            <w:top w:w="15" w:type="dxa"/>
            <w:left w:w="15" w:type="dxa"/>
            <w:bottom w:w="15" w:type="dxa"/>
            <w:right w:w="15" w:type="dxa"/>
          </w:tblCellMar>
        </w:tblPrEx>
        <w:trPr>
          <w:trHeight w:val="285" w:hRule="atLeast"/>
        </w:trPr>
        <w:tc>
          <w:tcPr>
            <w:tcW w:w="1080"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p>
        </w:tc>
        <w:tc>
          <w:tcPr>
            <w:tcW w:w="1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r>
              <w:rPr>
                <w:rFonts w:ascii="宋体" w:hAnsi="宋体" w:eastAsia="宋体" w:cs="宋体"/>
                <w:color w:val="000000"/>
                <w:sz w:val="18"/>
                <w:szCs w:val="18"/>
              </w:rPr>
              <w:t>物资公司昆区长青道102街坊10号商业房产转让</w:t>
            </w:r>
          </w:p>
        </w:tc>
        <w:tc>
          <w:tcPr>
            <w:tcW w:w="9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18</w:t>
            </w:r>
          </w:p>
        </w:tc>
        <w:tc>
          <w:tcPr>
            <w:tcW w:w="990" w:type="dxa"/>
            <w:vMerge w:val="continue"/>
            <w:tcBorders>
              <w:top w:val="nil"/>
              <w:left w:val="single" w:color="000000" w:sz="4" w:space="0"/>
              <w:bottom w:val="nil"/>
              <w:right w:val="single" w:color="000000" w:sz="4" w:space="0"/>
            </w:tcBorders>
            <w:vAlign w:val="center"/>
          </w:tcPr>
          <w:p>
            <w:pPr>
              <w:widowControl/>
              <w:jc w:val="center"/>
              <w:textAlignment w:val="center"/>
              <w:rPr>
                <w:rFonts w:hint="eastAsia" w:ascii="宋体" w:hAnsi="宋体" w:eastAsia="宋体" w:cs="宋体"/>
                <w:color w:val="000000"/>
                <w:sz w:val="18"/>
                <w:szCs w:val="18"/>
              </w:rPr>
            </w:pPr>
          </w:p>
        </w:tc>
        <w:tc>
          <w:tcPr>
            <w:tcW w:w="37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 9月2</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日-10月1</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日 10时30分</w:t>
            </w:r>
          </w:p>
        </w:tc>
      </w:tr>
      <w:tr>
        <w:tblPrEx>
          <w:tblLayout w:type="fixed"/>
          <w:tblCellMar>
            <w:top w:w="15" w:type="dxa"/>
            <w:left w:w="15" w:type="dxa"/>
            <w:bottom w:w="15" w:type="dxa"/>
            <w:right w:w="15" w:type="dxa"/>
          </w:tblCellMar>
        </w:tblPrEx>
        <w:trPr>
          <w:trHeight w:val="285" w:hRule="atLeast"/>
        </w:trPr>
        <w:tc>
          <w:tcPr>
            <w:tcW w:w="1080"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p>
        </w:tc>
        <w:tc>
          <w:tcPr>
            <w:tcW w:w="1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r>
              <w:rPr>
                <w:rFonts w:ascii="宋体" w:hAnsi="宋体" w:eastAsia="宋体" w:cs="宋体"/>
                <w:color w:val="000000"/>
                <w:sz w:val="18"/>
                <w:szCs w:val="18"/>
              </w:rPr>
              <w:t>物资公司昆区长青道102街坊11号商业房产转让</w:t>
            </w:r>
          </w:p>
        </w:tc>
        <w:tc>
          <w:tcPr>
            <w:tcW w:w="9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18</w:t>
            </w:r>
          </w:p>
        </w:tc>
        <w:tc>
          <w:tcPr>
            <w:tcW w:w="990" w:type="dxa"/>
            <w:vMerge w:val="continue"/>
            <w:tcBorders>
              <w:top w:val="nil"/>
              <w:left w:val="single" w:color="000000" w:sz="4" w:space="0"/>
              <w:bottom w:val="nil"/>
              <w:right w:val="single" w:color="000000" w:sz="4" w:space="0"/>
            </w:tcBorders>
            <w:vAlign w:val="center"/>
          </w:tcPr>
          <w:p>
            <w:pPr>
              <w:widowControl/>
              <w:jc w:val="center"/>
              <w:textAlignment w:val="center"/>
              <w:rPr>
                <w:rFonts w:hint="eastAsia" w:ascii="宋体" w:hAnsi="宋体" w:eastAsia="宋体" w:cs="宋体"/>
                <w:color w:val="000000"/>
                <w:sz w:val="18"/>
                <w:szCs w:val="18"/>
              </w:rPr>
            </w:pPr>
          </w:p>
        </w:tc>
        <w:tc>
          <w:tcPr>
            <w:tcW w:w="37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 9月2</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日-10月1</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日 11时00分</w:t>
            </w:r>
          </w:p>
        </w:tc>
      </w:tr>
      <w:tr>
        <w:tblPrEx>
          <w:tblLayout w:type="fixed"/>
          <w:tblCellMar>
            <w:top w:w="15" w:type="dxa"/>
            <w:left w:w="15" w:type="dxa"/>
            <w:bottom w:w="15" w:type="dxa"/>
            <w:right w:w="15" w:type="dxa"/>
          </w:tblCellMar>
        </w:tblPrEx>
        <w:trPr>
          <w:trHeight w:val="285" w:hRule="atLeast"/>
        </w:trPr>
        <w:tc>
          <w:tcPr>
            <w:tcW w:w="1080"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p>
        </w:tc>
        <w:tc>
          <w:tcPr>
            <w:tcW w:w="1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r>
              <w:rPr>
                <w:rFonts w:ascii="宋体" w:hAnsi="宋体" w:eastAsia="宋体" w:cs="宋体"/>
                <w:color w:val="000000"/>
                <w:sz w:val="18"/>
                <w:szCs w:val="18"/>
              </w:rPr>
              <w:t>物资公司昆区长青道102街坊12号商业房产转让</w:t>
            </w:r>
          </w:p>
        </w:tc>
        <w:tc>
          <w:tcPr>
            <w:tcW w:w="975" w:type="dxa"/>
            <w:tcBorders>
              <w:top w:val="single" w:color="000000" w:sz="4" w:space="0"/>
              <w:left w:val="single" w:color="000000" w:sz="4" w:space="0"/>
              <w:bottom w:val="single" w:color="000000" w:sz="4" w:space="0"/>
              <w:right w:val="single" w:color="000000" w:sz="4" w:space="0"/>
            </w:tcBorders>
            <w:textDirection w:val="lrTb"/>
            <w:vAlign w:val="center"/>
          </w:tcPr>
          <w:p>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18</w:t>
            </w:r>
          </w:p>
        </w:tc>
        <w:tc>
          <w:tcPr>
            <w:tcW w:w="990" w:type="dxa"/>
            <w:vMerge w:val="continue"/>
            <w:tcBorders>
              <w:top w:val="nil"/>
              <w:left w:val="single" w:color="000000" w:sz="4" w:space="0"/>
              <w:bottom w:val="nil"/>
              <w:right w:val="single" w:color="000000" w:sz="4" w:space="0"/>
            </w:tcBorders>
            <w:vAlign w:val="center"/>
          </w:tcPr>
          <w:p>
            <w:pPr>
              <w:widowControl/>
              <w:jc w:val="center"/>
              <w:textAlignment w:val="center"/>
              <w:rPr>
                <w:rFonts w:hint="eastAsia" w:ascii="宋体" w:hAnsi="宋体" w:eastAsia="宋体" w:cs="宋体"/>
                <w:color w:val="000000"/>
                <w:sz w:val="18"/>
                <w:szCs w:val="18"/>
              </w:rPr>
            </w:pPr>
          </w:p>
        </w:tc>
        <w:tc>
          <w:tcPr>
            <w:tcW w:w="37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 9月2</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日-10月1</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日 11时30分</w:t>
            </w:r>
          </w:p>
        </w:tc>
      </w:tr>
      <w:tr>
        <w:tblPrEx>
          <w:tblLayout w:type="fixed"/>
          <w:tblCellMar>
            <w:top w:w="15" w:type="dxa"/>
            <w:left w:w="15" w:type="dxa"/>
            <w:bottom w:w="15" w:type="dxa"/>
            <w:right w:w="15" w:type="dxa"/>
          </w:tblCellMar>
        </w:tblPrEx>
        <w:trPr>
          <w:trHeight w:val="285" w:hRule="atLeast"/>
        </w:trPr>
        <w:tc>
          <w:tcPr>
            <w:tcW w:w="1080" w:type="dxa"/>
            <w:vMerge w:val="continue"/>
            <w:tcBorders>
              <w:left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p>
        </w:tc>
        <w:tc>
          <w:tcPr>
            <w:tcW w:w="1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r>
              <w:rPr>
                <w:rFonts w:ascii="宋体" w:hAnsi="宋体" w:eastAsia="宋体" w:cs="宋体"/>
                <w:color w:val="000000"/>
                <w:sz w:val="18"/>
                <w:szCs w:val="18"/>
              </w:rPr>
              <w:t>预保中心少先20东墙外鑫三友洗车18-14号商业房产转让</w:t>
            </w:r>
          </w:p>
        </w:tc>
        <w:tc>
          <w:tcPr>
            <w:tcW w:w="975" w:type="dxa"/>
            <w:tcBorders>
              <w:top w:val="single" w:color="000000" w:sz="4" w:space="0"/>
              <w:left w:val="single" w:color="000000" w:sz="4" w:space="0"/>
              <w:bottom w:val="single" w:color="000000" w:sz="4" w:space="0"/>
              <w:right w:val="single" w:color="000000" w:sz="4" w:space="0"/>
            </w:tcBorders>
            <w:textDirection w:val="lrTb"/>
            <w:vAlign w:val="center"/>
          </w:tcPr>
          <w:p>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224</w:t>
            </w:r>
          </w:p>
        </w:tc>
        <w:tc>
          <w:tcPr>
            <w:tcW w:w="990" w:type="dxa"/>
            <w:vMerge w:val="continue"/>
            <w:tcBorders>
              <w:top w:val="nil"/>
              <w:left w:val="single" w:color="000000" w:sz="4" w:space="0"/>
              <w:bottom w:val="nil"/>
              <w:right w:val="single" w:color="000000" w:sz="4" w:space="0"/>
            </w:tcBorders>
            <w:vAlign w:val="center"/>
          </w:tcPr>
          <w:p>
            <w:pPr>
              <w:widowControl/>
              <w:jc w:val="center"/>
              <w:textAlignment w:val="center"/>
              <w:rPr>
                <w:rFonts w:hint="eastAsia" w:ascii="宋体" w:hAnsi="宋体" w:eastAsia="宋体" w:cs="宋体"/>
                <w:color w:val="000000"/>
                <w:sz w:val="18"/>
                <w:szCs w:val="18"/>
              </w:rPr>
            </w:pPr>
          </w:p>
        </w:tc>
        <w:tc>
          <w:tcPr>
            <w:tcW w:w="37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 9月2</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日-10月1</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日 13时30分</w:t>
            </w:r>
          </w:p>
        </w:tc>
      </w:tr>
      <w:tr>
        <w:tblPrEx>
          <w:tblLayout w:type="fixed"/>
          <w:tblCellMar>
            <w:top w:w="15" w:type="dxa"/>
            <w:left w:w="15" w:type="dxa"/>
            <w:bottom w:w="15" w:type="dxa"/>
            <w:right w:w="15" w:type="dxa"/>
          </w:tblCellMar>
        </w:tblPrEx>
        <w:trPr>
          <w:trHeight w:val="285" w:hRule="atLeast"/>
        </w:trPr>
        <w:tc>
          <w:tcPr>
            <w:tcW w:w="1080" w:type="dxa"/>
            <w:vMerge w:val="restart"/>
            <w:tcBorders>
              <w:left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p>
        </w:tc>
        <w:tc>
          <w:tcPr>
            <w:tcW w:w="1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r>
              <w:rPr>
                <w:rFonts w:ascii="宋体" w:hAnsi="宋体" w:eastAsia="宋体" w:cs="宋体"/>
                <w:color w:val="000000"/>
                <w:sz w:val="18"/>
                <w:szCs w:val="18"/>
              </w:rPr>
              <w:t>预保中心南市场美迪加卫浴商业房产转让</w:t>
            </w:r>
          </w:p>
        </w:tc>
        <w:tc>
          <w:tcPr>
            <w:tcW w:w="9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107</w:t>
            </w:r>
          </w:p>
        </w:tc>
        <w:tc>
          <w:tcPr>
            <w:tcW w:w="990" w:type="dxa"/>
            <w:vMerge w:val="continue"/>
            <w:tcBorders>
              <w:top w:val="nil"/>
              <w:left w:val="single" w:color="000000" w:sz="4" w:space="0"/>
              <w:bottom w:val="nil"/>
              <w:right w:val="single" w:color="000000" w:sz="4" w:space="0"/>
            </w:tcBorders>
            <w:vAlign w:val="center"/>
          </w:tcPr>
          <w:p>
            <w:pPr>
              <w:widowControl/>
              <w:jc w:val="center"/>
              <w:textAlignment w:val="center"/>
              <w:rPr>
                <w:rFonts w:hint="eastAsia" w:ascii="宋体" w:hAnsi="宋体" w:eastAsia="宋体" w:cs="宋体"/>
                <w:color w:val="000000"/>
                <w:sz w:val="18"/>
                <w:szCs w:val="18"/>
              </w:rPr>
            </w:pPr>
          </w:p>
        </w:tc>
        <w:tc>
          <w:tcPr>
            <w:tcW w:w="37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 9月2</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日-10月1</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日 14时00分</w:t>
            </w:r>
          </w:p>
        </w:tc>
      </w:tr>
      <w:tr>
        <w:tblPrEx>
          <w:tblLayout w:type="fixed"/>
          <w:tblCellMar>
            <w:top w:w="15" w:type="dxa"/>
            <w:left w:w="15" w:type="dxa"/>
            <w:bottom w:w="15" w:type="dxa"/>
            <w:right w:w="15" w:type="dxa"/>
          </w:tblCellMar>
        </w:tblPrEx>
        <w:trPr>
          <w:trHeight w:val="285" w:hRule="atLeast"/>
        </w:trPr>
        <w:tc>
          <w:tcPr>
            <w:tcW w:w="1080" w:type="dxa"/>
            <w:vMerge w:val="continue"/>
            <w:tcBorders>
              <w:left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p>
        </w:tc>
        <w:tc>
          <w:tcPr>
            <w:tcW w:w="1733" w:type="dxa"/>
            <w:tcBorders>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r>
              <w:rPr>
                <w:rFonts w:ascii="宋体" w:hAnsi="宋体" w:eastAsia="宋体" w:cs="宋体"/>
                <w:color w:val="000000"/>
                <w:sz w:val="18"/>
                <w:szCs w:val="18"/>
              </w:rPr>
              <w:t>包钢科协昆区少先路23号街坊公汽住宅楼底店-19房产转让</w:t>
            </w:r>
          </w:p>
        </w:tc>
        <w:tc>
          <w:tcPr>
            <w:tcW w:w="9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210</w:t>
            </w:r>
          </w:p>
        </w:tc>
        <w:tc>
          <w:tcPr>
            <w:tcW w:w="990" w:type="dxa"/>
            <w:vMerge w:val="restart"/>
            <w:tcBorders>
              <w:top w:val="nil"/>
              <w:left w:val="single" w:color="000000" w:sz="4" w:space="0"/>
              <w:bottom w:val="single" w:color="auto"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p>
        </w:tc>
        <w:tc>
          <w:tcPr>
            <w:tcW w:w="37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 9月2</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日-10月1</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日 14时30分</w:t>
            </w:r>
          </w:p>
        </w:tc>
      </w:tr>
      <w:tr>
        <w:tblPrEx>
          <w:tblLayout w:type="fixed"/>
          <w:tblCellMar>
            <w:top w:w="15" w:type="dxa"/>
            <w:left w:w="15" w:type="dxa"/>
            <w:bottom w:w="15" w:type="dxa"/>
            <w:right w:w="15" w:type="dxa"/>
          </w:tblCellMar>
        </w:tblPrEx>
        <w:trPr>
          <w:trHeight w:val="807" w:hRule="atLeast"/>
        </w:trPr>
        <w:tc>
          <w:tcPr>
            <w:tcW w:w="1080" w:type="dxa"/>
            <w:vMerge w:val="continue"/>
            <w:tcBorders>
              <w:left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p>
        </w:tc>
        <w:tc>
          <w:tcPr>
            <w:tcW w:w="1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r>
              <w:rPr>
                <w:rFonts w:ascii="宋体" w:hAnsi="宋体" w:eastAsia="宋体" w:cs="宋体"/>
                <w:color w:val="000000"/>
                <w:sz w:val="18"/>
                <w:szCs w:val="18"/>
              </w:rPr>
              <w:t>朔矿昆区团甲16街坊1号底店商业房产转让</w:t>
            </w:r>
          </w:p>
        </w:tc>
        <w:tc>
          <w:tcPr>
            <w:tcW w:w="9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230</w:t>
            </w:r>
          </w:p>
        </w:tc>
        <w:tc>
          <w:tcPr>
            <w:tcW w:w="990" w:type="dxa"/>
            <w:vMerge w:val="continue"/>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p>
        </w:tc>
        <w:tc>
          <w:tcPr>
            <w:tcW w:w="37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 9月2</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日-10月1</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日 15时00分</w:t>
            </w:r>
          </w:p>
        </w:tc>
      </w:tr>
      <w:tr>
        <w:tblPrEx>
          <w:tblLayout w:type="fixed"/>
          <w:tblCellMar>
            <w:top w:w="15" w:type="dxa"/>
            <w:left w:w="15" w:type="dxa"/>
            <w:bottom w:w="15" w:type="dxa"/>
            <w:right w:w="15" w:type="dxa"/>
          </w:tblCellMar>
        </w:tblPrEx>
        <w:trPr>
          <w:trHeight w:val="285" w:hRule="atLeast"/>
        </w:trPr>
        <w:tc>
          <w:tcPr>
            <w:tcW w:w="1080" w:type="dxa"/>
            <w:tcBorders>
              <w:left w:val="single" w:color="000000" w:sz="4" w:space="0"/>
              <w:bottom w:val="single" w:color="auto"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p>
        </w:tc>
        <w:tc>
          <w:tcPr>
            <w:tcW w:w="173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r>
              <w:rPr>
                <w:rFonts w:ascii="宋体" w:hAnsi="宋体" w:eastAsia="宋体" w:cs="宋体"/>
                <w:color w:val="000000"/>
                <w:sz w:val="18"/>
                <w:szCs w:val="18"/>
              </w:rPr>
              <w:t>朔矿昆区团甲16街坊</w:t>
            </w:r>
            <w:r>
              <w:rPr>
                <w:rFonts w:hint="eastAsia" w:ascii="宋体" w:hAnsi="宋体" w:eastAsia="宋体" w:cs="宋体"/>
                <w:color w:val="000000"/>
                <w:sz w:val="18"/>
                <w:szCs w:val="18"/>
                <w:lang w:val="en-US" w:eastAsia="zh-CN"/>
              </w:rPr>
              <w:t>2</w:t>
            </w:r>
            <w:r>
              <w:rPr>
                <w:rFonts w:ascii="宋体" w:hAnsi="宋体" w:eastAsia="宋体" w:cs="宋体"/>
                <w:color w:val="000000"/>
                <w:sz w:val="18"/>
                <w:szCs w:val="18"/>
              </w:rPr>
              <w:t>号底店商业房产转让</w:t>
            </w:r>
          </w:p>
        </w:tc>
        <w:tc>
          <w:tcPr>
            <w:tcW w:w="9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224</w:t>
            </w:r>
          </w:p>
        </w:tc>
        <w:tc>
          <w:tcPr>
            <w:tcW w:w="990" w:type="dxa"/>
            <w:vMerge w:val="continue"/>
            <w:tcBorders>
              <w:top w:val="single" w:color="auto" w:sz="4" w:space="0"/>
              <w:left w:val="single" w:color="000000" w:sz="4" w:space="0"/>
              <w:bottom w:val="single" w:color="auto"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p>
        </w:tc>
        <w:tc>
          <w:tcPr>
            <w:tcW w:w="37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9月2</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日-10月1</w:t>
            </w: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日 15时30分</w:t>
            </w:r>
            <w:bookmarkStart w:id="2" w:name="_GoBack"/>
            <w:bookmarkEnd w:id="2"/>
          </w:p>
        </w:tc>
      </w:tr>
    </w:tbl>
    <w:p>
      <w:pPr>
        <w:widowControl/>
        <w:jc w:val="center"/>
        <w:textAlignment w:val="center"/>
        <w:rPr>
          <w:rFonts w:hint="eastAsia" w:ascii="宋体" w:hAnsi="宋体" w:eastAsia="宋体" w:cs="宋体"/>
          <w:color w:val="000000"/>
          <w:sz w:val="18"/>
          <w:szCs w:val="18"/>
        </w:rPr>
      </w:pPr>
    </w:p>
    <w:p>
      <w:pPr>
        <w:spacing w:line="360" w:lineRule="auto"/>
        <w:ind w:firstLine="482" w:firstLineChars="200"/>
        <w:rPr>
          <w:rFonts w:hint="eastAsia" w:ascii="仿宋_GB2312" w:hAnsi="宋体" w:eastAsia="仿宋_GB2312"/>
          <w:b/>
          <w:color w:val="000000"/>
          <w:sz w:val="24"/>
        </w:rPr>
      </w:pPr>
      <w:r>
        <w:rPr>
          <w:rFonts w:hint="eastAsia" w:ascii="仿宋_GB2312" w:hAnsi="宋体" w:eastAsia="仿宋_GB2312"/>
          <w:b/>
          <w:kern w:val="0"/>
          <w:sz w:val="24"/>
        </w:rPr>
        <w:t>自由报价期结束后进入延时报价期</w:t>
      </w:r>
      <w:r>
        <w:rPr>
          <w:rFonts w:hint="eastAsia" w:ascii="仿宋_GB2312" w:hAnsi="宋体" w:eastAsia="仿宋_GB2312"/>
          <w:b/>
          <w:color w:val="000000"/>
          <w:sz w:val="24"/>
        </w:rPr>
        <w:t>，延时报价周期为</w:t>
      </w:r>
      <w:r>
        <w:rPr>
          <w:rFonts w:hint="eastAsia" w:ascii="仿宋_GB2312" w:hAnsi="宋体" w:eastAsia="仿宋_GB2312"/>
          <w:b/>
          <w:color w:val="000000"/>
          <w:sz w:val="24"/>
          <w:u w:val="single"/>
        </w:rPr>
        <w:t xml:space="preserve"> 180 </w:t>
      </w:r>
      <w:r>
        <w:rPr>
          <w:rFonts w:hint="eastAsia" w:ascii="仿宋_GB2312" w:hAnsi="宋体" w:eastAsia="仿宋_GB2312"/>
          <w:b/>
          <w:color w:val="000000"/>
          <w:sz w:val="24"/>
        </w:rPr>
        <w:t>秒。</w:t>
      </w:r>
    </w:p>
    <w:p>
      <w:pPr>
        <w:spacing w:line="360" w:lineRule="auto"/>
        <w:ind w:firstLine="482" w:firstLineChars="200"/>
        <w:rPr>
          <w:rFonts w:hint="eastAsia" w:ascii="仿宋_GB2312" w:hAnsi="宋体" w:eastAsia="仿宋_GB2312" w:cs="宋体-18030"/>
          <w:b/>
          <w:color w:val="000000"/>
          <w:sz w:val="24"/>
        </w:rPr>
      </w:pPr>
      <w:r>
        <w:rPr>
          <w:rFonts w:hint="eastAsia" w:ascii="仿宋_GB2312" w:hAnsi="宋体" w:eastAsia="仿宋_GB2312" w:cs="宋体-18030"/>
          <w:b/>
          <w:color w:val="000000"/>
          <w:sz w:val="24"/>
        </w:rPr>
        <w:t xml:space="preserve">第四条 </w:t>
      </w:r>
      <w:bookmarkStart w:id="0" w:name="OLE_LINK1"/>
      <w:r>
        <w:rPr>
          <w:rFonts w:hint="eastAsia" w:ascii="仿宋_GB2312" w:hAnsi="宋体" w:eastAsia="仿宋_GB2312" w:cs="宋体-18030"/>
          <w:b/>
          <w:color w:val="000000"/>
          <w:sz w:val="24"/>
        </w:rPr>
        <w:t>网络竞价</w:t>
      </w:r>
      <w:bookmarkEnd w:id="0"/>
      <w:r>
        <w:rPr>
          <w:rFonts w:hint="eastAsia" w:ascii="仿宋_GB2312" w:hAnsi="宋体" w:eastAsia="仿宋_GB2312" w:cs="宋体-18030"/>
          <w:b/>
          <w:color w:val="000000"/>
          <w:sz w:val="24"/>
        </w:rPr>
        <w:t>流程如下：</w:t>
      </w:r>
    </w:p>
    <w:p>
      <w:pPr>
        <w:spacing w:line="360" w:lineRule="auto"/>
        <w:ind w:firstLine="480" w:firstLineChars="200"/>
        <w:rPr>
          <w:rStyle w:val="6"/>
          <w:rFonts w:hint="eastAsia" w:ascii="仿宋_GB2312" w:hAnsi="宋体" w:eastAsia="仿宋_GB2312"/>
          <w:b w:val="0"/>
          <w:bCs w:val="0"/>
          <w:sz w:val="24"/>
        </w:rPr>
      </w:pPr>
      <w:r>
        <w:rPr>
          <w:rStyle w:val="6"/>
          <w:rFonts w:hint="eastAsia" w:ascii="仿宋_GB2312" w:hAnsi="宋体" w:eastAsia="仿宋_GB2312"/>
          <w:b w:val="0"/>
          <w:bCs w:val="0"/>
          <w:sz w:val="24"/>
        </w:rPr>
        <w:t>1、内蒙古产权交易中心有限责任公司将向取得报价资格的</w:t>
      </w:r>
      <w:r>
        <w:rPr>
          <w:rFonts w:hint="eastAsia" w:ascii="仿宋_GB2312" w:hAnsi="宋体" w:eastAsia="仿宋_GB2312"/>
          <w:bCs/>
          <w:kern w:val="0"/>
          <w:sz w:val="24"/>
        </w:rPr>
        <w:t>意向受让方发送</w:t>
      </w:r>
      <w:r>
        <w:rPr>
          <w:rStyle w:val="6"/>
          <w:rFonts w:hint="eastAsia" w:ascii="仿宋_GB2312" w:hAnsi="宋体" w:eastAsia="仿宋_GB2312"/>
          <w:b w:val="0"/>
          <w:bCs w:val="0"/>
          <w:sz w:val="24"/>
        </w:rPr>
        <w:t>竞价用户名及密码（或登录会员界面，点击“打印回执”，进行查看）；</w:t>
      </w:r>
    </w:p>
    <w:p>
      <w:pPr>
        <w:spacing w:line="360" w:lineRule="auto"/>
        <w:ind w:firstLine="480" w:firstLineChars="200"/>
        <w:rPr>
          <w:rStyle w:val="6"/>
          <w:rFonts w:hint="eastAsia" w:ascii="仿宋_GB2312" w:hAnsi="宋体" w:eastAsia="仿宋_GB2312"/>
          <w:bCs w:val="0"/>
          <w:color w:val="000000"/>
          <w:sz w:val="24"/>
        </w:rPr>
      </w:pPr>
      <w:r>
        <w:rPr>
          <w:rFonts w:hint="eastAsia" w:ascii="仿宋_GB2312" w:hAnsi="宋体" w:eastAsia="仿宋_GB2312"/>
          <w:bCs/>
          <w:kern w:val="0"/>
          <w:sz w:val="24"/>
        </w:rPr>
        <w:t>2、意向受让方在成功缴纳保证金后，方可按照上条所述用户名</w:t>
      </w:r>
      <w:r>
        <w:rPr>
          <w:rFonts w:hint="eastAsia" w:ascii="仿宋_GB2312" w:hAnsi="宋体" w:eastAsia="仿宋_GB2312"/>
          <w:bCs/>
          <w:color w:val="000000"/>
          <w:kern w:val="0"/>
          <w:sz w:val="24"/>
        </w:rPr>
        <w:t>通过内蒙古产权交易中心有限责任公司网站“竞价登录”端口登录竞价系统，参与报价</w:t>
      </w:r>
      <w:r>
        <w:rPr>
          <w:rStyle w:val="6"/>
          <w:rFonts w:hint="eastAsia" w:ascii="仿宋_GB2312" w:hAnsi="宋体" w:eastAsia="仿宋_GB2312"/>
          <w:b w:val="0"/>
          <w:bCs w:val="0"/>
          <w:color w:val="000000"/>
          <w:sz w:val="24"/>
        </w:rPr>
        <w:t>；</w:t>
      </w:r>
    </w:p>
    <w:p>
      <w:pPr>
        <w:spacing w:line="360" w:lineRule="auto"/>
        <w:ind w:firstLine="480" w:firstLineChars="200"/>
        <w:rPr>
          <w:rStyle w:val="6"/>
          <w:rFonts w:hint="eastAsia" w:ascii="仿宋_GB2312" w:hAnsi="宋体" w:eastAsia="仿宋_GB2312" w:cs="宋体-18030"/>
          <w:b w:val="0"/>
          <w:bCs w:val="0"/>
          <w:color w:val="000000"/>
          <w:sz w:val="24"/>
        </w:rPr>
      </w:pPr>
      <w:r>
        <w:rPr>
          <w:rFonts w:hint="eastAsia" w:ascii="仿宋_GB2312" w:hAnsi="宋体" w:eastAsia="仿宋_GB2312" w:cs="宋体-18030"/>
          <w:color w:val="000000"/>
          <w:sz w:val="24"/>
        </w:rPr>
        <w:t>3、</w:t>
      </w:r>
      <w:r>
        <w:rPr>
          <w:rFonts w:hint="eastAsia" w:ascii="仿宋_GB2312" w:hAnsi="宋体" w:eastAsia="仿宋_GB2312" w:cs="宋体-18030"/>
          <w:b/>
          <w:color w:val="000000"/>
          <w:sz w:val="24"/>
        </w:rPr>
        <w:t>网络竞价</w:t>
      </w:r>
      <w:r>
        <w:rPr>
          <w:rFonts w:hint="eastAsia" w:ascii="仿宋_GB2312" w:hAnsi="宋体" w:eastAsia="仿宋_GB2312" w:cs="宋体-18030"/>
          <w:color w:val="000000"/>
          <w:sz w:val="24"/>
        </w:rPr>
        <w:t>活动分为两个报价期，即自由报价期和延时报价期：</w:t>
      </w:r>
    </w:p>
    <w:p>
      <w:pPr>
        <w:spacing w:line="360" w:lineRule="auto"/>
        <w:ind w:firstLine="360" w:firstLineChars="150"/>
        <w:rPr>
          <w:rFonts w:hint="eastAsia" w:ascii="仿宋_GB2312" w:eastAsia="仿宋_GB2312"/>
          <w:color w:val="000000"/>
          <w:sz w:val="24"/>
        </w:rPr>
      </w:pPr>
      <w:r>
        <w:rPr>
          <w:rFonts w:hint="eastAsia" w:ascii="仿宋_GB2312" w:hAnsi="宋体" w:eastAsia="仿宋_GB2312"/>
          <w:bCs/>
          <w:kern w:val="0"/>
          <w:sz w:val="24"/>
        </w:rPr>
        <w:t>（1）报价开始后，即进入自由报价</w:t>
      </w:r>
      <w:r>
        <w:rPr>
          <w:rFonts w:hint="eastAsia" w:ascii="仿宋_GB2312" w:hAnsi="宋体" w:eastAsia="仿宋_GB2312" w:cs="宋体-18030"/>
          <w:color w:val="000000"/>
          <w:sz w:val="24"/>
        </w:rPr>
        <w:t>期，意向受让方可以对标的充分报价，</w:t>
      </w:r>
      <w:r>
        <w:rPr>
          <w:rFonts w:hint="eastAsia" w:ascii="仿宋_GB2312" w:eastAsia="仿宋_GB2312"/>
          <w:sz w:val="24"/>
        </w:rPr>
        <w:t>报价只要不低于当前最高报价且高出部分构成加价幅度的整数倍即为有效报价</w:t>
      </w:r>
      <w:r>
        <w:rPr>
          <w:rFonts w:hint="eastAsia" w:ascii="仿宋_GB2312" w:eastAsia="仿宋_GB2312"/>
          <w:color w:val="000000"/>
          <w:sz w:val="24"/>
        </w:rPr>
        <w:t>。</w:t>
      </w:r>
    </w:p>
    <w:p>
      <w:pPr>
        <w:spacing w:line="360" w:lineRule="auto"/>
        <w:ind w:firstLine="360" w:firstLineChars="150"/>
        <w:rPr>
          <w:rFonts w:hint="eastAsia" w:ascii="仿宋_GB2312" w:hAnsi="宋体" w:eastAsia="仿宋_GB2312"/>
          <w:bCs/>
          <w:kern w:val="0"/>
          <w:sz w:val="24"/>
        </w:rPr>
      </w:pPr>
      <w:r>
        <w:rPr>
          <w:rFonts w:hint="eastAsia" w:ascii="仿宋_GB2312" w:hAnsi="宋体" w:eastAsia="仿宋_GB2312"/>
          <w:bCs/>
          <w:kern w:val="0"/>
          <w:sz w:val="24"/>
        </w:rPr>
        <w:t>（2）自由报价期结束后进入</w:t>
      </w:r>
      <w:bookmarkStart w:id="1" w:name="OLE_LINK2"/>
      <w:r>
        <w:rPr>
          <w:rFonts w:hint="eastAsia" w:ascii="仿宋_GB2312" w:hAnsi="宋体" w:eastAsia="仿宋_GB2312"/>
          <w:bCs/>
          <w:kern w:val="0"/>
          <w:sz w:val="24"/>
        </w:rPr>
        <w:t>延时</w:t>
      </w:r>
      <w:bookmarkEnd w:id="1"/>
      <w:r>
        <w:rPr>
          <w:rFonts w:hint="eastAsia" w:ascii="仿宋_GB2312" w:hAnsi="宋体" w:eastAsia="仿宋_GB2312"/>
          <w:bCs/>
          <w:kern w:val="0"/>
          <w:sz w:val="24"/>
        </w:rPr>
        <w:t>报价期，一个延时报价周期内如无人加价，当前的最高出价者即为标的的最终受让方，报价活动结束；如延时报价周期内有人加价，则以此报价时间为新的延时报价周期起点，等待新的报价，直至某个延时报价周期内没有新的有效报价为止，当前最高有效报价者为标的的受让方，报价活动结束。</w:t>
      </w:r>
    </w:p>
    <w:p>
      <w:pPr>
        <w:spacing w:line="360" w:lineRule="auto"/>
        <w:ind w:firstLine="482" w:firstLineChars="200"/>
        <w:rPr>
          <w:rFonts w:hint="eastAsia" w:ascii="仿宋_GB2312" w:hAnsi="宋体" w:eastAsia="仿宋_GB2312"/>
          <w:b/>
          <w:kern w:val="0"/>
          <w:sz w:val="24"/>
        </w:rPr>
      </w:pPr>
      <w:r>
        <w:rPr>
          <w:rFonts w:hint="eastAsia" w:ascii="仿宋_GB2312" w:hAnsi="宋体" w:eastAsia="仿宋_GB2312"/>
          <w:b/>
          <w:color w:val="000000"/>
          <w:sz w:val="24"/>
        </w:rPr>
        <w:t xml:space="preserve">第五条 </w:t>
      </w:r>
      <w:r>
        <w:rPr>
          <w:rFonts w:hint="eastAsia" w:ascii="仿宋_GB2312" w:hAnsi="宋体" w:eastAsia="仿宋_GB2312"/>
          <w:b/>
          <w:kern w:val="0"/>
          <w:sz w:val="24"/>
        </w:rPr>
        <w:t>成交确认</w:t>
      </w:r>
    </w:p>
    <w:p>
      <w:pPr>
        <w:spacing w:line="360" w:lineRule="auto"/>
        <w:ind w:firstLine="480" w:firstLineChars="200"/>
        <w:rPr>
          <w:rFonts w:hint="eastAsia" w:ascii="仿宋_GB2312" w:hAnsi="宋体" w:eastAsia="仿宋_GB2312"/>
          <w:kern w:val="0"/>
          <w:sz w:val="24"/>
        </w:rPr>
      </w:pPr>
      <w:r>
        <w:rPr>
          <w:rFonts w:hint="eastAsia" w:ascii="仿宋_GB2312" w:hAnsi="宋体" w:eastAsia="仿宋_GB2312"/>
          <w:kern w:val="0"/>
          <w:sz w:val="24"/>
        </w:rPr>
        <w:t>受让方应在报价结束后</w:t>
      </w:r>
      <w:r>
        <w:rPr>
          <w:rFonts w:hint="eastAsia" w:ascii="仿宋_GB2312" w:hAnsi="宋体" w:eastAsia="仿宋_GB2312"/>
          <w:kern w:val="0"/>
          <w:sz w:val="24"/>
          <w:u w:val="single"/>
        </w:rPr>
        <w:t>3</w:t>
      </w:r>
      <w:r>
        <w:rPr>
          <w:rFonts w:hint="eastAsia" w:ascii="仿宋_GB2312" w:hAnsi="宋体" w:eastAsia="仿宋_GB2312"/>
          <w:kern w:val="0"/>
          <w:sz w:val="24"/>
        </w:rPr>
        <w:t>个工作日内将签字盖章的</w:t>
      </w:r>
      <w:r>
        <w:rPr>
          <w:rFonts w:hint="eastAsia" w:ascii="仿宋_GB2312" w:hAnsi="宋体" w:eastAsia="仿宋_GB2312"/>
          <w:color w:val="000000"/>
          <w:kern w:val="0"/>
          <w:sz w:val="24"/>
        </w:rPr>
        <w:t>《</w:t>
      </w:r>
      <w:r>
        <w:rPr>
          <w:rFonts w:hint="eastAsia" w:ascii="仿宋_GB2312" w:hAnsi="宋体" w:eastAsia="仿宋_GB2312"/>
          <w:color w:val="FF0000"/>
          <w:kern w:val="0"/>
          <w:sz w:val="24"/>
        </w:rPr>
        <w:t>电子竞价成交确认书</w:t>
      </w:r>
      <w:r>
        <w:rPr>
          <w:rFonts w:hint="eastAsia" w:ascii="仿宋_GB2312" w:hAnsi="宋体" w:eastAsia="仿宋_GB2312"/>
          <w:kern w:val="0"/>
          <w:sz w:val="24"/>
        </w:rPr>
        <w:t>》递送至内蒙古产权交易中心有限责任公司。</w:t>
      </w:r>
    </w:p>
    <w:p>
      <w:pPr>
        <w:spacing w:line="360" w:lineRule="auto"/>
        <w:ind w:firstLine="482" w:firstLineChars="200"/>
        <w:rPr>
          <w:rFonts w:hint="eastAsia" w:ascii="仿宋_GB2312" w:hAnsi="宋体" w:eastAsia="仿宋_GB2312"/>
          <w:b/>
          <w:color w:val="000000"/>
          <w:kern w:val="0"/>
          <w:sz w:val="24"/>
          <w:lang w:val="en"/>
        </w:rPr>
      </w:pPr>
      <w:r>
        <w:rPr>
          <w:rFonts w:hint="eastAsia" w:ascii="仿宋_GB2312" w:hAnsi="宋体" w:eastAsia="仿宋_GB2312"/>
          <w:b/>
          <w:bCs/>
          <w:sz w:val="24"/>
        </w:rPr>
        <w:t xml:space="preserve">第六条 </w:t>
      </w:r>
      <w:r>
        <w:rPr>
          <w:rFonts w:hint="eastAsia" w:ascii="仿宋_GB2312" w:hAnsi="宋体" w:eastAsia="仿宋_GB2312"/>
          <w:b/>
          <w:color w:val="000000"/>
          <w:kern w:val="0"/>
          <w:sz w:val="24"/>
          <w:lang w:val="en"/>
        </w:rPr>
        <w:t>报价注意事项</w:t>
      </w:r>
    </w:p>
    <w:p>
      <w:pPr>
        <w:spacing w:line="360" w:lineRule="auto"/>
        <w:ind w:firstLine="360" w:firstLineChars="150"/>
        <w:rPr>
          <w:rFonts w:hint="eastAsia" w:ascii="仿宋_GB2312" w:hAnsi="宋体" w:eastAsia="仿宋_GB2312"/>
          <w:bCs/>
          <w:sz w:val="24"/>
        </w:rPr>
      </w:pPr>
      <w:r>
        <w:rPr>
          <w:rStyle w:val="6"/>
          <w:rFonts w:hint="eastAsia" w:ascii="仿宋_GB2312" w:hAnsi="宋体" w:eastAsia="仿宋_GB2312"/>
          <w:b w:val="0"/>
          <w:bCs w:val="0"/>
          <w:sz w:val="24"/>
        </w:rPr>
        <w:t>（1）</w:t>
      </w:r>
      <w:r>
        <w:rPr>
          <w:rFonts w:hint="eastAsia" w:ascii="仿宋_GB2312" w:hAnsi="宋体" w:eastAsia="仿宋_GB2312"/>
          <w:bCs/>
          <w:sz w:val="24"/>
        </w:rPr>
        <w:t>意向受让方通过系统报价，报价指令未确认前可撤回或更改，经确认后，不得撤销。</w:t>
      </w:r>
    </w:p>
    <w:p>
      <w:pPr>
        <w:spacing w:line="360" w:lineRule="auto"/>
        <w:ind w:firstLine="360" w:firstLineChars="150"/>
        <w:rPr>
          <w:rFonts w:hint="eastAsia" w:ascii="仿宋_GB2312" w:hAnsi="宋体" w:eastAsia="仿宋_GB2312"/>
          <w:kern w:val="0"/>
          <w:sz w:val="24"/>
        </w:rPr>
      </w:pPr>
      <w:r>
        <w:rPr>
          <w:rFonts w:hint="eastAsia" w:ascii="仿宋_GB2312" w:eastAsia="仿宋_GB2312"/>
          <w:color w:val="000000"/>
          <w:sz w:val="24"/>
        </w:rPr>
        <w:t>（2）意向受让方报价为当前最高报价时，意向受让方仍可对标的进行报价。</w:t>
      </w:r>
    </w:p>
    <w:p>
      <w:pPr>
        <w:spacing w:line="360" w:lineRule="auto"/>
        <w:ind w:firstLine="360" w:firstLineChars="150"/>
        <w:rPr>
          <w:rFonts w:hint="eastAsia" w:ascii="仿宋_GB2312" w:hAnsi="宋体" w:eastAsia="仿宋_GB2312"/>
          <w:bCs/>
          <w:color w:val="FF0000"/>
          <w:sz w:val="24"/>
        </w:rPr>
      </w:pPr>
      <w:r>
        <w:rPr>
          <w:rStyle w:val="6"/>
          <w:rFonts w:hint="eastAsia" w:ascii="仿宋_GB2312" w:hAnsi="宋体" w:eastAsia="仿宋_GB2312"/>
          <w:b w:val="0"/>
          <w:bCs w:val="0"/>
          <w:sz w:val="24"/>
        </w:rPr>
        <w:t>（2）</w:t>
      </w:r>
      <w:r>
        <w:rPr>
          <w:rFonts w:hint="eastAsia" w:ascii="仿宋_GB2312" w:hAnsi="宋体" w:eastAsia="仿宋_GB2312"/>
          <w:bCs/>
          <w:color w:val="FF0000"/>
          <w:sz w:val="24"/>
        </w:rPr>
        <w:t>最高报价的结果以系统纪录数据为准。报价系统显示“本次报价结束”时，本次报价活动结束。</w:t>
      </w:r>
    </w:p>
    <w:p>
      <w:pPr>
        <w:spacing w:line="360" w:lineRule="auto"/>
        <w:ind w:firstLine="482" w:firstLineChars="200"/>
        <w:rPr>
          <w:rFonts w:hint="eastAsia" w:ascii="仿宋_GB2312" w:eastAsia="仿宋_GB2312"/>
          <w:b/>
          <w:color w:val="000000"/>
          <w:sz w:val="24"/>
        </w:rPr>
      </w:pPr>
      <w:r>
        <w:rPr>
          <w:rFonts w:hint="eastAsia" w:ascii="仿宋_GB2312" w:hAnsi="宋体" w:eastAsia="仿宋_GB2312"/>
          <w:b/>
          <w:kern w:val="0"/>
          <w:sz w:val="24"/>
        </w:rPr>
        <w:t xml:space="preserve">第七条 </w:t>
      </w:r>
      <w:r>
        <w:rPr>
          <w:rFonts w:hint="eastAsia" w:ascii="仿宋_GB2312" w:hAnsi="仿宋_GB2312" w:eastAsia="仿宋_GB2312"/>
          <w:b/>
          <w:color w:val="000000"/>
          <w:kern w:val="0"/>
          <w:sz w:val="24"/>
        </w:rPr>
        <w:t>内蒙古产权交易中心有限责任公司郑重提醒意向受让方</w:t>
      </w:r>
    </w:p>
    <w:p>
      <w:pPr>
        <w:spacing w:line="360" w:lineRule="auto"/>
        <w:ind w:firstLine="480" w:firstLineChars="200"/>
        <w:rPr>
          <w:rFonts w:hint="eastAsia" w:ascii="仿宋_GB2312" w:eastAsia="仿宋_GB2312"/>
          <w:color w:val="000000"/>
          <w:sz w:val="24"/>
        </w:rPr>
      </w:pPr>
      <w:r>
        <w:rPr>
          <w:rFonts w:hint="eastAsia" w:ascii="仿宋_GB2312" w:eastAsia="仿宋_GB2312"/>
          <w:color w:val="000000"/>
          <w:sz w:val="24"/>
        </w:rPr>
        <w:t>1、意向受让方对第四条第1款所述用户名安全负责，任何使用意向受让方用户名和密码登陆的用户，在报价系统的一切行为均视为该意向受让方本人的行为，由意向受让方负责，内蒙古产权交易中心有限责任公司不承担任何责任。</w:t>
      </w:r>
    </w:p>
    <w:p>
      <w:pPr>
        <w:spacing w:line="360" w:lineRule="auto"/>
        <w:ind w:firstLine="480" w:firstLineChars="200"/>
        <w:rPr>
          <w:rFonts w:hint="eastAsia" w:ascii="仿宋_GB2312" w:eastAsia="仿宋_GB2312"/>
          <w:color w:val="000000"/>
          <w:sz w:val="24"/>
        </w:rPr>
      </w:pPr>
      <w:r>
        <w:rPr>
          <w:rFonts w:hint="eastAsia" w:ascii="仿宋_GB2312" w:eastAsia="仿宋_GB2312"/>
          <w:color w:val="000000"/>
          <w:sz w:val="24"/>
        </w:rPr>
        <w:t>通过公共环境参与报价活动的意向受让方应注意帐号安全，离开终端时应及时退出报价系统。</w:t>
      </w:r>
    </w:p>
    <w:p>
      <w:pPr>
        <w:spacing w:line="360" w:lineRule="auto"/>
        <w:ind w:firstLine="480" w:firstLineChars="200"/>
        <w:rPr>
          <w:rFonts w:hint="eastAsia" w:ascii="仿宋_GB2312" w:hAnsi="仿宋_GB2312" w:eastAsia="仿宋_GB2312"/>
          <w:color w:val="000000"/>
          <w:kern w:val="0"/>
          <w:sz w:val="24"/>
        </w:rPr>
      </w:pPr>
      <w:r>
        <w:rPr>
          <w:rFonts w:hint="eastAsia" w:ascii="仿宋_GB2312" w:hAnsi="仿宋_GB2312" w:eastAsia="仿宋_GB2312" w:cs="宋体"/>
          <w:color w:val="000000"/>
          <w:kern w:val="0"/>
          <w:sz w:val="24"/>
        </w:rPr>
        <w:t>2、因意向受让方如下行为产生的一切后果，</w:t>
      </w:r>
      <w:r>
        <w:rPr>
          <w:rFonts w:hint="eastAsia" w:ascii="仿宋_GB2312" w:hAnsi="仿宋_GB2312" w:eastAsia="仿宋_GB2312"/>
          <w:color w:val="000000"/>
          <w:kern w:val="0"/>
          <w:sz w:val="24"/>
        </w:rPr>
        <w:t>内蒙古产权交易中心有限责任公司不承担任何责任：</w:t>
      </w:r>
    </w:p>
    <w:p>
      <w:pPr>
        <w:spacing w:line="360" w:lineRule="auto"/>
        <w:ind w:firstLine="360" w:firstLineChars="150"/>
        <w:rPr>
          <w:rFonts w:hint="eastAsia" w:ascii="仿宋_GB2312" w:eastAsia="仿宋_GB2312"/>
          <w:color w:val="000000"/>
          <w:sz w:val="24"/>
        </w:rPr>
      </w:pPr>
      <w:r>
        <w:rPr>
          <w:rFonts w:hint="eastAsia" w:ascii="仿宋_GB2312" w:eastAsia="仿宋_GB2312"/>
          <w:color w:val="000000"/>
          <w:sz w:val="24"/>
        </w:rPr>
        <w:t xml:space="preserve">（1）所填写的信息不真实、不准确、不完整或手机屏蔽接收短信而造成无法收到报价用户名及密码的； </w:t>
      </w:r>
    </w:p>
    <w:p>
      <w:pPr>
        <w:spacing w:line="360" w:lineRule="auto"/>
        <w:ind w:firstLine="360" w:firstLineChars="150"/>
        <w:rPr>
          <w:rFonts w:hint="eastAsia" w:ascii="仿宋_GB2312" w:hAnsi="仿宋_GB2312" w:eastAsia="仿宋_GB2312"/>
          <w:color w:val="000000"/>
          <w:kern w:val="0"/>
          <w:sz w:val="24"/>
        </w:rPr>
      </w:pPr>
      <w:r>
        <w:rPr>
          <w:rFonts w:hint="eastAsia" w:ascii="仿宋_GB2312" w:eastAsia="仿宋_GB2312"/>
          <w:color w:val="000000"/>
          <w:sz w:val="24"/>
        </w:rPr>
        <w:t>（2）报价活动的时间以系统时间为准，由于意向受让方自身终端设备时间与系统时间不符而导致未按时参与报价的;</w:t>
      </w:r>
    </w:p>
    <w:p>
      <w:pPr>
        <w:spacing w:line="360" w:lineRule="auto"/>
        <w:ind w:firstLine="360" w:firstLineChars="150"/>
        <w:rPr>
          <w:rFonts w:hint="eastAsia" w:ascii="仿宋_GB2312" w:eastAsia="仿宋_GB2312"/>
          <w:color w:val="000000"/>
          <w:sz w:val="24"/>
        </w:rPr>
      </w:pPr>
      <w:r>
        <w:rPr>
          <w:rFonts w:hint="eastAsia" w:ascii="仿宋_GB2312" w:eastAsia="仿宋_GB2312"/>
          <w:color w:val="000000"/>
          <w:sz w:val="24"/>
        </w:rPr>
        <w:t>（3）由于自身终端设备和网络异常等原因导致无法正常报价的；</w:t>
      </w:r>
    </w:p>
    <w:p>
      <w:pPr>
        <w:spacing w:line="360" w:lineRule="auto"/>
        <w:ind w:firstLine="360" w:firstLineChars="150"/>
        <w:rPr>
          <w:rFonts w:hint="eastAsia" w:ascii="仿宋_GB2312" w:hAnsi="仿宋_GB2312" w:eastAsia="仿宋_GB2312"/>
          <w:color w:val="000000"/>
          <w:kern w:val="0"/>
          <w:sz w:val="24"/>
        </w:rPr>
      </w:pPr>
      <w:r>
        <w:rPr>
          <w:rFonts w:hint="eastAsia" w:ascii="仿宋_GB2312" w:hAnsi="仿宋_GB2312" w:eastAsia="仿宋_GB2312"/>
          <w:color w:val="000000"/>
          <w:kern w:val="0"/>
          <w:sz w:val="24"/>
        </w:rPr>
        <w:t>（4）未及时关注内蒙古产权交易中心有限责任公司发布的相关报价活动信息的。</w:t>
      </w:r>
    </w:p>
    <w:p>
      <w:pPr>
        <w:spacing w:line="360" w:lineRule="auto"/>
        <w:ind w:firstLine="360" w:firstLineChars="150"/>
        <w:rPr>
          <w:rFonts w:hint="eastAsia" w:ascii="仿宋_GB2312" w:hAnsi="仿宋_GB2312" w:eastAsia="仿宋_GB2312"/>
          <w:color w:val="000000"/>
          <w:kern w:val="0"/>
          <w:sz w:val="24"/>
        </w:rPr>
      </w:pPr>
      <w:r>
        <w:rPr>
          <w:rFonts w:hint="eastAsia" w:ascii="仿宋_GB2312" w:hAnsi="仿宋_GB2312" w:eastAsia="仿宋_GB2312"/>
          <w:color w:val="000000"/>
          <w:kern w:val="0"/>
          <w:sz w:val="24"/>
        </w:rPr>
        <w:t>（5）竞价保证金交纳不及时的；</w:t>
      </w:r>
    </w:p>
    <w:p>
      <w:pPr>
        <w:spacing w:line="360" w:lineRule="auto"/>
        <w:ind w:firstLine="480" w:firstLineChars="200"/>
        <w:rPr>
          <w:rFonts w:hint="eastAsia" w:ascii="仿宋_GB2312" w:eastAsia="仿宋_GB2312"/>
          <w:color w:val="000000"/>
          <w:sz w:val="24"/>
        </w:rPr>
      </w:pPr>
      <w:r>
        <w:rPr>
          <w:rFonts w:hint="eastAsia" w:ascii="仿宋_GB2312" w:eastAsia="仿宋_GB2312"/>
          <w:color w:val="000000"/>
          <w:sz w:val="24"/>
        </w:rPr>
        <w:t>3、因不可抗力、软硬件故障、非法入侵、恶意攻击等原因而导致网站服务异常、报价活动中断的，内蒙古产权交易中心有限责任公司将重新组织转让活动，具体情况在内蒙古产权交易网予以公告。</w:t>
      </w:r>
    </w:p>
    <w:p>
      <w:pPr>
        <w:spacing w:line="360" w:lineRule="auto"/>
        <w:ind w:firstLine="480" w:firstLineChars="200"/>
        <w:rPr>
          <w:rFonts w:hint="eastAsia" w:ascii="仿宋_GB2312" w:eastAsia="仿宋_GB2312"/>
          <w:color w:val="000000"/>
          <w:sz w:val="24"/>
        </w:rPr>
      </w:pPr>
      <w:r>
        <w:rPr>
          <w:rFonts w:hint="eastAsia" w:ascii="仿宋_GB2312" w:eastAsia="仿宋_GB2312"/>
          <w:color w:val="000000"/>
          <w:sz w:val="24"/>
        </w:rPr>
        <w:t>4、鉴于互联网环境可能存在的时延等不可抗因素，意向受让方应尽量在自由报价期内充分出价，在延时报价期内及时出价。</w:t>
      </w:r>
    </w:p>
    <w:p>
      <w:pPr>
        <w:spacing w:line="360" w:lineRule="auto"/>
        <w:ind w:firstLine="482" w:firstLineChars="200"/>
        <w:rPr>
          <w:rFonts w:hint="eastAsia" w:ascii="仿宋_GB2312" w:hAnsi="宋体" w:eastAsia="仿宋_GB2312"/>
          <w:bCs/>
          <w:sz w:val="24"/>
        </w:rPr>
      </w:pPr>
      <w:r>
        <w:rPr>
          <w:rFonts w:hint="eastAsia" w:ascii="仿宋_GB2312" w:hAnsi="宋体" w:eastAsia="仿宋_GB2312"/>
          <w:b/>
          <w:kern w:val="0"/>
          <w:sz w:val="24"/>
        </w:rPr>
        <w:t xml:space="preserve">第八条 </w:t>
      </w:r>
      <w:r>
        <w:rPr>
          <w:rFonts w:hint="eastAsia" w:ascii="仿宋_GB2312" w:hAnsi="宋体" w:eastAsia="仿宋_GB2312"/>
          <w:sz w:val="24"/>
        </w:rPr>
        <w:t>本须知</w:t>
      </w:r>
      <w:r>
        <w:rPr>
          <w:rFonts w:hint="eastAsia" w:ascii="仿宋_GB2312" w:hAnsi="宋体" w:eastAsia="仿宋_GB2312"/>
          <w:bCs/>
          <w:sz w:val="24"/>
        </w:rPr>
        <w:t>解释权属于内蒙古产权交易中心有限责任公司。</w:t>
      </w:r>
    </w:p>
    <w:p>
      <w:pPr>
        <w:spacing w:line="360" w:lineRule="auto"/>
        <w:ind w:firstLine="480" w:firstLineChars="200"/>
        <w:rPr>
          <w:rFonts w:hint="eastAsia" w:ascii="仿宋_GB2312" w:hAnsi="宋体" w:eastAsia="仿宋_GB2312"/>
          <w:bCs/>
          <w:color w:val="000000"/>
          <w:kern w:val="0"/>
          <w:sz w:val="24"/>
          <w:lang w:val="en"/>
        </w:rPr>
      </w:pPr>
    </w:p>
    <w:p>
      <w:pPr>
        <w:spacing w:line="360" w:lineRule="auto"/>
        <w:jc w:val="right"/>
        <w:rPr>
          <w:rFonts w:hint="eastAsia" w:ascii="仿宋_GB2312" w:eastAsia="仿宋_GB2312"/>
          <w:sz w:val="24"/>
        </w:rPr>
      </w:pPr>
      <w:r>
        <w:rPr>
          <w:rFonts w:hint="eastAsia" w:ascii="仿宋_GB2312" w:eastAsia="仿宋_GB2312"/>
          <w:sz w:val="24"/>
        </w:rPr>
        <w:t>竞价组织方：内蒙古产权交易中心有限责任公司</w:t>
      </w:r>
    </w:p>
    <w:p>
      <w:pPr>
        <w:wordWrap w:val="0"/>
        <w:spacing w:line="360" w:lineRule="auto"/>
        <w:ind w:right="120"/>
        <w:jc w:val="center"/>
        <w:rPr>
          <w:rFonts w:hint="eastAsia" w:ascii="仿宋_GB2312" w:eastAsia="仿宋_GB2312"/>
          <w:sz w:val="24"/>
        </w:rPr>
      </w:pPr>
      <w:r>
        <w:rPr>
          <w:rFonts w:hint="eastAsia" w:ascii="仿宋_GB2312" w:eastAsia="仿宋_GB2312"/>
          <w:sz w:val="24"/>
        </w:rPr>
        <w:t xml:space="preserve">                           年   月   日</w:t>
      </w:r>
    </w:p>
    <w:p>
      <w:pPr>
        <w:spacing w:line="360" w:lineRule="auto"/>
        <w:jc w:val="right"/>
        <w:rPr>
          <w:rFonts w:hint="eastAsia" w:ascii="仿宋_GB2312" w:eastAsia="仿宋_GB2312"/>
          <w:sz w:val="24"/>
        </w:rPr>
      </w:pPr>
    </w:p>
    <w:p>
      <w:pPr>
        <w:spacing w:line="360" w:lineRule="auto"/>
        <w:ind w:firstLine="480" w:firstLineChars="200"/>
        <w:rPr>
          <w:rFonts w:hint="eastAsia" w:ascii="仿宋_GB2312" w:eastAsia="仿宋_GB2312"/>
          <w:sz w:val="24"/>
        </w:rPr>
      </w:pPr>
      <w:r>
        <w:rPr>
          <w:rFonts w:hint="eastAsia" w:ascii="仿宋_GB2312" w:eastAsia="仿宋_GB2312"/>
          <w:sz w:val="24"/>
        </w:rPr>
        <w:t>意向受让方已仔细阅读此竞价须知并同意其中的各项条款和要求。</w:t>
      </w:r>
    </w:p>
    <w:p>
      <w:pPr>
        <w:spacing w:line="360" w:lineRule="auto"/>
        <w:ind w:firstLine="480" w:firstLineChars="200"/>
        <w:rPr>
          <w:rFonts w:hint="eastAsia" w:ascii="仿宋_GB2312" w:eastAsia="仿宋_GB2312"/>
          <w:sz w:val="24"/>
        </w:rPr>
      </w:pPr>
    </w:p>
    <w:p>
      <w:pPr>
        <w:spacing w:line="360" w:lineRule="auto"/>
        <w:ind w:firstLine="480" w:firstLineChars="200"/>
        <w:rPr>
          <w:rFonts w:hint="eastAsia" w:ascii="仿宋_GB2312" w:eastAsia="仿宋_GB2312"/>
          <w:sz w:val="24"/>
        </w:rPr>
      </w:pPr>
      <w:r>
        <w:rPr>
          <w:rFonts w:hint="eastAsia" w:ascii="仿宋_GB2312" w:eastAsia="仿宋_GB2312"/>
          <w:sz w:val="24"/>
        </w:rPr>
        <w:t>意向受让方签字（盖章）：</w:t>
      </w:r>
      <w:r>
        <w:rPr>
          <w:rFonts w:hint="eastAsia" w:ascii="仿宋_GB2312" w:eastAsia="仿宋_GB2312"/>
          <w:sz w:val="24"/>
          <w:u w:val="single"/>
        </w:rPr>
        <w:t xml:space="preserve">　　　　　　　　  </w:t>
      </w:r>
      <w:r>
        <w:rPr>
          <w:rFonts w:hint="eastAsia" w:ascii="仿宋_GB2312" w:eastAsia="仿宋_GB2312"/>
          <w:sz w:val="24"/>
        </w:rPr>
        <w:t xml:space="preserve">     联系电话：</w:t>
      </w:r>
      <w:r>
        <w:rPr>
          <w:rFonts w:hint="eastAsia" w:ascii="仿宋_GB2312" w:eastAsia="仿宋_GB2312"/>
          <w:sz w:val="24"/>
          <w:u w:val="single"/>
        </w:rPr>
        <w:t>　　　　　　　</w:t>
      </w:r>
    </w:p>
    <w:p/>
    <w:sectPr>
      <w:headerReference r:id="rId3" w:type="default"/>
      <w:pgSz w:w="11906" w:h="16838"/>
      <w:pgMar w:top="1531" w:right="1758" w:bottom="1531" w:left="175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1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1"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宋体-18030">
    <w:altName w:val="宋体"/>
    <w:panose1 w:val="00000000000000000000"/>
    <w:charset w:val="86"/>
    <w:family w:val="modern"/>
    <w:pitch w:val="default"/>
    <w:sig w:usb0="800022A7" w:usb1="880F3C78" w:usb2="0000005E"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F0C"/>
    <w:rsid w:val="00027476"/>
    <w:rsid w:val="00032220"/>
    <w:rsid w:val="00093D29"/>
    <w:rsid w:val="000E06CC"/>
    <w:rsid w:val="000F29C9"/>
    <w:rsid w:val="00102F0C"/>
    <w:rsid w:val="0010466F"/>
    <w:rsid w:val="0011320B"/>
    <w:rsid w:val="00154CD3"/>
    <w:rsid w:val="001E0352"/>
    <w:rsid w:val="001E782D"/>
    <w:rsid w:val="001F389B"/>
    <w:rsid w:val="00206FE0"/>
    <w:rsid w:val="00216DD0"/>
    <w:rsid w:val="002403DF"/>
    <w:rsid w:val="00263706"/>
    <w:rsid w:val="00280CC9"/>
    <w:rsid w:val="00287FC2"/>
    <w:rsid w:val="002A0D1C"/>
    <w:rsid w:val="002B3343"/>
    <w:rsid w:val="002B65D7"/>
    <w:rsid w:val="002D16F1"/>
    <w:rsid w:val="002F0430"/>
    <w:rsid w:val="00345374"/>
    <w:rsid w:val="003C3183"/>
    <w:rsid w:val="003E00C0"/>
    <w:rsid w:val="003E0937"/>
    <w:rsid w:val="00400016"/>
    <w:rsid w:val="004075EB"/>
    <w:rsid w:val="004118ED"/>
    <w:rsid w:val="00420598"/>
    <w:rsid w:val="00432B0F"/>
    <w:rsid w:val="004B11E3"/>
    <w:rsid w:val="00517646"/>
    <w:rsid w:val="005407B1"/>
    <w:rsid w:val="005604AE"/>
    <w:rsid w:val="00572640"/>
    <w:rsid w:val="005A2CCE"/>
    <w:rsid w:val="005B05D8"/>
    <w:rsid w:val="005B1602"/>
    <w:rsid w:val="005E3664"/>
    <w:rsid w:val="00645FE1"/>
    <w:rsid w:val="00655DE2"/>
    <w:rsid w:val="00680BC0"/>
    <w:rsid w:val="00682910"/>
    <w:rsid w:val="00707D9C"/>
    <w:rsid w:val="00797EF5"/>
    <w:rsid w:val="007C177A"/>
    <w:rsid w:val="007D55DA"/>
    <w:rsid w:val="008064FD"/>
    <w:rsid w:val="00806884"/>
    <w:rsid w:val="00815927"/>
    <w:rsid w:val="00845108"/>
    <w:rsid w:val="008959E2"/>
    <w:rsid w:val="008D23DB"/>
    <w:rsid w:val="008D3B19"/>
    <w:rsid w:val="008E44A5"/>
    <w:rsid w:val="008F3FB1"/>
    <w:rsid w:val="00910A9E"/>
    <w:rsid w:val="00943F98"/>
    <w:rsid w:val="009440F2"/>
    <w:rsid w:val="009E113F"/>
    <w:rsid w:val="009E4D12"/>
    <w:rsid w:val="009F7AE5"/>
    <w:rsid w:val="00A036F5"/>
    <w:rsid w:val="00A06D8A"/>
    <w:rsid w:val="00A23816"/>
    <w:rsid w:val="00A40AA8"/>
    <w:rsid w:val="00A62A92"/>
    <w:rsid w:val="00A84ACC"/>
    <w:rsid w:val="00AB0140"/>
    <w:rsid w:val="00AC2DDC"/>
    <w:rsid w:val="00AC3F7B"/>
    <w:rsid w:val="00AD5221"/>
    <w:rsid w:val="00B15F55"/>
    <w:rsid w:val="00B30794"/>
    <w:rsid w:val="00B6649E"/>
    <w:rsid w:val="00B966BE"/>
    <w:rsid w:val="00BA1662"/>
    <w:rsid w:val="00C04D6A"/>
    <w:rsid w:val="00C36001"/>
    <w:rsid w:val="00C451A0"/>
    <w:rsid w:val="00C7019B"/>
    <w:rsid w:val="00C729CD"/>
    <w:rsid w:val="00CA5E7E"/>
    <w:rsid w:val="00CC623B"/>
    <w:rsid w:val="00CE3356"/>
    <w:rsid w:val="00CE555C"/>
    <w:rsid w:val="00D3351C"/>
    <w:rsid w:val="00D64783"/>
    <w:rsid w:val="00D67A1D"/>
    <w:rsid w:val="00D70D03"/>
    <w:rsid w:val="00D95B67"/>
    <w:rsid w:val="00DB4712"/>
    <w:rsid w:val="00DB7344"/>
    <w:rsid w:val="00DC0CF9"/>
    <w:rsid w:val="00DC4887"/>
    <w:rsid w:val="00E9223E"/>
    <w:rsid w:val="00EC422F"/>
    <w:rsid w:val="00EE076F"/>
    <w:rsid w:val="00EF338D"/>
    <w:rsid w:val="00F44ECD"/>
    <w:rsid w:val="00F93F7D"/>
    <w:rsid w:val="00FA5D3A"/>
    <w:rsid w:val="00FA7DDF"/>
    <w:rsid w:val="00FB62DF"/>
    <w:rsid w:val="00FF47DC"/>
    <w:rsid w:val="079D1857"/>
    <w:rsid w:val="07D22B9F"/>
    <w:rsid w:val="0B8F0775"/>
    <w:rsid w:val="0E850DA5"/>
    <w:rsid w:val="20F528A9"/>
    <w:rsid w:val="2A481D94"/>
    <w:rsid w:val="30A04647"/>
    <w:rsid w:val="566637A0"/>
    <w:rsid w:val="70103AAE"/>
    <w:rsid w:val="767941E6"/>
    <w:rsid w:val="786774DC"/>
  </w:rsid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5">
    <w:name w:val="Default Paragraph Font"/>
    <w:semiHidden/>
    <w:uiPriority w:val="0"/>
  </w:style>
  <w:style w:type="table" w:default="1" w:styleId="9">
    <w:name w:val="Normal Table"/>
    <w:semiHidden/>
    <w:uiPriority w:val="0"/>
    <w:tblPr>
      <w:tblStyle w:val="9"/>
      <w:tblLayout w:type="fixed"/>
      <w:tblCellMar>
        <w:top w:w="0" w:type="dxa"/>
        <w:left w:w="108" w:type="dxa"/>
        <w:bottom w:w="0" w:type="dxa"/>
        <w:right w:w="108" w:type="dxa"/>
      </w:tblCellMar>
    </w:tblPr>
    <w:tcPr>
      <w:textDirection w:val="lrTb"/>
    </w:tcPr>
  </w:style>
  <w:style w:type="paragraph" w:styleId="2">
    <w:name w:val="Balloon Text"/>
    <w:basedOn w:val="1"/>
    <w:link w:val="12"/>
    <w:uiPriority w:val="0"/>
    <w:rPr>
      <w:sz w:val="18"/>
      <w:szCs w:val="18"/>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styleId="7">
    <w:name w:val="FollowedHyperlink"/>
    <w:basedOn w:val="5"/>
    <w:uiPriority w:val="0"/>
    <w:rPr>
      <w:color w:val="800080"/>
      <w:u w:val="none"/>
    </w:rPr>
  </w:style>
  <w:style w:type="character" w:styleId="8">
    <w:name w:val="Hyperlink"/>
    <w:basedOn w:val="5"/>
    <w:uiPriority w:val="0"/>
    <w:rPr>
      <w:color w:val="0000FF"/>
      <w:u w:val="none"/>
    </w:rPr>
  </w:style>
  <w:style w:type="paragraph" w:customStyle="1" w:styleId="10">
    <w:name w:val=" Char Char 字元 字元"/>
    <w:basedOn w:val="1"/>
    <w:uiPriority w:val="0"/>
    <w:pPr>
      <w:widowControl/>
      <w:spacing w:after="160" w:line="240" w:lineRule="exact"/>
      <w:jc w:val="left"/>
    </w:pPr>
    <w:rPr>
      <w:rFonts w:ascii="Verdana" w:hAnsi="Verdana"/>
      <w:kern w:val="0"/>
      <w:sz w:val="20"/>
      <w:szCs w:val="20"/>
      <w:lang w:eastAsia="en-US"/>
    </w:rPr>
  </w:style>
  <w:style w:type="paragraph" w:customStyle="1" w:styleId="11">
    <w:name w:val="Char Char 字元 字元"/>
    <w:basedOn w:val="1"/>
    <w:uiPriority w:val="0"/>
    <w:pPr>
      <w:widowControl/>
      <w:spacing w:after="160" w:line="240" w:lineRule="exact"/>
      <w:jc w:val="left"/>
    </w:pPr>
    <w:rPr>
      <w:rFonts w:ascii="Verdana" w:hAnsi="Verdana"/>
      <w:kern w:val="0"/>
      <w:sz w:val="20"/>
      <w:szCs w:val="20"/>
      <w:lang w:eastAsia="en-US"/>
    </w:rPr>
  </w:style>
  <w:style w:type="character" w:customStyle="1" w:styleId="12">
    <w:name w:val="批注框文本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4</Pages>
  <Words>351</Words>
  <Characters>2007</Characters>
  <Lines>16</Lines>
  <Paragraphs>4</Paragraphs>
  <ScaleCrop>false</ScaleCrop>
  <LinksUpToDate>false</LinksUpToDate>
  <CharactersWithSpaces>2354</CharactersWithSpaces>
  <Application>WPS Office_10.1.0.5973_F1E327BC-269C-435d-A152-05C5408002CA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2016-09-19T05:22:00Z</dcterms:created>
  <dc:creator>Lenovo User</dc:creator>
  <cp:lastModifiedBy>lenovo</cp:lastModifiedBy>
  <dcterms:modified xsi:type="dcterms:W3CDTF">2016-09-27T02:51:29Z</dcterms:modified>
  <dc:title>项目网络动态报价须知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