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bidi w:val="0"/>
        <w:adjustRightInd/>
        <w:spacing w:line="560" w:lineRule="exact"/>
        <w:ind w:right="64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项目编号：BBWCQJY</w:t>
      </w:r>
      <w:r>
        <w:rPr>
          <w:rFonts w:hint="eastAsia" w:ascii="仿宋_GB2312" w:hAnsi="仿宋_GB2312" w:eastAsia="仿宋_GB2312" w:cs="仿宋_GB2312"/>
          <w:sz w:val="28"/>
          <w:szCs w:val="28"/>
          <w:lang w:val="en-US" w:eastAsia="zh-CN"/>
        </w:rPr>
        <w:t>16</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288-</w:t>
      </w: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jc w:val="center"/>
        <w:rPr>
          <w:rFonts w:hint="eastAsia" w:ascii="仿宋_GB2312" w:hAnsi="仿宋_GB2312" w:eastAsia="仿宋_GB2312" w:cs="仿宋_GB2312"/>
          <w:b/>
          <w:sz w:val="28"/>
          <w:szCs w:val="28"/>
          <w:u w:val="singl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广西有色金属集团有限公司</w:t>
      </w:r>
      <w:r>
        <w:rPr>
          <w:rFonts w:hint="eastAsia" w:asciiTheme="majorEastAsia" w:hAnsiTheme="majorEastAsia" w:eastAsiaTheme="majorEastAsia" w:cstheme="majorEastAsia"/>
          <w:b/>
          <w:sz w:val="44"/>
          <w:szCs w:val="44"/>
          <w:lang w:val="en-US" w:eastAsia="zh-CN"/>
        </w:rPr>
        <w:t>所有的</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一批潜污泵、无缝钢管等多项设备整体转让</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交 易 合 同</w:t>
      </w:r>
    </w:p>
    <w:p>
      <w:pPr>
        <w:keepNext w:val="0"/>
        <w:keepLines w:val="0"/>
        <w:pageBreakBefore w:val="0"/>
        <w:kinsoku/>
        <w:wordWrap/>
        <w:overflowPunct/>
        <w:topLinePunct w:val="0"/>
        <w:autoSpaceDE/>
        <w:bidi w:val="0"/>
        <w:adjustRightInd/>
        <w:spacing w:line="560" w:lineRule="exact"/>
        <w:jc w:val="center"/>
        <w:rPr>
          <w:rFonts w:hint="eastAsia" w:ascii="仿宋_GB2312" w:hAnsi="仿宋_GB2312" w:eastAsia="仿宋_GB2312" w:cs="仿宋_GB2312"/>
          <w:b/>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jc w:val="center"/>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rPr>
        <w:sectPr>
          <w:footerReference r:id="rId3" w:type="default"/>
          <w:footerReference r:id="rId4" w:type="even"/>
          <w:pgSz w:w="11906" w:h="16838"/>
          <w:pgMar w:top="1440" w:right="1800" w:bottom="1440" w:left="1800" w:header="851" w:footer="992" w:gutter="0"/>
          <w:cols w:space="720" w:num="1"/>
          <w:docGrid w:type="lines" w:linePitch="312" w:charSpace="0"/>
        </w:sectPr>
      </w:pPr>
    </w:p>
    <w:p>
      <w:pPr>
        <w:keepNext w:val="0"/>
        <w:keepLines w:val="0"/>
        <w:pageBreakBefore w:val="0"/>
        <w:kinsoku/>
        <w:wordWrap/>
        <w:overflowPunct/>
        <w:topLinePunct w:val="0"/>
        <w:autoSpaceDE/>
        <w:bidi w:val="0"/>
        <w:adjustRightInd/>
        <w:snapToGrid w:val="0"/>
        <w:spacing w:before="157" w:beforeLines="50" w:afterLines="0" w:line="560" w:lineRule="exact"/>
        <w:ind w:firstLine="562" w:firstLineChars="200"/>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双方当事人</w:t>
      </w:r>
    </w:p>
    <w:p>
      <w:pPr>
        <w:spacing w:beforeLines="0" w:afterLines="0" w:line="560" w:lineRule="exact"/>
        <w:ind w:firstLine="420"/>
        <w:rPr>
          <w:rFonts w:hint="eastAsia" w:ascii="仿宋" w:hAnsi="仿宋" w:eastAsia="仿宋" w:cs="仿宋"/>
          <w:b/>
          <w:sz w:val="28"/>
          <w:szCs w:val="28"/>
          <w:u w:val="single"/>
        </w:rPr>
      </w:pPr>
      <w:r>
        <w:rPr>
          <w:rFonts w:hint="eastAsia" w:ascii="仿宋" w:hAnsi="仿宋" w:eastAsia="仿宋" w:cs="仿宋"/>
          <w:b/>
          <w:sz w:val="28"/>
          <w:szCs w:val="28"/>
        </w:rPr>
        <w:t>转让方（以下简称甲方）：</w:t>
      </w:r>
      <w:r>
        <w:rPr>
          <w:rFonts w:hint="eastAsia" w:ascii="仿宋" w:hAnsi="仿宋" w:eastAsia="仿宋" w:cs="仿宋"/>
          <w:b/>
          <w:sz w:val="28"/>
          <w:szCs w:val="28"/>
          <w:u w:val="single"/>
        </w:rPr>
        <w:t>广西有色金属集团有限公司</w:t>
      </w:r>
    </w:p>
    <w:p>
      <w:pPr>
        <w:spacing w:beforeLines="0" w:afterLines="0" w:line="560" w:lineRule="exact"/>
        <w:ind w:firstLine="420"/>
        <w:rPr>
          <w:rFonts w:hint="eastAsia" w:ascii="仿宋" w:hAnsi="仿宋" w:eastAsia="仿宋" w:cs="仿宋"/>
          <w:b w:val="0"/>
          <w:bCs/>
          <w:sz w:val="28"/>
          <w:szCs w:val="28"/>
          <w:u w:val="none"/>
          <w:lang w:val="en-US" w:eastAsia="zh-CN"/>
        </w:rPr>
      </w:pPr>
      <w:r>
        <w:rPr>
          <w:rFonts w:hint="eastAsia" w:ascii="仿宋" w:hAnsi="仿宋" w:eastAsia="仿宋" w:cs="仿宋"/>
          <w:b w:val="0"/>
          <w:bCs/>
          <w:sz w:val="28"/>
          <w:szCs w:val="28"/>
          <w:u w:val="none"/>
          <w:lang w:val="en-US" w:eastAsia="zh-CN"/>
        </w:rPr>
        <w:t>代表人：广西有色金属集团有限公司管理人</w:t>
      </w:r>
    </w:p>
    <w:p>
      <w:pPr>
        <w:spacing w:beforeLines="0" w:afterLines="0" w:line="560" w:lineRule="exact"/>
        <w:ind w:firstLine="420"/>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注册地址/住所：南宁市青秀区金浦路22号名都大厦九层</w:t>
      </w:r>
    </w:p>
    <w:p>
      <w:pPr>
        <w:spacing w:beforeLines="0" w:afterLines="0" w:line="560" w:lineRule="exact"/>
        <w:ind w:firstLine="420"/>
        <w:rPr>
          <w:rFonts w:hint="eastAsia" w:ascii="仿宋" w:hAnsi="仿宋" w:eastAsia="仿宋" w:cs="仿宋"/>
          <w:b w:val="0"/>
          <w:bCs w:val="0"/>
          <w:sz w:val="28"/>
          <w:szCs w:val="28"/>
          <w:u w:val="none"/>
          <w:lang w:val="en-US" w:eastAsia="zh-CN"/>
        </w:rPr>
      </w:pPr>
      <w:r>
        <w:rPr>
          <w:rFonts w:hint="eastAsia" w:ascii="仿宋" w:hAnsi="仿宋" w:eastAsia="仿宋" w:cs="仿宋"/>
          <w:b w:val="0"/>
          <w:bCs w:val="0"/>
          <w:sz w:val="28"/>
          <w:szCs w:val="28"/>
          <w:u w:val="none"/>
          <w:lang w:val="en-US" w:eastAsia="zh-CN"/>
        </w:rPr>
        <w:t>代表人：</w:t>
      </w:r>
      <w:r>
        <w:rPr>
          <w:rFonts w:hint="eastAsia" w:ascii="仿宋" w:hAnsi="仿宋" w:eastAsia="仿宋" w:cs="仿宋"/>
          <w:b w:val="0"/>
          <w:bCs w:val="0"/>
          <w:sz w:val="28"/>
          <w:szCs w:val="28"/>
          <w:u w:val="none"/>
        </w:rPr>
        <w:t>广西有色金属集团有限公司</w:t>
      </w:r>
      <w:r>
        <w:rPr>
          <w:rFonts w:hint="eastAsia" w:ascii="仿宋" w:hAnsi="仿宋" w:eastAsia="仿宋" w:cs="仿宋"/>
          <w:b w:val="0"/>
          <w:bCs w:val="0"/>
          <w:sz w:val="28"/>
          <w:szCs w:val="28"/>
          <w:u w:val="none"/>
          <w:lang w:val="en-US" w:eastAsia="zh-CN"/>
        </w:rPr>
        <w:t>管理人</w:t>
      </w:r>
    </w:p>
    <w:p>
      <w:pPr>
        <w:spacing w:beforeLines="0" w:afterLines="0" w:line="560" w:lineRule="exact"/>
        <w:ind w:firstLine="420"/>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负责人：王晓华</w:t>
      </w:r>
      <w:r>
        <w:rPr>
          <w:rFonts w:hint="eastAsia" w:ascii="仿宋" w:hAnsi="仿宋" w:eastAsia="仿宋" w:cs="仿宋"/>
          <w:b w:val="0"/>
          <w:bCs w:val="0"/>
          <w:sz w:val="28"/>
          <w:szCs w:val="28"/>
          <w:u w:val="none"/>
          <w:lang w:val="en-US" w:eastAsia="zh-CN"/>
        </w:rPr>
        <w:t xml:space="preserve">                   职务：管理人组长</w:t>
      </w:r>
    </w:p>
    <w:p>
      <w:pPr>
        <w:spacing w:beforeLines="0" w:afterLines="0" w:line="560" w:lineRule="exact"/>
        <w:ind w:firstLine="420"/>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电话：</w:t>
      </w:r>
      <w:r>
        <w:rPr>
          <w:rFonts w:hint="eastAsia" w:ascii="仿宋" w:hAnsi="仿宋" w:eastAsia="仿宋" w:cs="仿宋"/>
          <w:b w:val="0"/>
          <w:bCs w:val="0"/>
          <w:sz w:val="28"/>
          <w:szCs w:val="28"/>
          <w:u w:val="none"/>
          <w:lang w:val="en-US" w:eastAsia="zh-CN"/>
        </w:rPr>
        <w:t>13877143176</w:t>
      </w:r>
      <w:r>
        <w:rPr>
          <w:rFonts w:hint="eastAsia" w:ascii="仿宋" w:hAnsi="仿宋" w:eastAsia="仿宋" w:cs="仿宋"/>
          <w:b w:val="0"/>
          <w:bCs w:val="0"/>
          <w:sz w:val="28"/>
          <w:szCs w:val="28"/>
          <w:u w:val="none"/>
        </w:rPr>
        <w:t xml:space="preserve">                </w:t>
      </w:r>
      <w:r>
        <w:rPr>
          <w:rFonts w:hint="eastAsia" w:ascii="仿宋" w:hAnsi="仿宋" w:eastAsia="仿宋" w:cs="仿宋"/>
          <w:b w:val="0"/>
          <w:bCs w:val="0"/>
          <w:sz w:val="28"/>
          <w:szCs w:val="28"/>
          <w:u w:val="none"/>
          <w:lang w:val="en-US" w:eastAsia="zh-CN"/>
        </w:rPr>
        <w:t>邮箱：gxnfadmin@163.com</w:t>
      </w:r>
      <w:r>
        <w:rPr>
          <w:rFonts w:hint="eastAsia" w:ascii="仿宋" w:hAnsi="仿宋" w:eastAsia="仿宋" w:cs="仿宋"/>
          <w:b w:val="0"/>
          <w:bCs w:val="0"/>
          <w:sz w:val="28"/>
          <w:szCs w:val="28"/>
          <w:u w:val="none"/>
        </w:rPr>
        <w:t>：</w:t>
      </w:r>
    </w:p>
    <w:p>
      <w:pPr>
        <w:spacing w:beforeLines="0" w:afterLines="0" w:line="560" w:lineRule="exact"/>
        <w:rPr>
          <w:rFonts w:hint="eastAsia" w:ascii="仿宋" w:hAnsi="仿宋" w:eastAsia="仿宋" w:cs="仿宋"/>
          <w:b w:val="0"/>
          <w:bCs w:val="0"/>
          <w:sz w:val="28"/>
          <w:szCs w:val="28"/>
        </w:rPr>
      </w:pPr>
    </w:p>
    <w:p>
      <w:pPr>
        <w:spacing w:beforeLines="0" w:afterLines="0" w:line="560" w:lineRule="exact"/>
        <w:ind w:firstLine="420"/>
        <w:rPr>
          <w:rFonts w:hint="eastAsia" w:ascii="仿宋" w:hAnsi="仿宋" w:eastAsia="仿宋" w:cs="仿宋"/>
          <w:b/>
          <w:sz w:val="28"/>
          <w:szCs w:val="28"/>
        </w:rPr>
      </w:pPr>
      <w:r>
        <w:rPr>
          <w:rFonts w:hint="eastAsia" w:ascii="仿宋" w:hAnsi="仿宋" w:eastAsia="仿宋" w:cs="仿宋"/>
          <w:b/>
          <w:sz w:val="28"/>
          <w:szCs w:val="28"/>
        </w:rPr>
        <w:t>受让方（以下简称乙方）：</w:t>
      </w:r>
      <w:r>
        <w:rPr>
          <w:rFonts w:hint="eastAsia" w:ascii="仿宋" w:hAnsi="仿宋" w:eastAsia="仿宋" w:cs="仿宋"/>
          <w:b/>
          <w:sz w:val="28"/>
          <w:szCs w:val="28"/>
          <w:u w:val="single"/>
          <w:lang w:val="en-US" w:eastAsia="zh-CN"/>
        </w:rPr>
        <w:t xml:space="preserve">                                  </w:t>
      </w:r>
    </w:p>
    <w:p>
      <w:pPr>
        <w:spacing w:beforeLines="0" w:afterLines="0" w:line="560" w:lineRule="exact"/>
        <w:ind w:left="2520" w:leftChars="200" w:hanging="2100"/>
        <w:rPr>
          <w:rFonts w:hint="eastAsia" w:ascii="仿宋" w:hAnsi="仿宋" w:eastAsia="仿宋" w:cs="仿宋"/>
          <w:sz w:val="28"/>
          <w:szCs w:val="28"/>
          <w:u w:val="single"/>
        </w:rPr>
      </w:pPr>
      <w:r>
        <w:rPr>
          <w:rFonts w:hint="eastAsia" w:ascii="仿宋" w:hAnsi="仿宋" w:eastAsia="仿宋" w:cs="仿宋"/>
          <w:sz w:val="28"/>
          <w:szCs w:val="28"/>
        </w:rPr>
        <w:t>注册地址/住所：</w:t>
      </w:r>
      <w:r>
        <w:rPr>
          <w:rFonts w:hint="eastAsia" w:ascii="仿宋" w:hAnsi="仿宋" w:eastAsia="仿宋" w:cs="仿宋"/>
          <w:sz w:val="28"/>
          <w:szCs w:val="28"/>
          <w:u w:val="single"/>
          <w:lang w:val="en-US" w:eastAsia="zh-CN"/>
        </w:rPr>
        <w:t xml:space="preserve">                                          </w:t>
      </w:r>
    </w:p>
    <w:p>
      <w:pPr>
        <w:spacing w:beforeLines="0" w:afterLines="0" w:line="560" w:lineRule="exact"/>
        <w:ind w:firstLine="420"/>
        <w:rPr>
          <w:rFonts w:hint="eastAsia" w:ascii="仿宋" w:hAnsi="仿宋" w:eastAsia="仿宋" w:cs="仿宋"/>
          <w:sz w:val="28"/>
          <w:szCs w:val="28"/>
          <w:u w:val="single"/>
          <w:lang w:val="en-US" w:eastAsia="zh-CN"/>
        </w:rPr>
      </w:pPr>
      <w:r>
        <w:rPr>
          <w:rFonts w:hint="eastAsia" w:ascii="仿宋" w:hAnsi="仿宋" w:eastAsia="仿宋" w:cs="仿宋"/>
          <w:sz w:val="28"/>
          <w:szCs w:val="28"/>
        </w:rPr>
        <w:t>法定代表人：</w:t>
      </w:r>
      <w:r>
        <w:rPr>
          <w:rFonts w:hint="eastAsia" w:ascii="仿宋" w:hAnsi="仿宋" w:eastAsia="仿宋" w:cs="仿宋"/>
          <w:sz w:val="28"/>
          <w:szCs w:val="28"/>
          <w:u w:val="single"/>
          <w:lang w:val="en-US" w:eastAsia="zh-CN"/>
        </w:rPr>
        <w:t xml:space="preserve">                                             </w:t>
      </w:r>
    </w:p>
    <w:p>
      <w:pPr>
        <w:spacing w:beforeLines="0" w:afterLines="0" w:line="560" w:lineRule="exact"/>
        <w:ind w:firstLine="420"/>
        <w:rPr>
          <w:rFonts w:hint="eastAsia" w:ascii="仿宋" w:hAnsi="仿宋" w:eastAsia="仿宋" w:cs="仿宋"/>
          <w:sz w:val="28"/>
          <w:szCs w:val="28"/>
          <w:u w:val="none"/>
        </w:rPr>
      </w:pPr>
      <w:r>
        <w:rPr>
          <w:rFonts w:hint="eastAsia" w:ascii="仿宋" w:hAnsi="仿宋" w:eastAsia="仿宋" w:cs="仿宋"/>
          <w:sz w:val="28"/>
          <w:szCs w:val="28"/>
          <w:u w:val="none"/>
          <w:lang w:val="en-US" w:eastAsia="zh-CN"/>
        </w:rPr>
        <w:t>委托代理人：</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rPr>
        <w:t xml:space="preserve">                            </w:t>
      </w:r>
    </w:p>
    <w:p>
      <w:pPr>
        <w:spacing w:beforeLines="0" w:afterLines="0" w:line="560" w:lineRule="exact"/>
        <w:ind w:firstLine="420"/>
        <w:rPr>
          <w:rFonts w:hint="eastAsia" w:ascii="仿宋" w:hAnsi="仿宋" w:eastAsia="仿宋" w:cs="仿宋"/>
          <w:sz w:val="28"/>
          <w:szCs w:val="28"/>
          <w:u w:val="single"/>
        </w:rPr>
      </w:pPr>
      <w:r>
        <w:rPr>
          <w:rFonts w:hint="eastAsia" w:ascii="仿宋" w:hAnsi="仿宋" w:eastAsia="仿宋" w:cs="仿宋"/>
          <w:sz w:val="28"/>
          <w:szCs w:val="28"/>
        </w:rPr>
        <w:t>电话：</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邮箱：</w:t>
      </w:r>
      <w:r>
        <w:rPr>
          <w:rFonts w:hint="eastAsia" w:ascii="仿宋" w:hAnsi="仿宋" w:eastAsia="仿宋" w:cs="仿宋"/>
          <w:sz w:val="28"/>
          <w:szCs w:val="28"/>
          <w:u w:val="single"/>
          <w:lang w:val="en-US" w:eastAsia="zh-CN"/>
        </w:rPr>
        <w:t xml:space="preserve">                </w:t>
      </w:r>
    </w:p>
    <w:p>
      <w:pPr>
        <w:spacing w:beforeLines="0" w:afterLines="0" w:line="560" w:lineRule="exact"/>
        <w:rPr>
          <w:rFonts w:hint="eastAsia" w:ascii="仿宋" w:hAnsi="仿宋" w:eastAsia="仿宋" w:cs="仿宋"/>
          <w:b/>
          <w:sz w:val="28"/>
          <w:szCs w:val="28"/>
        </w:rPr>
      </w:pPr>
    </w:p>
    <w:p>
      <w:pPr>
        <w:spacing w:beforeLines="0" w:afterLines="0" w:line="560" w:lineRule="exact"/>
        <w:ind w:firstLine="420"/>
        <w:rPr>
          <w:rFonts w:hint="eastAsia" w:ascii="仿宋" w:hAnsi="仿宋" w:eastAsia="仿宋" w:cs="仿宋"/>
          <w:b/>
          <w:sz w:val="28"/>
          <w:szCs w:val="28"/>
        </w:rPr>
      </w:pPr>
      <w:r>
        <w:rPr>
          <w:rFonts w:hint="eastAsia" w:ascii="仿宋" w:hAnsi="仿宋" w:eastAsia="仿宋" w:cs="仿宋"/>
          <w:b/>
          <w:sz w:val="28"/>
          <w:szCs w:val="28"/>
        </w:rPr>
        <w:t>鉴于：</w:t>
      </w:r>
    </w:p>
    <w:p>
      <w:pPr>
        <w:spacing w:beforeLines="0" w:afterLines="0" w:line="560" w:lineRule="exact"/>
        <w:ind w:firstLine="42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南宁市中级人民法院于</w:t>
      </w:r>
      <w:r>
        <w:rPr>
          <w:rFonts w:hint="eastAsia" w:ascii="仿宋" w:hAnsi="仿宋" w:eastAsia="仿宋" w:cs="仿宋"/>
          <w:sz w:val="28"/>
          <w:szCs w:val="28"/>
          <w:u w:val="single"/>
        </w:rPr>
        <w:t>2016</w:t>
      </w:r>
      <w:r>
        <w:rPr>
          <w:rFonts w:hint="eastAsia" w:ascii="仿宋" w:hAnsi="仿宋" w:eastAsia="仿宋" w:cs="仿宋"/>
          <w:sz w:val="28"/>
          <w:szCs w:val="28"/>
        </w:rPr>
        <w:t>年</w:t>
      </w:r>
      <w:r>
        <w:rPr>
          <w:rFonts w:hint="eastAsia" w:ascii="仿宋" w:hAnsi="仿宋" w:eastAsia="仿宋" w:cs="仿宋"/>
          <w:sz w:val="28"/>
          <w:szCs w:val="28"/>
          <w:u w:val="single"/>
        </w:rPr>
        <w:t>9</w:t>
      </w:r>
      <w:r>
        <w:rPr>
          <w:rFonts w:hint="eastAsia" w:ascii="仿宋" w:hAnsi="仿宋" w:eastAsia="仿宋" w:cs="仿宋"/>
          <w:sz w:val="28"/>
          <w:szCs w:val="28"/>
        </w:rPr>
        <w:t>月</w:t>
      </w:r>
      <w:r>
        <w:rPr>
          <w:rFonts w:hint="eastAsia" w:ascii="仿宋" w:hAnsi="仿宋" w:eastAsia="仿宋" w:cs="仿宋"/>
          <w:sz w:val="28"/>
          <w:szCs w:val="28"/>
          <w:u w:val="single"/>
        </w:rPr>
        <w:t>12</w:t>
      </w:r>
      <w:r>
        <w:rPr>
          <w:rFonts w:hint="eastAsia" w:ascii="仿宋" w:hAnsi="仿宋" w:eastAsia="仿宋" w:cs="仿宋"/>
          <w:sz w:val="28"/>
          <w:szCs w:val="28"/>
        </w:rPr>
        <w:t>日宣告广西有色金属集团有限公司破产，</w:t>
      </w:r>
      <w:r>
        <w:rPr>
          <w:rFonts w:hint="eastAsia" w:ascii="仿宋" w:hAnsi="仿宋" w:eastAsia="仿宋" w:cs="仿宋"/>
          <w:sz w:val="28"/>
          <w:szCs w:val="28"/>
          <w:lang w:val="en-US" w:eastAsia="zh-CN"/>
        </w:rPr>
        <w:t>并指定清算组为</w:t>
      </w:r>
      <w:r>
        <w:rPr>
          <w:rFonts w:hint="eastAsia" w:ascii="仿宋" w:hAnsi="仿宋" w:eastAsia="仿宋" w:cs="仿宋"/>
          <w:sz w:val="28"/>
          <w:szCs w:val="28"/>
        </w:rPr>
        <w:t>广西有色金属集团有限公司管理人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以下简称管理人</w:t>
      </w:r>
      <w:r>
        <w:rPr>
          <w:rFonts w:hint="eastAsia" w:ascii="仿宋" w:hAnsi="仿宋" w:eastAsia="仿宋" w:cs="仿宋"/>
          <w:sz w:val="28"/>
          <w:szCs w:val="28"/>
          <w:lang w:eastAsia="zh-CN"/>
        </w:rPr>
        <w:t>）</w:t>
      </w:r>
      <w:r>
        <w:rPr>
          <w:rFonts w:hint="eastAsia" w:ascii="仿宋" w:hAnsi="仿宋" w:eastAsia="仿宋" w:cs="仿宋"/>
          <w:sz w:val="28"/>
          <w:szCs w:val="28"/>
        </w:rPr>
        <w:t>；</w:t>
      </w:r>
    </w:p>
    <w:p>
      <w:pPr>
        <w:spacing w:beforeLines="0" w:afterLines="0" w:line="560" w:lineRule="exact"/>
        <w:ind w:firstLine="42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2.甲方对转让</w:t>
      </w:r>
      <w:r>
        <w:rPr>
          <w:rFonts w:hint="eastAsia" w:ascii="仿宋" w:hAnsi="仿宋" w:eastAsia="仿宋" w:cs="仿宋"/>
          <w:sz w:val="28"/>
          <w:szCs w:val="28"/>
        </w:rPr>
        <w:t>标的</w:t>
      </w:r>
      <w:r>
        <w:rPr>
          <w:rFonts w:hint="eastAsia" w:ascii="仿宋" w:hAnsi="仿宋" w:eastAsia="仿宋" w:cs="仿宋"/>
          <w:sz w:val="28"/>
          <w:szCs w:val="28"/>
          <w:lang w:val="en-US" w:eastAsia="zh-CN"/>
        </w:rPr>
        <w:t>物</w:t>
      </w:r>
      <w:r>
        <w:rPr>
          <w:rFonts w:hint="eastAsia" w:ascii="仿宋" w:hAnsi="仿宋" w:eastAsia="仿宋" w:cs="仿宋"/>
          <w:sz w:val="28"/>
          <w:szCs w:val="28"/>
          <w:u w:val="single"/>
          <w:lang w:val="en-US" w:eastAsia="zh-CN"/>
        </w:rPr>
        <w:t xml:space="preserve"> 广西有色金属集团有限公司所有的一批潜污泵、无缝钢管等多项设备（整体转让）</w:t>
      </w:r>
      <w:r>
        <w:rPr>
          <w:rFonts w:hint="eastAsia" w:ascii="仿宋" w:hAnsi="仿宋" w:eastAsia="仿宋" w:cs="仿宋"/>
          <w:sz w:val="28"/>
          <w:szCs w:val="28"/>
          <w:lang w:val="en-US" w:eastAsia="zh-CN"/>
        </w:rPr>
        <w:t>依法享有完整的所有权、处分权；</w:t>
      </w:r>
    </w:p>
    <w:p>
      <w:pPr>
        <w:spacing w:beforeLines="0" w:afterLines="0" w:line="560" w:lineRule="exact"/>
        <w:ind w:firstLine="42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3.乙方为依据中华人民共和国法律依法设立并合法存续的企业，具有独立的企业法人资格，统一社会信用代码：</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w:t>
      </w:r>
    </w:p>
    <w:p>
      <w:pPr>
        <w:spacing w:beforeLines="0" w:afterLines="0" w:line="560" w:lineRule="exact"/>
        <w:ind w:firstLine="42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甲方委托北部湾产权交易所集团股份有限公司（以下简称交易所）按现状、公开挂牌转让标的物，乙方已经对转让标的物进行充分、详实的踏勘、调查，在完全知悉标的物的一切情况后在交易所报名、竞价方式依法受让标的物。</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根据《中华人民共和国合同法》、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中华人民共和国</w:t>
      </w:r>
      <w:r>
        <w:rPr>
          <w:rFonts w:hint="eastAsia" w:ascii="仿宋_GB2312" w:hAnsi="仿宋_GB2312" w:eastAsia="仿宋_GB2312" w:cs="仿宋_GB2312"/>
          <w:sz w:val="28"/>
          <w:szCs w:val="28"/>
          <w:lang w:val="en-US" w:eastAsia="zh-CN"/>
        </w:rPr>
        <w:t>企业破产法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等法律、行政法规，遵循公开、公平、公正、诚实信用的原则，甲、乙双方就资产转让事宜订立合同条款如下，双方共同遵守。</w:t>
      </w:r>
    </w:p>
    <w:p>
      <w:pPr>
        <w:keepNext w:val="0"/>
        <w:keepLines w:val="0"/>
        <w:pageBreakBefore w:val="0"/>
        <w:kinsoku/>
        <w:wordWrap/>
        <w:overflowPunct/>
        <w:topLinePunct w:val="0"/>
        <w:autoSpaceDE/>
        <w:bidi w:val="0"/>
        <w:adjustRightInd/>
        <w:snapToGrid w:val="0"/>
        <w:spacing w:before="157" w:beforeLines="50" w:afterLines="0" w:line="560" w:lineRule="exact"/>
        <w:ind w:firstLine="562" w:firstLineChars="200"/>
        <w:rPr>
          <w:rFonts w:hint="eastAsia" w:ascii="仿宋_GB2312" w:hAnsi="仿宋_GB2312" w:eastAsia="仿宋_GB2312" w:cs="仿宋_GB2312"/>
          <w:b/>
          <w:sz w:val="28"/>
          <w:szCs w:val="28"/>
          <w:u w:val="none"/>
        </w:rPr>
      </w:pPr>
      <w:r>
        <w:rPr>
          <w:rFonts w:hint="eastAsia" w:ascii="仿宋_GB2312" w:hAnsi="仿宋_GB2312" w:eastAsia="仿宋_GB2312" w:cs="仿宋_GB2312"/>
          <w:b/>
          <w:sz w:val="28"/>
          <w:szCs w:val="28"/>
          <w:lang w:val="en-US" w:eastAsia="zh-CN"/>
        </w:rPr>
        <w:t>一</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转让标的物</w:t>
      </w:r>
      <w:r>
        <w:rPr>
          <w:rFonts w:hint="eastAsia" w:ascii="仿宋_GB2312" w:hAnsi="仿宋_GB2312" w:eastAsia="仿宋_GB2312" w:cs="仿宋_GB2312"/>
          <w:b/>
          <w:sz w:val="28"/>
          <w:szCs w:val="28"/>
        </w:rPr>
        <w:t>及交易</w:t>
      </w:r>
      <w:r>
        <w:rPr>
          <w:rFonts w:hint="eastAsia" w:ascii="仿宋_GB2312" w:hAnsi="仿宋_GB2312" w:eastAsia="仿宋_GB2312" w:cs="仿宋_GB2312"/>
          <w:b/>
          <w:sz w:val="28"/>
          <w:szCs w:val="28"/>
          <w:lang w:val="en-US" w:eastAsia="zh-CN"/>
        </w:rPr>
        <w:t>方式</w:t>
      </w: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 xml:space="preserve">    1.</w:t>
      </w:r>
      <w:r>
        <w:rPr>
          <w:rFonts w:hint="eastAsia" w:ascii="仿宋_GB2312" w:hAnsi="仿宋_GB2312" w:eastAsia="仿宋_GB2312" w:cs="仿宋_GB2312"/>
          <w:sz w:val="28"/>
          <w:szCs w:val="28"/>
          <w:lang w:eastAsia="zh-CN"/>
        </w:rPr>
        <w:t>转让标的物</w:t>
      </w:r>
      <w:r>
        <w:rPr>
          <w:rFonts w:hint="eastAsia" w:ascii="仿宋_GB2312" w:hAnsi="仿宋_GB2312" w:eastAsia="仿宋_GB2312" w:cs="仿宋_GB2312"/>
          <w:sz w:val="28"/>
          <w:szCs w:val="28"/>
        </w:rPr>
        <w:t>：广西有色金属集团有限公司</w:t>
      </w:r>
      <w:r>
        <w:rPr>
          <w:rFonts w:hint="eastAsia" w:ascii="仿宋_GB2312" w:hAnsi="仿宋_GB2312" w:eastAsia="仿宋_GB2312" w:cs="仿宋_GB2312"/>
          <w:sz w:val="28"/>
          <w:szCs w:val="28"/>
          <w:lang w:val="en-US" w:eastAsia="zh-CN"/>
        </w:rPr>
        <w:t>所有的</w:t>
      </w:r>
      <w:r>
        <w:rPr>
          <w:rFonts w:hint="eastAsia" w:ascii="仿宋_GB2312" w:hAnsi="仿宋_GB2312" w:eastAsia="仿宋_GB2312" w:cs="仿宋_GB2312"/>
          <w:sz w:val="28"/>
          <w:szCs w:val="28"/>
        </w:rPr>
        <w:t>一批潜污泵、无缝钢管等多项设备（整体转让）</w:t>
      </w:r>
      <w:r>
        <w:rPr>
          <w:rFonts w:hint="eastAsia" w:ascii="仿宋_GB2312" w:hAnsi="仿宋_GB2312" w:eastAsia="仿宋_GB2312" w:cs="仿宋_GB2312"/>
          <w:sz w:val="28"/>
          <w:szCs w:val="28"/>
          <w:lang w:eastAsia="zh-CN"/>
        </w:rPr>
        <w:t>，详见</w:t>
      </w:r>
      <w:r>
        <w:rPr>
          <w:rFonts w:hint="eastAsia" w:ascii="仿宋_GB2312" w:hAnsi="仿宋_GB2312" w:eastAsia="仿宋_GB2312" w:cs="仿宋_GB2312"/>
          <w:sz w:val="28"/>
          <w:szCs w:val="28"/>
          <w:lang w:val="en-US" w:eastAsia="zh-CN"/>
        </w:rPr>
        <w:t>附件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机器设备清单</w:t>
      </w:r>
      <w:r>
        <w:rPr>
          <w:rFonts w:hint="eastAsia" w:ascii="仿宋_GB2312" w:hAnsi="仿宋_GB2312" w:eastAsia="仿宋_GB2312" w:cs="仿宋_GB2312"/>
          <w:sz w:val="28"/>
          <w:szCs w:val="28"/>
          <w:lang w:eastAsia="zh-CN"/>
        </w:rPr>
        <w:t>》。</w:t>
      </w:r>
    </w:p>
    <w:p>
      <w:pPr>
        <w:keepNext w:val="0"/>
        <w:keepLines w:val="0"/>
        <w:pageBreakBefore w:val="0"/>
        <w:kinsoku/>
        <w:wordWrap/>
        <w:overflowPunct/>
        <w:topLinePunct w:val="0"/>
        <w:autoSpaceDE/>
        <w:bidi w:val="0"/>
        <w:adjustRightInd/>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2.</w:t>
      </w:r>
      <w:r>
        <w:rPr>
          <w:rFonts w:hint="eastAsia" w:ascii="仿宋_GB2312" w:hAnsi="仿宋_GB2312" w:eastAsia="仿宋_GB2312" w:cs="仿宋_GB2312"/>
          <w:sz w:val="28"/>
          <w:szCs w:val="28"/>
          <w:lang w:eastAsia="zh-CN"/>
        </w:rPr>
        <w:t>转让标的物</w:t>
      </w:r>
      <w:r>
        <w:rPr>
          <w:rFonts w:hint="eastAsia" w:ascii="仿宋_GB2312" w:hAnsi="仿宋_GB2312" w:eastAsia="仿宋_GB2312" w:cs="仿宋_GB2312"/>
          <w:sz w:val="28"/>
          <w:szCs w:val="28"/>
        </w:rPr>
        <w:t>由甲方委托</w:t>
      </w:r>
      <w:r>
        <w:rPr>
          <w:rFonts w:hint="eastAsia" w:ascii="仿宋_GB2312" w:hAnsi="仿宋_GB2312" w:eastAsia="仿宋_GB2312" w:cs="仿宋_GB2312"/>
          <w:sz w:val="28"/>
          <w:szCs w:val="28"/>
          <w:lang w:val="en-US" w:eastAsia="zh-CN"/>
        </w:rPr>
        <w:t>交易所按现状</w:t>
      </w:r>
      <w:r>
        <w:rPr>
          <w:rFonts w:hint="eastAsia" w:ascii="仿宋_GB2312" w:hAnsi="仿宋_GB2312" w:eastAsia="仿宋_GB2312" w:cs="仿宋_GB2312"/>
          <w:sz w:val="28"/>
          <w:szCs w:val="28"/>
        </w:rPr>
        <w:t>公开</w:t>
      </w:r>
      <w:r>
        <w:rPr>
          <w:rFonts w:hint="eastAsia" w:ascii="仿宋_GB2312" w:hAnsi="仿宋_GB2312" w:eastAsia="仿宋_GB2312" w:cs="仿宋_GB2312"/>
          <w:sz w:val="28"/>
          <w:szCs w:val="28"/>
          <w:lang w:val="en-US" w:eastAsia="zh-CN"/>
        </w:rPr>
        <w:t>挂牌</w:t>
      </w:r>
      <w:r>
        <w:rPr>
          <w:rFonts w:hint="eastAsia" w:ascii="仿宋_GB2312" w:hAnsi="仿宋_GB2312" w:eastAsia="仿宋_GB2312" w:cs="仿宋_GB2312"/>
          <w:sz w:val="28"/>
          <w:szCs w:val="28"/>
        </w:rPr>
        <w:t>转让，采用</w:t>
      </w:r>
      <w:r>
        <w:rPr>
          <w:rFonts w:hint="eastAsia" w:ascii="仿宋_GB2312" w:hAnsi="仿宋_GB2312" w:eastAsia="仿宋_GB2312" w:cs="仿宋_GB2312"/>
          <w:sz w:val="28"/>
          <w:szCs w:val="28"/>
          <w:u w:val="single"/>
          <w:lang w:eastAsia="zh-CN"/>
        </w:rPr>
        <w:t>网络竞价</w:t>
      </w:r>
      <w:r>
        <w:rPr>
          <w:rFonts w:hint="eastAsia" w:ascii="仿宋_GB2312" w:hAnsi="仿宋_GB2312" w:eastAsia="仿宋_GB2312" w:cs="仿宋_GB2312"/>
          <w:sz w:val="28"/>
          <w:szCs w:val="28"/>
        </w:rPr>
        <w:t>交易方式，最终由乙方成功受让。甲方不对</w:t>
      </w:r>
      <w:r>
        <w:rPr>
          <w:rFonts w:hint="eastAsia" w:ascii="仿宋_GB2312" w:hAnsi="仿宋_GB2312" w:eastAsia="仿宋_GB2312" w:cs="仿宋_GB2312"/>
          <w:sz w:val="28"/>
          <w:szCs w:val="28"/>
          <w:lang w:val="en-US" w:eastAsia="zh-CN"/>
        </w:rPr>
        <w:t>转让</w:t>
      </w:r>
      <w:r>
        <w:rPr>
          <w:rFonts w:hint="eastAsia" w:ascii="仿宋_GB2312" w:hAnsi="仿宋_GB2312" w:eastAsia="仿宋_GB2312" w:cs="仿宋_GB2312"/>
          <w:sz w:val="28"/>
          <w:szCs w:val="28"/>
        </w:rPr>
        <w:t>标的物已经存在的和可能存在的、已经披露的和未予披露的一切瑕疵承担担保责任。</w:t>
      </w:r>
    </w:p>
    <w:p>
      <w:pPr>
        <w:keepNext w:val="0"/>
        <w:keepLines w:val="0"/>
        <w:pageBreakBefore w:val="0"/>
        <w:kinsoku/>
        <w:wordWrap/>
        <w:overflowPunct/>
        <w:topLinePunct w:val="0"/>
        <w:autoSpaceDE/>
        <w:bidi w:val="0"/>
        <w:adjustRightInd/>
        <w:snapToGrid w:val="0"/>
        <w:spacing w:before="157" w:beforeLines="50" w:afterLines="0"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二</w:t>
      </w:r>
      <w:r>
        <w:rPr>
          <w:rFonts w:hint="eastAsia" w:ascii="仿宋_GB2312" w:hAnsi="仿宋_GB2312" w:eastAsia="仿宋_GB2312" w:cs="仿宋_GB2312"/>
          <w:b/>
          <w:sz w:val="28"/>
          <w:szCs w:val="28"/>
        </w:rPr>
        <w:t>、成交价款的支付方式及期限</w:t>
      </w:r>
    </w:p>
    <w:p>
      <w:pPr>
        <w:keepNext w:val="0"/>
        <w:keepLines w:val="0"/>
        <w:pageBreakBefore w:val="0"/>
        <w:kinsoku/>
        <w:wordWrap/>
        <w:overflowPunct/>
        <w:topLinePunct w:val="0"/>
        <w:autoSpaceDE/>
        <w:bidi w:val="0"/>
        <w:adjustRightInd/>
        <w:spacing w:line="560" w:lineRule="exact"/>
        <w:ind w:firstLine="57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1.转</w:t>
      </w:r>
      <w:r>
        <w:rPr>
          <w:rFonts w:hint="eastAsia" w:ascii="仿宋_GB2312" w:hAnsi="仿宋_GB2312" w:eastAsia="仿宋_GB2312" w:cs="仿宋_GB2312"/>
          <w:sz w:val="28"/>
          <w:szCs w:val="28"/>
        </w:rPr>
        <w:t>成交价格：</w:t>
      </w:r>
      <w:r>
        <w:rPr>
          <w:rFonts w:hint="eastAsia" w:ascii="仿宋_GB2312" w:hAnsi="仿宋_GB2312" w:eastAsia="仿宋_GB2312" w:cs="仿宋_GB2312"/>
          <w:sz w:val="28"/>
          <w:szCs w:val="28"/>
          <w:lang w:val="en-US" w:eastAsia="zh-CN"/>
        </w:rPr>
        <w:t>大写</w:t>
      </w:r>
      <w:r>
        <w:rPr>
          <w:rFonts w:hint="eastAsia" w:ascii="仿宋_GB2312" w:hAnsi="仿宋_GB2312" w:eastAsia="仿宋_GB2312" w:cs="仿宋_GB2312"/>
          <w:sz w:val="28"/>
          <w:szCs w:val="28"/>
        </w:rPr>
        <w:t>人民币</w:t>
      </w:r>
      <w:r>
        <w:rPr>
          <w:rFonts w:hint="eastAsia" w:ascii="仿宋_GB2312" w:hAnsi="仿宋_GB2312" w:eastAsia="仿宋_GB2312" w:cs="仿宋_GB2312"/>
          <w:sz w:val="28"/>
          <w:szCs w:val="28"/>
          <w:u w:val="single"/>
          <w:lang w:val="en-US" w:eastAsia="zh-CN"/>
        </w:rPr>
        <w:t xml:space="preserve">         元整 </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 xml:space="preserve">        元</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2.付款期限：乙方应在网络竞价成功之日起</w:t>
      </w:r>
      <w:r>
        <w:rPr>
          <w:rFonts w:hint="eastAsia" w:ascii="仿宋_GB2312" w:hAnsi="仿宋_GB2312" w:eastAsia="仿宋_GB2312" w:cs="仿宋_GB2312"/>
          <w:sz w:val="28"/>
          <w:szCs w:val="28"/>
          <w:u w:val="single"/>
          <w:lang w:val="en-US" w:eastAsia="zh-CN"/>
        </w:rPr>
        <w:t>3个工作日</w:t>
      </w:r>
      <w:r>
        <w:rPr>
          <w:rFonts w:hint="eastAsia" w:ascii="仿宋_GB2312" w:hAnsi="仿宋_GB2312" w:eastAsia="仿宋_GB2312" w:cs="仿宋_GB2312"/>
          <w:sz w:val="28"/>
          <w:szCs w:val="28"/>
          <w:u w:val="none"/>
          <w:lang w:val="en-US" w:eastAsia="zh-CN"/>
        </w:rPr>
        <w:t>内与甲方</w:t>
      </w:r>
      <w:r>
        <w:rPr>
          <w:rFonts w:hint="eastAsia" w:ascii="仿宋_GB2312" w:hAnsi="仿宋_GB2312" w:eastAsia="仿宋_GB2312" w:cs="仿宋_GB2312"/>
          <w:sz w:val="28"/>
          <w:szCs w:val="28"/>
          <w:lang w:val="en-US" w:eastAsia="zh-CN"/>
        </w:rPr>
        <w:t>签订交易合同，并将本次交易的成交价款一次性足额缴入</w:t>
      </w:r>
      <w:r>
        <w:rPr>
          <w:rFonts w:hint="eastAsia" w:ascii="仿宋_GB2312" w:hAnsi="仿宋_GB2312" w:eastAsia="仿宋_GB2312" w:cs="仿宋_GB2312"/>
          <w:sz w:val="28"/>
          <w:szCs w:val="28"/>
        </w:rPr>
        <w:t>交易所E交易推送账户。</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3.交易所应在收到成交价款之日起</w:t>
      </w:r>
      <w:r>
        <w:rPr>
          <w:rFonts w:hint="eastAsia" w:ascii="仿宋_GB2312" w:hAnsi="仿宋_GB2312" w:eastAsia="仿宋_GB2312" w:cs="仿宋_GB2312"/>
          <w:sz w:val="28"/>
          <w:szCs w:val="28"/>
          <w:u w:val="single"/>
          <w:lang w:val="en-US" w:eastAsia="zh-CN"/>
        </w:rPr>
        <w:t>3日</w:t>
      </w:r>
      <w:r>
        <w:rPr>
          <w:rFonts w:hint="eastAsia" w:ascii="仿宋_GB2312" w:hAnsi="仿宋_GB2312" w:eastAsia="仿宋_GB2312" w:cs="仿宋_GB2312"/>
          <w:sz w:val="28"/>
          <w:szCs w:val="28"/>
          <w:lang w:val="en-US" w:eastAsia="zh-CN"/>
        </w:rPr>
        <w:t>内将成交价款转付至甲方如下账户（以到账为准）：</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户  名：广西有色金属集团有限公司管理人 </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开户行：中国建设银行股份有限公司南宁五象广场支行</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账  号： 4505 0160 4663 0000 0056</w:t>
      </w:r>
    </w:p>
    <w:p>
      <w:pPr>
        <w:keepNext w:val="0"/>
        <w:keepLines w:val="0"/>
        <w:pageBreakBefore w:val="0"/>
        <w:kinsoku/>
        <w:wordWrap/>
        <w:overflowPunct/>
        <w:topLinePunct w:val="0"/>
        <w:autoSpaceDE/>
        <w:bidi w:val="0"/>
        <w:adjustRightInd/>
        <w:spacing w:line="560" w:lineRule="exact"/>
        <w:ind w:firstLine="57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3.甲方可以广西有色金属集团有限公司的名义向乙方开具发票或收款凭证。</w:t>
      </w:r>
    </w:p>
    <w:p>
      <w:pPr>
        <w:keepNext w:val="0"/>
        <w:keepLines w:val="0"/>
        <w:pageBreakBefore w:val="0"/>
        <w:kinsoku/>
        <w:wordWrap/>
        <w:overflowPunct/>
        <w:topLinePunct w:val="0"/>
        <w:autoSpaceDE/>
        <w:bidi w:val="0"/>
        <w:adjustRightInd/>
        <w:snapToGrid w:val="0"/>
        <w:spacing w:before="157" w:beforeLines="50" w:afterLines="0"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三</w:t>
      </w:r>
      <w:r>
        <w:rPr>
          <w:rFonts w:hint="eastAsia" w:ascii="仿宋_GB2312" w:hAnsi="仿宋_GB2312" w:eastAsia="仿宋_GB2312" w:cs="仿宋_GB2312"/>
          <w:b/>
          <w:sz w:val="28"/>
          <w:szCs w:val="28"/>
        </w:rPr>
        <w:t>、资产交割</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lang w:eastAsia="zh-CN"/>
        </w:rPr>
        <w:t>甲方</w:t>
      </w:r>
      <w:r>
        <w:rPr>
          <w:rFonts w:hint="eastAsia" w:ascii="仿宋_GB2312" w:hAnsi="仿宋_GB2312" w:eastAsia="仿宋_GB2312" w:cs="仿宋_GB2312"/>
          <w:sz w:val="28"/>
          <w:szCs w:val="28"/>
          <w:highlight w:val="none"/>
        </w:rPr>
        <w:t>收到</w:t>
      </w:r>
      <w:r>
        <w:rPr>
          <w:rFonts w:hint="eastAsia" w:ascii="仿宋_GB2312" w:hAnsi="仿宋_GB2312" w:eastAsia="仿宋_GB2312" w:cs="仿宋_GB2312"/>
          <w:sz w:val="28"/>
          <w:szCs w:val="28"/>
          <w:highlight w:val="none"/>
          <w:lang w:eastAsia="zh-CN"/>
        </w:rPr>
        <w:t>交易所转付的</w:t>
      </w:r>
      <w:r>
        <w:rPr>
          <w:rFonts w:hint="eastAsia" w:ascii="仿宋_GB2312" w:hAnsi="仿宋_GB2312" w:eastAsia="仿宋_GB2312" w:cs="仿宋_GB2312"/>
          <w:sz w:val="28"/>
          <w:szCs w:val="28"/>
          <w:highlight w:val="none"/>
          <w:lang w:val="en-US" w:eastAsia="zh-CN"/>
        </w:rPr>
        <w:t>全部</w:t>
      </w:r>
      <w:r>
        <w:rPr>
          <w:rFonts w:hint="eastAsia" w:ascii="仿宋_GB2312" w:hAnsi="仿宋_GB2312" w:eastAsia="仿宋_GB2312" w:cs="仿宋_GB2312"/>
          <w:sz w:val="28"/>
          <w:szCs w:val="28"/>
          <w:highlight w:val="none"/>
        </w:rPr>
        <w:t>成交价款后</w:t>
      </w:r>
      <w:r>
        <w:rPr>
          <w:rFonts w:hint="eastAsia" w:ascii="仿宋_GB2312" w:hAnsi="仿宋_GB2312" w:eastAsia="仿宋_GB2312" w:cs="仿宋_GB2312"/>
          <w:sz w:val="28"/>
          <w:szCs w:val="28"/>
          <w:highlight w:val="none"/>
          <w:u w:val="single"/>
          <w:lang w:val="en-US" w:eastAsia="zh-CN"/>
        </w:rPr>
        <w:t>15</w:t>
      </w:r>
      <w:r>
        <w:rPr>
          <w:rFonts w:hint="eastAsia" w:ascii="仿宋_GB2312" w:hAnsi="仿宋_GB2312" w:eastAsia="仿宋_GB2312" w:cs="仿宋_GB2312"/>
          <w:sz w:val="28"/>
          <w:szCs w:val="28"/>
          <w:highlight w:val="none"/>
          <w:u w:val="single"/>
        </w:rPr>
        <w:t>日</w:t>
      </w:r>
      <w:r>
        <w:rPr>
          <w:rFonts w:hint="eastAsia" w:ascii="仿宋_GB2312" w:hAnsi="仿宋_GB2312" w:eastAsia="仿宋_GB2312" w:cs="仿宋_GB2312"/>
          <w:sz w:val="28"/>
          <w:szCs w:val="28"/>
          <w:highlight w:val="none"/>
          <w:u w:val="none"/>
        </w:rPr>
        <w:t>内</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甲</w:t>
      </w:r>
      <w:r>
        <w:rPr>
          <w:rFonts w:hint="eastAsia" w:ascii="仿宋_GB2312" w:hAnsi="仿宋_GB2312" w:eastAsia="仿宋_GB2312" w:cs="仿宋_GB2312"/>
          <w:sz w:val="28"/>
          <w:szCs w:val="28"/>
          <w:highlight w:val="none"/>
          <w:lang w:eastAsia="zh-CN"/>
        </w:rPr>
        <w:t>乙</w:t>
      </w:r>
      <w:r>
        <w:rPr>
          <w:rFonts w:hint="eastAsia" w:ascii="仿宋_GB2312" w:hAnsi="仿宋_GB2312" w:eastAsia="仿宋_GB2312" w:cs="仿宋_GB2312"/>
          <w:sz w:val="28"/>
          <w:szCs w:val="28"/>
          <w:highlight w:val="none"/>
          <w:lang w:val="en-US" w:eastAsia="zh-CN"/>
        </w:rPr>
        <w:t>双</w:t>
      </w:r>
      <w:r>
        <w:rPr>
          <w:rFonts w:hint="eastAsia" w:ascii="仿宋_GB2312" w:hAnsi="仿宋_GB2312" w:eastAsia="仿宋_GB2312" w:cs="仿宋_GB2312"/>
          <w:sz w:val="28"/>
          <w:szCs w:val="28"/>
          <w:highlight w:val="none"/>
          <w:lang w:eastAsia="zh-CN"/>
        </w:rPr>
        <w:t>方</w:t>
      </w:r>
      <w:r>
        <w:rPr>
          <w:rFonts w:hint="eastAsia" w:ascii="仿宋_GB2312" w:hAnsi="仿宋_GB2312" w:eastAsia="仿宋_GB2312" w:cs="仿宋_GB2312"/>
          <w:sz w:val="28"/>
          <w:szCs w:val="28"/>
          <w:highlight w:val="none"/>
        </w:rPr>
        <w:t>进行资产交割并签署交割单。</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标的物按现状进行交割和交付</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不因</w:t>
      </w:r>
      <w:r>
        <w:rPr>
          <w:rFonts w:hint="eastAsia" w:ascii="仿宋_GB2312" w:hAnsi="仿宋_GB2312" w:eastAsia="仿宋_GB2312" w:cs="仿宋_GB2312"/>
          <w:sz w:val="28"/>
          <w:szCs w:val="28"/>
          <w:highlight w:val="none"/>
          <w:lang w:eastAsia="zh-CN"/>
        </w:rPr>
        <w:t>转让标的物实际交割数量差异、型号差异或错误、破损、功能不齐全、无法正常使用、颜色、质地与实物不一致等瑕疵而调整成交价格</w:t>
      </w:r>
      <w:r>
        <w:rPr>
          <w:rFonts w:hint="eastAsia" w:ascii="仿宋_GB2312" w:hAnsi="仿宋_GB2312" w:eastAsia="仿宋_GB2312" w:cs="仿宋_GB2312"/>
          <w:sz w:val="28"/>
          <w:szCs w:val="28"/>
          <w:highlight w:val="none"/>
        </w:rPr>
        <w:t>。转让方不对</w:t>
      </w:r>
      <w:r>
        <w:rPr>
          <w:rFonts w:hint="eastAsia" w:ascii="仿宋_GB2312" w:hAnsi="仿宋_GB2312" w:eastAsia="仿宋_GB2312" w:cs="仿宋_GB2312"/>
          <w:sz w:val="28"/>
          <w:szCs w:val="28"/>
          <w:highlight w:val="none"/>
          <w:lang w:eastAsia="zh-CN"/>
        </w:rPr>
        <w:t>转让标的物</w:t>
      </w:r>
      <w:r>
        <w:rPr>
          <w:rFonts w:hint="eastAsia" w:ascii="仿宋_GB2312" w:hAnsi="仿宋_GB2312" w:eastAsia="仿宋_GB2312" w:cs="仿宋_GB2312"/>
          <w:sz w:val="28"/>
          <w:szCs w:val="28"/>
          <w:highlight w:val="none"/>
        </w:rPr>
        <w:t>的瑕疵承担担保责任。</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双方签订交割单后</w:t>
      </w:r>
      <w:r>
        <w:rPr>
          <w:rFonts w:hint="eastAsia" w:ascii="仿宋_GB2312" w:hAnsi="仿宋_GB2312" w:eastAsia="仿宋_GB2312" w:cs="仿宋_GB2312"/>
          <w:sz w:val="28"/>
          <w:szCs w:val="28"/>
          <w:highlight w:val="none"/>
          <w:lang w:eastAsia="zh-CN"/>
        </w:rPr>
        <w:t>乙方</w:t>
      </w:r>
      <w:r>
        <w:rPr>
          <w:rFonts w:hint="eastAsia" w:ascii="仿宋_GB2312" w:hAnsi="仿宋_GB2312" w:eastAsia="仿宋_GB2312" w:cs="仿宋_GB2312"/>
          <w:sz w:val="28"/>
          <w:szCs w:val="28"/>
          <w:highlight w:val="none"/>
        </w:rPr>
        <w:t>须在</w:t>
      </w:r>
      <w:r>
        <w:rPr>
          <w:rFonts w:hint="eastAsia" w:ascii="仿宋_GB2312" w:hAnsi="仿宋_GB2312" w:eastAsia="仿宋_GB2312" w:cs="仿宋_GB2312"/>
          <w:sz w:val="28"/>
          <w:szCs w:val="28"/>
          <w:highlight w:val="none"/>
          <w:u w:val="single"/>
        </w:rPr>
        <w:t>1</w:t>
      </w:r>
      <w:r>
        <w:rPr>
          <w:rFonts w:hint="eastAsia" w:ascii="仿宋_GB2312" w:hAnsi="仿宋_GB2312" w:eastAsia="仿宋_GB2312" w:cs="仿宋_GB2312"/>
          <w:sz w:val="28"/>
          <w:szCs w:val="28"/>
          <w:highlight w:val="none"/>
          <w:u w:val="single"/>
          <w:lang w:val="en-US" w:eastAsia="zh-CN"/>
        </w:rPr>
        <w:t>0</w:t>
      </w:r>
      <w:r>
        <w:rPr>
          <w:rFonts w:hint="eastAsia" w:ascii="仿宋_GB2312" w:hAnsi="仿宋_GB2312" w:eastAsia="仿宋_GB2312" w:cs="仿宋_GB2312"/>
          <w:sz w:val="28"/>
          <w:szCs w:val="28"/>
          <w:highlight w:val="none"/>
          <w:u w:val="single"/>
        </w:rPr>
        <w:t>日</w:t>
      </w:r>
      <w:r>
        <w:rPr>
          <w:rFonts w:hint="eastAsia" w:ascii="仿宋_GB2312" w:hAnsi="仿宋_GB2312" w:eastAsia="仿宋_GB2312" w:cs="仿宋_GB2312"/>
          <w:sz w:val="28"/>
          <w:szCs w:val="28"/>
          <w:highlight w:val="none"/>
          <w:u w:val="none"/>
        </w:rPr>
        <w:t>内</w:t>
      </w:r>
      <w:r>
        <w:rPr>
          <w:rFonts w:hint="eastAsia" w:ascii="仿宋_GB2312" w:hAnsi="仿宋_GB2312" w:eastAsia="仿宋_GB2312" w:cs="仿宋_GB2312"/>
          <w:sz w:val="28"/>
          <w:szCs w:val="28"/>
          <w:highlight w:val="none"/>
        </w:rPr>
        <w:t>完成</w:t>
      </w:r>
      <w:r>
        <w:rPr>
          <w:rFonts w:hint="eastAsia" w:ascii="仿宋_GB2312" w:hAnsi="仿宋_GB2312" w:eastAsia="仿宋_GB2312" w:cs="仿宋_GB2312"/>
          <w:sz w:val="28"/>
          <w:szCs w:val="28"/>
          <w:highlight w:val="none"/>
          <w:lang w:val="en-US" w:eastAsia="zh-CN"/>
        </w:rPr>
        <w:t>转让标的物</w:t>
      </w:r>
      <w:r>
        <w:rPr>
          <w:rFonts w:hint="eastAsia" w:ascii="仿宋_GB2312" w:hAnsi="仿宋_GB2312" w:eastAsia="仿宋_GB2312" w:cs="仿宋_GB2312"/>
          <w:sz w:val="28"/>
          <w:szCs w:val="28"/>
          <w:highlight w:val="none"/>
        </w:rPr>
        <w:t>的清运工作，逾期未完成的</w:t>
      </w:r>
      <w:r>
        <w:rPr>
          <w:rFonts w:hint="eastAsia" w:ascii="仿宋_GB2312" w:hAnsi="仿宋_GB2312" w:eastAsia="仿宋_GB2312" w:cs="仿宋_GB2312"/>
          <w:sz w:val="28"/>
          <w:szCs w:val="28"/>
          <w:highlight w:val="none"/>
          <w:lang w:eastAsia="zh-CN"/>
        </w:rPr>
        <w:t>乙方</w:t>
      </w:r>
      <w:r>
        <w:rPr>
          <w:rFonts w:hint="eastAsia" w:ascii="仿宋_GB2312" w:hAnsi="仿宋_GB2312" w:eastAsia="仿宋_GB2312" w:cs="仿宋_GB2312"/>
          <w:sz w:val="28"/>
          <w:szCs w:val="28"/>
          <w:highlight w:val="none"/>
        </w:rPr>
        <w:t>需按</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000元/天向</w:t>
      </w:r>
      <w:r>
        <w:rPr>
          <w:rFonts w:hint="eastAsia" w:ascii="仿宋_GB2312" w:hAnsi="仿宋_GB2312" w:eastAsia="仿宋_GB2312" w:cs="仿宋_GB2312"/>
          <w:sz w:val="28"/>
          <w:szCs w:val="28"/>
          <w:highlight w:val="none"/>
          <w:lang w:eastAsia="zh-CN"/>
        </w:rPr>
        <w:t>甲方</w:t>
      </w:r>
      <w:r>
        <w:rPr>
          <w:rFonts w:hint="eastAsia" w:ascii="仿宋_GB2312" w:hAnsi="仿宋_GB2312" w:eastAsia="仿宋_GB2312" w:cs="仿宋_GB2312"/>
          <w:sz w:val="28"/>
          <w:szCs w:val="28"/>
          <w:highlight w:val="none"/>
        </w:rPr>
        <w:t>支付</w:t>
      </w:r>
      <w:r>
        <w:rPr>
          <w:rFonts w:hint="eastAsia" w:ascii="仿宋_GB2312" w:hAnsi="仿宋_GB2312" w:eastAsia="仿宋_GB2312" w:cs="仿宋_GB2312"/>
          <w:sz w:val="28"/>
          <w:szCs w:val="28"/>
          <w:highlight w:val="none"/>
          <w:lang w:val="en-US" w:eastAsia="zh-CN"/>
        </w:rPr>
        <w:t>仓储、</w:t>
      </w:r>
      <w:r>
        <w:rPr>
          <w:rFonts w:hint="eastAsia" w:ascii="仿宋_GB2312" w:hAnsi="仿宋_GB2312" w:eastAsia="仿宋_GB2312" w:cs="仿宋_GB2312"/>
          <w:sz w:val="28"/>
          <w:szCs w:val="28"/>
          <w:highlight w:val="none"/>
        </w:rPr>
        <w:t>管理费。</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交付标的物需要核验、计量、拆卸、装载、运输的，由</w:t>
      </w:r>
      <w:r>
        <w:rPr>
          <w:rFonts w:hint="eastAsia" w:ascii="仿宋_GB2312" w:hAnsi="仿宋_GB2312" w:eastAsia="仿宋_GB2312" w:cs="仿宋_GB2312"/>
          <w:sz w:val="28"/>
          <w:szCs w:val="28"/>
          <w:highlight w:val="none"/>
          <w:lang w:eastAsia="zh-CN"/>
        </w:rPr>
        <w:t>乙方</w:t>
      </w:r>
      <w:r>
        <w:rPr>
          <w:rFonts w:hint="eastAsia" w:ascii="仿宋_GB2312" w:hAnsi="仿宋_GB2312" w:eastAsia="仿宋_GB2312" w:cs="仿宋_GB2312"/>
          <w:sz w:val="28"/>
          <w:szCs w:val="28"/>
          <w:highlight w:val="none"/>
        </w:rPr>
        <w:t>自行办理，</w:t>
      </w:r>
      <w:r>
        <w:rPr>
          <w:rFonts w:hint="eastAsia" w:ascii="仿宋_GB2312" w:hAnsi="仿宋_GB2312" w:eastAsia="仿宋_GB2312" w:cs="仿宋_GB2312"/>
          <w:sz w:val="28"/>
          <w:szCs w:val="28"/>
          <w:highlight w:val="none"/>
          <w:lang w:eastAsia="zh-CN"/>
        </w:rPr>
        <w:t>甲方</w:t>
      </w:r>
      <w:r>
        <w:rPr>
          <w:rFonts w:hint="eastAsia" w:ascii="仿宋_GB2312" w:hAnsi="仿宋_GB2312" w:eastAsia="仿宋_GB2312" w:cs="仿宋_GB2312"/>
          <w:sz w:val="28"/>
          <w:szCs w:val="28"/>
          <w:highlight w:val="none"/>
        </w:rPr>
        <w:t>予以必要之协助。</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5.甲乙双方签订交割单后，转让标的物遗失、毁损、价值缩减等风险由乙方自行承担。</w:t>
      </w:r>
      <w:r>
        <w:rPr>
          <w:rFonts w:hint="eastAsia" w:ascii="仿宋_GB2312" w:hAnsi="仿宋_GB2312" w:eastAsia="仿宋_GB2312" w:cs="仿宋_GB2312"/>
          <w:sz w:val="28"/>
          <w:szCs w:val="28"/>
          <w:highlight w:val="none"/>
          <w:lang w:eastAsia="zh-CN"/>
        </w:rPr>
        <w:t>乙方</w:t>
      </w:r>
      <w:r>
        <w:rPr>
          <w:rFonts w:hint="eastAsia" w:ascii="仿宋_GB2312" w:hAnsi="仿宋_GB2312" w:eastAsia="仿宋_GB2312" w:cs="仿宋_GB2312"/>
          <w:sz w:val="28"/>
          <w:szCs w:val="28"/>
          <w:highlight w:val="none"/>
        </w:rPr>
        <w:t>对标的物实施核验、计量、拆卸、装载、运输等行为</w:t>
      </w:r>
      <w:r>
        <w:rPr>
          <w:rFonts w:hint="eastAsia" w:ascii="仿宋_GB2312" w:hAnsi="仿宋_GB2312" w:eastAsia="仿宋_GB2312" w:cs="仿宋_GB2312"/>
          <w:sz w:val="28"/>
          <w:szCs w:val="28"/>
          <w:highlight w:val="none"/>
          <w:lang w:val="en-US" w:eastAsia="zh-CN"/>
        </w:rPr>
        <w:t>致使转让</w:t>
      </w:r>
      <w:r>
        <w:rPr>
          <w:rFonts w:hint="eastAsia" w:ascii="仿宋_GB2312" w:hAnsi="仿宋_GB2312" w:eastAsia="仿宋_GB2312" w:cs="仿宋_GB2312"/>
          <w:sz w:val="28"/>
          <w:szCs w:val="28"/>
          <w:highlight w:val="none"/>
        </w:rPr>
        <w:t>标的物遭损坏、灭失、价值缩减等风险，以及在此过程中导致他人之人身、财产权益受损责任，皆由</w:t>
      </w:r>
      <w:r>
        <w:rPr>
          <w:rFonts w:hint="eastAsia" w:ascii="仿宋_GB2312" w:hAnsi="仿宋_GB2312" w:eastAsia="仿宋_GB2312" w:cs="仿宋_GB2312"/>
          <w:sz w:val="28"/>
          <w:szCs w:val="28"/>
          <w:highlight w:val="none"/>
          <w:lang w:eastAsia="zh-CN"/>
        </w:rPr>
        <w:t>乙方</w:t>
      </w:r>
      <w:r>
        <w:rPr>
          <w:rFonts w:hint="eastAsia" w:ascii="仿宋_GB2312" w:hAnsi="仿宋_GB2312" w:eastAsia="仿宋_GB2312" w:cs="仿宋_GB2312"/>
          <w:sz w:val="28"/>
          <w:szCs w:val="28"/>
          <w:highlight w:val="none"/>
        </w:rPr>
        <w:t>承担。</w:t>
      </w:r>
    </w:p>
    <w:p>
      <w:pPr>
        <w:keepNext w:val="0"/>
        <w:keepLines w:val="0"/>
        <w:pageBreakBefore w:val="0"/>
        <w:widowControl w:val="0"/>
        <w:kinsoku/>
        <w:wordWrap/>
        <w:overflowPunct/>
        <w:topLinePunct w:val="0"/>
        <w:autoSpaceDE/>
        <w:autoSpaceDN/>
        <w:bidi w:val="0"/>
        <w:adjustRightInd/>
        <w:snapToGrid/>
        <w:spacing w:before="157" w:beforeLines="50" w:line="560" w:lineRule="exact"/>
        <w:ind w:left="0" w:leftChars="0" w:right="0" w:rightChars="0" w:firstLine="562" w:firstLineChars="200"/>
        <w:jc w:val="both"/>
        <w:textAlignment w:val="auto"/>
        <w:outlineLvl w:val="9"/>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四、双方承诺</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1.甲方承诺：</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（1）甲方对本合同项下的标的物拥有合法、有效和完整的处分权；</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（2）签订本合同所需的包括但不限于授权、审批、公司内部决策等在内的一切手续均已合法有效取得，本合同成立和产权转让的前提条件均已满足；</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2.乙方承诺：</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（1）乙方是合法成立并有效存续的公司，具有受让标的物的资质、能力；</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（2）为受让标的物、签订本合同之目的向甲方及北部湾产权交易所提交的各项证明文件及资料均为真实、准确、完整的；</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（3）乙方就受让本合同项下标的物事宜所需的包括但不限于授权、审批、公司内部决策等在内的一切批准手续均已合法有效取得，本合同成立、有效和受让产权的前提条件均已满足；</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乙方在参与竞买标的物前，已对标的物进行充分、详实的商务、法律及财务等调查，知悉并认可标的物的一切现状及未来可能出现的变化，包括但不限于标的物已经存在和可能存在、已经披露和未予披露的一切瑕疵。</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乙方充分理解甲方“按现状”转让标的物的合法性、合理性。愿意自行承担标的物的任何瑕疵（包括甲方已经披露的和尚未披露的）可能带来的法律、政策及商业风险，承诺不因甲方提供的资料或披露的事项可能存在的遗漏、不准确、虚假等原因而向甲方主张法律责任。</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（6）乙方不以任何理由、任何方式不按照公告要求和本合同约定支付任一期成交价款；</w:t>
      </w:r>
    </w:p>
    <w:p>
      <w:pPr>
        <w:keepNext w:val="0"/>
        <w:keepLines w:val="0"/>
        <w:pageBreakBefore w:val="0"/>
        <w:kinsoku/>
        <w:wordWrap/>
        <w:overflowPunct/>
        <w:topLinePunct w:val="0"/>
        <w:autoSpaceDE/>
        <w:bidi w:val="0"/>
        <w:adjustRightInd/>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（7）乙方用于支付转让价款的资金来源合法。    </w:t>
      </w:r>
    </w:p>
    <w:p>
      <w:pPr>
        <w:keepNext w:val="0"/>
        <w:keepLines w:val="0"/>
        <w:pageBreakBefore w:val="0"/>
        <w:widowControl w:val="0"/>
        <w:kinsoku/>
        <w:wordWrap/>
        <w:overflowPunct/>
        <w:topLinePunct w:val="0"/>
        <w:autoSpaceDE/>
        <w:autoSpaceDN/>
        <w:bidi w:val="0"/>
        <w:adjustRightInd/>
        <w:snapToGrid w:val="0"/>
        <w:spacing w:before="157" w:beforeLines="50" w:line="560" w:lineRule="exact"/>
        <w:ind w:left="0" w:leftChars="0" w:right="0" w:rightChars="0" w:firstLine="562" w:firstLineChars="200"/>
        <w:jc w:val="both"/>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五、违约责任</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本合同生效后，乙方违反北部湾产权交易所挂牌公告的规定或者本合同的约定的，且逾期10日仍未履行/补救完毕的，甲方有权解除本合同，并要求乙方按照成交价款的20%支付一次性违约金。乙方交纳的交易保证金可以抵扣作为违约金。本合同其他条款另有约定的，从约定。</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2.乙方不得以</w:t>
      </w:r>
      <w:bookmarkStart w:id="0" w:name="_GoBack"/>
      <w:r>
        <w:rPr>
          <w:rFonts w:hint="eastAsia" w:ascii="仿宋_GB2312" w:hAnsi="仿宋_GB2312" w:eastAsia="仿宋_GB2312" w:cs="仿宋_GB2312"/>
          <w:b w:val="0"/>
          <w:bCs/>
          <w:sz w:val="28"/>
          <w:szCs w:val="28"/>
          <w:lang w:val="en-US" w:eastAsia="zh-CN"/>
        </w:rPr>
        <w:t>任何理由、任何方式迟延支付成交价款。乙方未按本合同约定期限支付任一期转让价款的，甲方有权要求乙方支付逾期付款违约金，逾期付款违约金按照应付未付成交价款的每日万分之 五 的比例计算。逾期付款超过 30 日</w:t>
      </w:r>
      <w:bookmarkEnd w:id="0"/>
      <w:r>
        <w:rPr>
          <w:rFonts w:hint="eastAsia" w:ascii="仿宋_GB2312" w:hAnsi="仿宋_GB2312" w:eastAsia="仿宋_GB2312" w:cs="仿宋_GB2312"/>
          <w:b w:val="0"/>
          <w:bCs/>
          <w:sz w:val="28"/>
          <w:szCs w:val="28"/>
          <w:lang w:val="en-US" w:eastAsia="zh-CN"/>
        </w:rPr>
        <w:t>的，甲方还有权解除本合同，要求乙方按照成交价款总额20%的比例增加支付一次性违约金。乙方交纳的交易保证金可以冲抵逾期付款违约金、一次性违约金。</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3.甲方未按本合同约定交割标的物，应向乙方支付逾期违约金。违约金按照成交价款的每日万分之五计算。逾期超过30日的，乙方还有权解除本合同。但非因甲方原因导致交割、过户延迟的除外。</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 xml:space="preserve">4.一方违约给另一方造成经济损失，且违约方支付违约金的数额不足以赔偿对方的经济损失时，守约方有权就差额部分向违约方追偿。  </w:t>
      </w:r>
    </w:p>
    <w:p>
      <w:pPr>
        <w:keepNext w:val="0"/>
        <w:keepLines w:val="0"/>
        <w:pageBreakBefore w:val="0"/>
        <w:widowControl w:val="0"/>
        <w:kinsoku/>
        <w:wordWrap/>
        <w:overflowPunct/>
        <w:topLinePunct w:val="0"/>
        <w:autoSpaceDE/>
        <w:autoSpaceDN/>
        <w:bidi w:val="0"/>
        <w:adjustRightInd/>
        <w:snapToGrid w:val="0"/>
        <w:spacing w:before="157" w:beforeLines="50" w:line="560" w:lineRule="exact"/>
        <w:ind w:left="0" w:leftChars="0" w:right="0" w:rightChars="0" w:firstLine="562"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b/>
          <w:sz w:val="28"/>
          <w:szCs w:val="28"/>
          <w:lang w:val="en-US" w:eastAsia="zh-CN"/>
        </w:rPr>
        <w:t>六、</w:t>
      </w:r>
      <w:r>
        <w:rPr>
          <w:rFonts w:hint="eastAsia" w:ascii="仿宋_GB2312" w:hAnsi="仿宋_GB2312" w:eastAsia="仿宋_GB2312" w:cs="仿宋_GB2312"/>
          <w:b/>
          <w:sz w:val="28"/>
          <w:szCs w:val="28"/>
          <w:lang w:eastAsia="zh-CN"/>
        </w:rPr>
        <w:t>合同的变更、解除和合同附件</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1.双方对本合同内容的变更或补充应采用书面形式订立，并作为本合同的附件。本合同的附件与本合同具有同等的法律效力。</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乙方在受让转让标的过程中，北部湾产权交易所的挂牌公告以及乙方依照挂牌公告递交的承诺函等文件均为本合同不可分割的组成部分，与本合同具有同等法律效力。与本合同相冲突或者不相容的，以本合同约定为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3.本合同的变更须订立书面协议，并报交易所备案。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特别声明：在办理标的物过户登记手续过程中，如应过户审批部门的要求另行签署其他任何合同、协议等法律文件，而另行签署的其他任何合同、协议等法律文件与本合同的约定相冲突或者不相容的，以本合同的约定为准。</w:t>
      </w:r>
    </w:p>
    <w:p>
      <w:pPr>
        <w:keepNext w:val="0"/>
        <w:keepLines w:val="0"/>
        <w:pageBreakBefore w:val="0"/>
        <w:widowControl w:val="0"/>
        <w:kinsoku/>
        <w:wordWrap/>
        <w:overflowPunct/>
        <w:topLinePunct w:val="0"/>
        <w:autoSpaceDE/>
        <w:autoSpaceDN/>
        <w:bidi w:val="0"/>
        <w:adjustRightInd/>
        <w:snapToGrid w:val="0"/>
        <w:spacing w:before="157" w:beforeLines="50" w:line="560" w:lineRule="exact"/>
        <w:ind w:left="0" w:leftChars="0" w:right="0" w:rightChars="0" w:firstLine="562" w:firstLineChars="200"/>
        <w:jc w:val="both"/>
        <w:textAlignment w:val="auto"/>
        <w:outlineLvl w:val="9"/>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lang w:eastAsia="zh-CN"/>
        </w:rPr>
        <w:t>、合同的生效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本合同经双方签字盖章后生效，本合同的变更、补充协议与本合同具有同等法律效力。</w:t>
      </w:r>
    </w:p>
    <w:p>
      <w:pPr>
        <w:keepNext w:val="0"/>
        <w:keepLines w:val="0"/>
        <w:pageBreakBefore w:val="0"/>
        <w:widowControl w:val="0"/>
        <w:kinsoku/>
        <w:wordWrap/>
        <w:overflowPunct/>
        <w:topLinePunct w:val="0"/>
        <w:autoSpaceDE/>
        <w:autoSpaceDN/>
        <w:bidi w:val="0"/>
        <w:adjustRightInd/>
        <w:snapToGrid w:val="0"/>
        <w:spacing w:before="157" w:beforeLines="50" w:line="560" w:lineRule="exact"/>
        <w:ind w:left="0" w:leftChars="0" w:right="0" w:rightChars="0" w:firstLine="562"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lang w:eastAsia="zh-CN"/>
        </w:rPr>
        <w:t>、合同争议的解决方式</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甲、乙双方在合同履行过程中发生争议，应本着友好合作的原则协商解决，或请交易所调解。协商、调解无效时，可以向南宁市中级人民法院起诉。</w:t>
      </w:r>
    </w:p>
    <w:p>
      <w:pPr>
        <w:keepNext w:val="0"/>
        <w:keepLines w:val="0"/>
        <w:pageBreakBefore w:val="0"/>
        <w:widowControl w:val="0"/>
        <w:kinsoku/>
        <w:wordWrap/>
        <w:overflowPunct/>
        <w:topLinePunct w:val="0"/>
        <w:autoSpaceDE/>
        <w:autoSpaceDN/>
        <w:bidi w:val="0"/>
        <w:adjustRightInd/>
        <w:snapToGrid w:val="0"/>
        <w:spacing w:before="157" w:beforeLines="50" w:line="560" w:lineRule="exact"/>
        <w:ind w:left="0" w:leftChars="0" w:right="0" w:rightChars="0" w:firstLine="562" w:firstLineChars="200"/>
        <w:jc w:val="both"/>
        <w:textAlignment w:val="auto"/>
        <w:outlineLvl w:val="9"/>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lang w:eastAsia="zh-CN"/>
        </w:rPr>
        <w:t>、通知及送达</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本协议任何一方向其他方发出的与本协议项下约定有关的通知，以及人民法院、仲裁委员会向本协议任何一方送达与本协议项下有关争议的诉讼文书、仲裁文书等，以下列通讯地址、传真号码、电子邮件地址等为送达地址：</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甲方：通讯地址为南宁市青秀区金浦路22号名都大厦9层，联系电话为13877143176；电子邮件地址为gxnfadmin@163.com。</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乙方：通讯地址*********，传真号码*********，电子邮件地址***********</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协议任何一方变更前款所列通讯地址、传真号码、电子邮件地址等送达地址的，应该在变更后5日内通知其他方。其他方在收到通知前按照受送达人原通讯地址、传真号码、电子邮件地址等送达地址发出的通知应视为有效送达。</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本协议任何一方向其他方发出的与本协议项下约定有关的通知，以及人民法院、仲裁委员会向本协议任何一方送达与本协议项下有关争议的诉讼文书、仲裁文书等（法律法规及司法解释另有规定的，从规定），应当以下列一种或多种形式发出，并按下列约定确定送达日期：</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 直接送交。受送达方或其他有权签收的人签收的日期为送达日期。拒绝签收的，采用拍照、录像等方式记录送达过程即视为送达。</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以邮寄或快递信件方式发出。收件人或其他有权签收的人签收或盖章的日期为送达日期。如果收件人或其他有权签收的人拒收的，以邮政企业、快递企业或其投递员记载的拒收日期为送达日期。除寄件人填错收件人送达地址的原因外，信件无法投递或未投递成功的，寄件人交寄后届满5日的次日为送达日期，视为通知已经送达收件人。</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（3）以传真、电子邮件等电子方式发出。以发件人对应系统显示发送成功的日期为送达日期。</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第2条所称“其他有权签收的人”指：如受送达方或收件人是自然人的，为其指定联系人、委托代理人或同住成年家属；如受送达人或收件人是法人或其他组织的，为其法定代表人、负责人、指定联系人、委托代理人或办公室、收发室、值班室等负责收件的人。</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4.同时以第2条中两种或两种以上方式通知的，以最先送达的日期为送达日期。</w:t>
      </w:r>
    </w:p>
    <w:p>
      <w:pPr>
        <w:keepNext w:val="0"/>
        <w:keepLines w:val="0"/>
        <w:pageBreakBefore w:val="0"/>
        <w:widowControl w:val="0"/>
        <w:kinsoku/>
        <w:wordWrap/>
        <w:overflowPunct/>
        <w:topLinePunct w:val="0"/>
        <w:autoSpaceDE/>
        <w:autoSpaceDN/>
        <w:bidi w:val="0"/>
        <w:adjustRightInd/>
        <w:snapToGrid w:val="0"/>
        <w:spacing w:before="157" w:beforeLines="50" w:line="560" w:lineRule="exact"/>
        <w:ind w:left="0" w:leftChars="0" w:right="0" w:rightChars="0" w:firstLine="562" w:firstLineChars="200"/>
        <w:jc w:val="both"/>
        <w:textAlignment w:val="auto"/>
        <w:outlineLvl w:val="9"/>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第十条、其他</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本合同一式 拾 份，甲、乙双方各执 贰 份，北部湾产权交易所留存 壹 份用于备案，其余用于办理标的物过户的审批、登记使用。</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（以下无正文）</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p>
    <w:p>
      <w:pPr>
        <w:keepNext w:val="0"/>
        <w:keepLines w:val="0"/>
        <w:pageBreakBefore w:val="0"/>
        <w:kinsoku/>
        <w:wordWrap/>
        <w:overflowPunct/>
        <w:topLinePunct w:val="0"/>
        <w:autoSpaceDE/>
        <w:bidi w:val="0"/>
        <w:adjustRightInd/>
        <w:snapToGrid w:val="0"/>
        <w:spacing w:line="560" w:lineRule="exact"/>
        <w:ind w:firstLine="48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本页无正文，为编号为    广西有色金属集团有限公司所有的一批潜污泵、无缝钢管等多项设备整体转让《交易合同》的签字盖章页</w:t>
      </w:r>
      <w:r>
        <w:rPr>
          <w:rFonts w:hint="eastAsia" w:ascii="仿宋_GB2312" w:hAnsi="仿宋_GB2312" w:eastAsia="仿宋_GB2312" w:cs="仿宋_GB2312"/>
          <w:sz w:val="28"/>
          <w:szCs w:val="28"/>
          <w:lang w:eastAsia="zh-CN"/>
        </w:rPr>
        <w:t>）</w:t>
      </w:r>
    </w:p>
    <w:p>
      <w:pPr>
        <w:keepNext w:val="0"/>
        <w:keepLines w:val="0"/>
        <w:pageBreakBefore w:val="0"/>
        <w:kinsoku/>
        <w:wordWrap/>
        <w:overflowPunct/>
        <w:topLinePunct w:val="0"/>
        <w:autoSpaceDE/>
        <w:bidi w:val="0"/>
        <w:adjustRightInd/>
        <w:snapToGrid w:val="0"/>
        <w:spacing w:line="560" w:lineRule="exact"/>
        <w:ind w:firstLine="480"/>
        <w:rPr>
          <w:rFonts w:hint="eastAsia" w:ascii="仿宋_GB2312" w:hAnsi="仿宋_GB2312" w:eastAsia="仿宋_GB2312" w:cs="仿宋_GB2312"/>
          <w:sz w:val="28"/>
          <w:szCs w:val="28"/>
          <w:lang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甲方（盖章）：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或授权代表（签字）：</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乙方（盖章）：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或授权代表（签字）：</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签约地点：广西南宁市青秀区</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签约日期：     年   月   日</w:t>
      </w: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rPr>
      </w:pP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lang w:val="en-US" w:eastAsia="zh-CN"/>
        </w:rPr>
        <w:sectPr>
          <w:footerReference r:id="rId5" w:type="default"/>
          <w:pgSz w:w="11906" w:h="16838"/>
          <w:pgMar w:top="1440" w:right="1800" w:bottom="1440" w:left="1800" w:header="851" w:footer="992" w:gutter="0"/>
          <w:pgNumType w:fmt="decimal" w:start="1"/>
          <w:cols w:space="720" w:num="1"/>
          <w:docGrid w:type="lines" w:linePitch="312" w:charSpace="0"/>
        </w:sectPr>
      </w:pP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                  机器设备清单</w:t>
      </w:r>
    </w:p>
    <w:p>
      <w:pPr>
        <w:keepNext w:val="0"/>
        <w:keepLines w:val="0"/>
        <w:pageBreakBefore w:val="0"/>
        <w:kinsoku/>
        <w:wordWrap/>
        <w:overflowPunct/>
        <w:topLinePunct w:val="0"/>
        <w:autoSpaceDE/>
        <w:bidi w:val="0"/>
        <w:adjustRightInd/>
        <w:snapToGrid w:val="0"/>
        <w:spacing w:line="560" w:lineRule="exact"/>
        <w:rPr>
          <w:rFonts w:hint="eastAsia" w:ascii="仿宋_GB2312" w:hAnsi="仿宋_GB2312" w:eastAsia="仿宋_GB2312" w:cs="仿宋_GB2312"/>
          <w:sz w:val="28"/>
          <w:szCs w:val="28"/>
          <w:lang w:val="en-US" w:eastAsia="zh-CN"/>
        </w:rPr>
      </w:pPr>
    </w:p>
    <w:sectPr>
      <w:pgSz w:w="16838" w:h="11906" w:orient="landscape"/>
      <w:pgMar w:top="1800" w:right="1440" w:bottom="1800" w:left="144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Narrow">
    <w:panose1 w:val="020B0606020202030204"/>
    <w:charset w:val="00"/>
    <w:family w:val="auto"/>
    <w:pitch w:val="default"/>
    <w:sig w:usb0="00000287" w:usb1="000008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fldChar w:fldCharType="begin"/>
    </w:r>
    <w:r>
      <w:rPr>
        <w:rStyle w:val="6"/>
      </w:rPr>
      <w:instrText xml:space="preserve">PAGE  </w:instrText>
    </w:r>
    <w: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F0A6E"/>
    <w:rsid w:val="11EF0A6E"/>
    <w:rsid w:val="13F31D7B"/>
    <w:rsid w:val="17F86E07"/>
    <w:rsid w:val="1C9854A7"/>
    <w:rsid w:val="29A525A4"/>
    <w:rsid w:val="2B8261DF"/>
    <w:rsid w:val="2C893B83"/>
    <w:rsid w:val="51012F24"/>
    <w:rsid w:val="64356BFC"/>
    <w:rsid w:val="7A8E58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link w:val="5"/>
    <w:semiHidden/>
    <w:qFormat/>
    <w:uiPriority w:val="0"/>
    <w:rPr>
      <w:szCs w:val="20"/>
    </w:rPr>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customStyle="1" w:styleId="5">
    <w:name w:val="Char Char Char1 Char Char Char Char Char Char Char Char Char Char Char"/>
    <w:basedOn w:val="1"/>
    <w:link w:val="4"/>
    <w:qFormat/>
    <w:uiPriority w:val="0"/>
    <w:rPr>
      <w:szCs w:val="20"/>
    </w:rPr>
  </w:style>
  <w:style w:type="character" w:styleId="6">
    <w:name w:val="page number"/>
    <w:basedOn w:val="4"/>
    <w:qFormat/>
    <w:uiPriority w:val="0"/>
  </w:style>
  <w:style w:type="character" w:customStyle="1" w:styleId="8">
    <w:name w:val="font31"/>
    <w:basedOn w:val="4"/>
    <w:qFormat/>
    <w:uiPriority w:val="0"/>
    <w:rPr>
      <w:rFonts w:hint="default" w:ascii="Arial Narrow" w:hAnsi="Arial Narrow" w:eastAsia="Arial Narrow" w:cs="Arial Narrow"/>
      <w:color w:val="000000"/>
      <w:sz w:val="20"/>
      <w:szCs w:val="20"/>
      <w:u w:val="none"/>
    </w:rPr>
  </w:style>
  <w:style w:type="character" w:customStyle="1" w:styleId="9">
    <w:name w:val="font0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2017-10-13T03:06:00Z</dcterms:created>
  <dc:creator>hujia</dc:creator>
  <cp:lastModifiedBy>糊糊</cp:lastModifiedBy>
  <dcterms:modified xsi:type="dcterms:W3CDTF">2018-04-15T12:45:28Z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