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广州世纪阳光纸业有限公司70％股权转让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</w:p>
    <w:tbl>
      <w:tblPr>
        <w:tblStyle w:val="4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广州世纪阳光纸业有限公司70％股权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人民币200000 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联系人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电子邮件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通讯地址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jc w:val="both"/>
        <w:rPr>
          <w:rFonts w:hint="eastAsia" w:ascii="仿宋_GB2312" w:eastAsia="仿宋_GB2312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竞价交易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交易服务费到你交易所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（优先权人除外）。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㈤受让（竞价）成功后未按时足额支付成交价款或交易服务费；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十、</w:t>
      </w:r>
      <w:r>
        <w:rPr>
          <w:rFonts w:hint="eastAsia" w:ascii="仿宋_GB2312" w:eastAsia="仿宋_GB2312"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3CAD4821"/>
    <w:rsid w:val="4C6D6C8D"/>
    <w:rsid w:val="6A11057C"/>
    <w:rsid w:val="7022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卍戒二世</cp:lastModifiedBy>
  <dcterms:modified xsi:type="dcterms:W3CDTF">2018-08-15T07:25:44Z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