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sz w:val="32"/>
          <w:szCs w:val="32"/>
          <w:u w:val="none"/>
        </w:rPr>
        <w:t>琼D74</w:t>
      </w:r>
      <w:r>
        <w:rPr>
          <w:rFonts w:hint="eastAsia" w:ascii="宋体" w:hAnsi="宋体" w:eastAsia="宋体"/>
          <w:b/>
          <w:sz w:val="32"/>
          <w:szCs w:val="32"/>
          <w:u w:val="none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  <w:u w:val="none"/>
        </w:rPr>
        <w:t>58华泰圣达菲牌SDH6453M4小型普通客车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转让项目受让登记与承诺书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BBWCQJY18-264（2）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人民币2000.00元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bookmarkEnd w:id="0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359B35EF"/>
    <w:rsid w:val="3C4F44B0"/>
    <w:rsid w:val="58DA41B7"/>
    <w:rsid w:val="61FB7C71"/>
    <w:rsid w:val="6A11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2018-09-07T07:03:34Z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