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四川广银铝业有限公司100%股权及广西投资集团银海铝业有限公司持有的债权捆绑转让项目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BBWCQJY18-169（3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）</w:t>
      </w:r>
    </w:p>
    <w:tbl>
      <w:tblPr>
        <w:tblStyle w:val="4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人民币700.00万元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B3949CA"/>
    <w:rsid w:val="0D7F4305"/>
    <w:rsid w:val="194724B7"/>
    <w:rsid w:val="24E75905"/>
    <w:rsid w:val="4EFF78B6"/>
    <w:rsid w:val="50E82B06"/>
    <w:rsid w:val="5C06041D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何文彬</cp:lastModifiedBy>
  <dcterms:modified xsi:type="dcterms:W3CDTF">2019-03-01T01:46:26Z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