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四川广银铝业有限公司100%股权及广西投资集团银海铝业有限公司持有的债权捆绑转让项目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right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BBWCQJY18-169（6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）</w:t>
      </w:r>
    </w:p>
    <w:tbl>
      <w:tblPr>
        <w:tblStyle w:val="3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人民币700.00万元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*为必填项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（手机号码）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电子邮件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以上通讯地址保证为可联系地址，所有往来函件意向受让方同意并确定以所填写的通讯地址为准。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3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</w:t>
      </w:r>
      <w:r>
        <w:rPr>
          <w:rFonts w:hint="eastAsia" w:ascii="仿宋_GB2312" w:eastAsia="仿宋_GB2312"/>
          <w:sz w:val="21"/>
          <w:szCs w:val="21"/>
          <w:lang w:eastAsia="zh-CN"/>
        </w:rPr>
        <w:t>竞价</w:t>
      </w:r>
      <w:r>
        <w:rPr>
          <w:rFonts w:hint="eastAsia" w:ascii="仿宋_GB2312" w:eastAsia="仿宋_GB2312"/>
          <w:sz w:val="21"/>
          <w:szCs w:val="21"/>
        </w:rPr>
        <w:t>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2" w:firstLineChars="200"/>
        <w:rPr>
          <w:rFonts w:hint="eastAsia" w:ascii="仿宋_GB2312" w:eastAsia="仿宋_GB2312"/>
          <w:b/>
          <w:bCs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sz w:val="21"/>
          <w:szCs w:val="21"/>
        </w:rPr>
        <w:t>十、</w:t>
      </w:r>
      <w:r>
        <w:rPr>
          <w:rFonts w:hint="eastAsia" w:ascii="仿宋_GB2312" w:eastAsia="仿宋_GB2312"/>
          <w:b/>
          <w:bCs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09524831"/>
    <w:rsid w:val="0B3949CA"/>
    <w:rsid w:val="0D7F4305"/>
    <w:rsid w:val="194724B7"/>
    <w:rsid w:val="24E75905"/>
    <w:rsid w:val="34ED57D7"/>
    <w:rsid w:val="4EFF78B6"/>
    <w:rsid w:val="50182340"/>
    <w:rsid w:val="50E82B06"/>
    <w:rsid w:val="5C06041D"/>
    <w:rsid w:val="5FAE3570"/>
    <w:rsid w:val="6525299D"/>
    <w:rsid w:val="6A11057C"/>
    <w:rsid w:val="71BC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芝士部</cp:lastModifiedBy>
  <dcterms:modified xsi:type="dcterms:W3CDTF">2019-07-22T06:43:31Z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