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一楼大厅展示墙展示内容</w:t>
      </w:r>
    </w:p>
    <w:p>
      <w:pPr>
        <w:spacing w:line="560" w:lineRule="exact"/>
        <w:jc w:val="center"/>
        <w:rPr>
          <w:rFonts w:hint="eastAsia" w:ascii="楷体_GB2312" w:hAnsi="Times New Roman" w:eastAsia="楷体_GB2312"/>
          <w:sz w:val="32"/>
          <w:szCs w:val="32"/>
        </w:rPr>
      </w:pPr>
    </w:p>
    <w:p>
      <w:pPr>
        <w:spacing w:line="540" w:lineRule="exact"/>
        <w:jc w:val="left"/>
        <w:rPr>
          <w:rFonts w:hint="eastAsia" w:ascii="Times New Roman" w:hAnsi="Times New Roman" w:eastAsia="楷体_GB2312"/>
          <w:sz w:val="32"/>
          <w:szCs w:val="32"/>
        </w:rPr>
      </w:pPr>
      <w:r>
        <w:rPr>
          <w:rFonts w:hint="eastAsia" w:ascii="楷体_GB2312" w:hAnsi="Times New Roman" w:eastAsia="楷体_GB2312"/>
          <w:b/>
          <w:bCs/>
          <w:sz w:val="32"/>
          <w:szCs w:val="32"/>
        </w:rPr>
        <w:t>一、资质平台29个（左墙中文/右墙英文：按照下列顺序从下往上排列）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b/>
          <w:bCs/>
          <w:sz w:val="32"/>
          <w:szCs w:val="32"/>
          <w:u w:val="single"/>
        </w:rPr>
      </w:pPr>
    </w:p>
    <w:p>
      <w:pPr>
        <w:spacing w:line="540" w:lineRule="exact"/>
        <w:jc w:val="left"/>
        <w:rPr>
          <w:rFonts w:hint="eastAsia" w:ascii="Times New Roman" w:hAnsi="Times New Roman" w:eastAsia="仿宋_GB2312"/>
          <w:b/>
          <w:bCs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  <w:u w:val="single"/>
        </w:rPr>
        <w:t>左半边——从下往上不规则排列</w:t>
      </w:r>
      <w:bookmarkStart w:id="0" w:name="_GoBack"/>
      <w:bookmarkEnd w:id="0"/>
    </w:p>
    <w:p>
      <w:pPr>
        <w:numPr>
          <w:ilvl w:val="0"/>
          <w:numId w:val="1"/>
        </w:num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中央及地方国有企业资产交易指定机构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The Only Authorized Trading Institution of Assets of Central and Local State-Owned Enterprises in Guangxi</w:t>
      </w:r>
      <w:r>
        <w:rPr>
          <w:rFonts w:ascii="Times New Roman" w:hAnsi="Times New Roman" w:eastAsia="仿宋_GB2312"/>
          <w:sz w:val="32"/>
          <w:szCs w:val="32"/>
        </w:rPr>
        <w:br w:type="textWrapping"/>
      </w:r>
      <w:r>
        <w:rPr>
          <w:rFonts w:hint="eastAsia" w:ascii="Times New Roman" w:hAnsi="Times New Roman" w:eastAsia="仿宋_GB2312"/>
          <w:sz w:val="32"/>
          <w:szCs w:val="32"/>
        </w:rPr>
        <w:t>2.中央及地方金融企业国有资产交易指定机构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The Only Authorized Trading Institution of State Assets of Central and Local Financial Enterprises in Guangxi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3.广西国有企业增资业务指定机构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The Only Authorized Institution of Guangxi State-Owned Enterprises in Capital and Share Increase in Guangxi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4.广西技术合同认定登记机构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Registration Agency of Guangxi Technology Contract Acknowledgment  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5.广西技术转移示范机构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Demonstrat</w:t>
      </w:r>
      <w:r>
        <w:rPr>
          <w:rFonts w:ascii="Times New Roman" w:hAnsi="Times New Roman" w:eastAsia="仿宋_GB2312"/>
          <w:sz w:val="32"/>
          <w:szCs w:val="32"/>
        </w:rPr>
        <w:t>ed</w:t>
      </w:r>
      <w:r>
        <w:rPr>
          <w:rFonts w:hint="eastAsia" w:ascii="Times New Roman" w:hAnsi="Times New Roman" w:eastAsia="仿宋_GB2312"/>
          <w:sz w:val="32"/>
          <w:szCs w:val="32"/>
        </w:rPr>
        <w:t xml:space="preserve"> Institution of Guangxi Technology Transfer  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pacing w:val="-14"/>
          <w:sz w:val="32"/>
          <w:szCs w:val="32"/>
        </w:rPr>
      </w:pPr>
      <w:r>
        <w:rPr>
          <w:rFonts w:hint="eastAsia" w:ascii="Times New Roman" w:hAnsi="Times New Roman" w:eastAsia="仿宋_GB2312"/>
          <w:spacing w:val="-14"/>
          <w:sz w:val="32"/>
          <w:szCs w:val="32"/>
        </w:rPr>
        <w:t>6.全国产权交易行业</w:t>
      </w:r>
      <w:r>
        <w:rPr>
          <w:rFonts w:ascii="Times New Roman" w:hAnsi="Times New Roman" w:eastAsia="仿宋_GB2312"/>
          <w:spacing w:val="-14"/>
          <w:sz w:val="32"/>
          <w:szCs w:val="32"/>
        </w:rPr>
        <w:t>AAA</w:t>
      </w:r>
      <w:r>
        <w:rPr>
          <w:rFonts w:hint="eastAsia" w:ascii="Times New Roman" w:hAnsi="Times New Roman" w:eastAsia="仿宋_GB2312"/>
          <w:spacing w:val="-14"/>
          <w:sz w:val="32"/>
          <w:szCs w:val="32"/>
        </w:rPr>
        <w:t>级信用单位（企业</w:t>
      </w:r>
      <w:r>
        <w:rPr>
          <w:rFonts w:ascii="Times New Roman" w:hAnsi="Times New Roman" w:eastAsia="仿宋_GB2312"/>
          <w:spacing w:val="-14"/>
          <w:sz w:val="32"/>
          <w:szCs w:val="32"/>
        </w:rPr>
        <w:t>信用</w:t>
      </w:r>
      <w:r>
        <w:rPr>
          <w:rFonts w:hint="eastAsia" w:ascii="Times New Roman" w:hAnsi="Times New Roman" w:eastAsia="仿宋_GB2312"/>
          <w:spacing w:val="-14"/>
          <w:sz w:val="32"/>
          <w:szCs w:val="32"/>
        </w:rPr>
        <w:t>评价</w:t>
      </w:r>
      <w:r>
        <w:rPr>
          <w:rFonts w:ascii="Times New Roman" w:hAnsi="Times New Roman" w:eastAsia="仿宋_GB2312"/>
          <w:spacing w:val="-14"/>
          <w:sz w:val="32"/>
          <w:szCs w:val="32"/>
        </w:rPr>
        <w:t>AAA</w:t>
      </w:r>
      <w:r>
        <w:rPr>
          <w:rFonts w:hint="eastAsia" w:ascii="Times New Roman" w:hAnsi="Times New Roman" w:eastAsia="仿宋_GB2312"/>
          <w:spacing w:val="-14"/>
          <w:sz w:val="32"/>
          <w:szCs w:val="32"/>
        </w:rPr>
        <w:t>级</w:t>
      </w:r>
      <w:r>
        <w:rPr>
          <w:rFonts w:ascii="Times New Roman" w:hAnsi="Times New Roman" w:eastAsia="仿宋_GB2312"/>
          <w:spacing w:val="-14"/>
          <w:sz w:val="32"/>
          <w:szCs w:val="32"/>
        </w:rPr>
        <w:t>信用企业</w:t>
      </w:r>
      <w:r>
        <w:rPr>
          <w:rFonts w:hint="eastAsia" w:ascii="Times New Roman" w:hAnsi="Times New Roman" w:eastAsia="仿宋_GB2312"/>
          <w:spacing w:val="-14"/>
          <w:sz w:val="32"/>
          <w:szCs w:val="32"/>
        </w:rPr>
        <w:t>）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"AAA" Level Credit Unit of National Property Exchange Industry ("AAA" Level Credit Enterprise under the Credit Evaluation System )</w:t>
      </w:r>
    </w:p>
    <w:p>
      <w:pPr>
        <w:numPr>
          <w:ilvl w:val="0"/>
          <w:numId w:val="2"/>
        </w:num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中国企业国有产权交易机构协会理事单位</w:t>
      </w:r>
    </w:p>
    <w:p>
      <w:pPr>
        <w:spacing w:line="540" w:lineRule="exact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Director</w:t>
      </w:r>
      <w:r>
        <w:rPr>
          <w:rFonts w:ascii="Times New Roman" w:hAnsi="Times New Roman" w:eastAsia="仿宋_GB2312"/>
          <w:sz w:val="32"/>
          <w:szCs w:val="32"/>
        </w:rPr>
        <w:t xml:space="preserve"> Unit of Chinese</w:t>
      </w: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  <w:r>
        <w:rPr>
          <w:rFonts w:ascii="Times New Roman" w:hAnsi="Times New Roman" w:eastAsia="仿宋_GB2312"/>
          <w:sz w:val="32"/>
          <w:szCs w:val="32"/>
        </w:rPr>
        <w:t>State-</w:t>
      </w:r>
      <w:r>
        <w:rPr>
          <w:rFonts w:hint="eastAsia" w:ascii="Times New Roman" w:hAnsi="Times New Roman" w:eastAsia="仿宋_GB2312"/>
          <w:sz w:val="32"/>
          <w:szCs w:val="32"/>
        </w:rPr>
        <w:t>O</w:t>
      </w:r>
      <w:r>
        <w:rPr>
          <w:rFonts w:ascii="Times New Roman" w:hAnsi="Times New Roman" w:eastAsia="仿宋_GB2312"/>
          <w:sz w:val="32"/>
          <w:szCs w:val="32"/>
        </w:rPr>
        <w:t>wned Property Exchanges Association</w:t>
      </w:r>
      <w:r>
        <w:rPr>
          <w:rFonts w:hint="eastAsia" w:ascii="Times New Roman" w:hAnsi="Times New Roman" w:eastAsia="仿宋_GB2312"/>
          <w:sz w:val="32"/>
          <w:szCs w:val="32"/>
        </w:rPr>
        <w:t xml:space="preserve"> ( CSPEA)</w:t>
      </w:r>
    </w:p>
    <w:p>
      <w:pPr>
        <w:numPr>
          <w:ilvl w:val="0"/>
          <w:numId w:val="2"/>
        </w:num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中国产权协会农村产权交易分会会长单位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President</w:t>
      </w:r>
      <w:r>
        <w:rPr>
          <w:rFonts w:ascii="Times New Roman" w:hAnsi="Times New Roman" w:eastAsia="仿宋_GB2312"/>
          <w:sz w:val="32"/>
          <w:szCs w:val="32"/>
        </w:rPr>
        <w:t xml:space="preserve"> Unit of</w:t>
      </w:r>
      <w:r>
        <w:rPr>
          <w:rFonts w:hint="eastAsia" w:ascii="Times New Roman" w:hAnsi="Times New Roman" w:eastAsia="仿宋_GB2312"/>
          <w:sz w:val="32"/>
          <w:szCs w:val="32"/>
        </w:rPr>
        <w:t xml:space="preserve"> Chinese State-owned Property Exchanges Association ( CSPEA) R</w:t>
      </w:r>
      <w:r>
        <w:rPr>
          <w:rFonts w:ascii="Times New Roman" w:hAnsi="Times New Roman" w:eastAsia="仿宋_GB2312"/>
          <w:sz w:val="32"/>
          <w:szCs w:val="32"/>
        </w:rPr>
        <w:t xml:space="preserve">ural Property Exchange </w:t>
      </w:r>
      <w:r>
        <w:rPr>
          <w:rFonts w:hint="eastAsia" w:ascii="Times New Roman" w:hAnsi="Times New Roman" w:eastAsia="仿宋_GB2312"/>
          <w:sz w:val="32"/>
          <w:szCs w:val="32"/>
        </w:rPr>
        <w:t>Branch</w:t>
      </w:r>
    </w:p>
    <w:p>
      <w:pPr>
        <w:numPr>
          <w:ilvl w:val="0"/>
          <w:numId w:val="2"/>
        </w:num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广西林业产业行业协会副理事长单位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Vice</w:t>
      </w:r>
      <w:r>
        <w:rPr>
          <w:rFonts w:hint="eastAsia" w:ascii="Times New Roman" w:hAnsi="Times New Roman" w:eastAsia="仿宋_GB2312"/>
          <w:sz w:val="32"/>
          <w:szCs w:val="32"/>
        </w:rPr>
        <w:t xml:space="preserve">-President Unit </w:t>
      </w:r>
      <w:r>
        <w:rPr>
          <w:rFonts w:ascii="Times New Roman" w:hAnsi="Times New Roman" w:eastAsia="仿宋_GB2312"/>
          <w:sz w:val="32"/>
          <w:szCs w:val="32"/>
        </w:rPr>
        <w:t>of Guangxi Forestry Industry Association</w:t>
      </w:r>
    </w:p>
    <w:p>
      <w:pPr>
        <w:numPr>
          <w:ilvl w:val="0"/>
          <w:numId w:val="2"/>
        </w:num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长江流域产权交易共同市场常务理事单位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Standing Director Unit of</w:t>
      </w: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  <w:r>
        <w:rPr>
          <w:rFonts w:ascii="Times New Roman" w:hAnsi="Times New Roman" w:eastAsia="仿宋_GB2312"/>
          <w:sz w:val="32"/>
          <w:szCs w:val="32"/>
        </w:rPr>
        <w:t xml:space="preserve">Yangtze River Basin </w:t>
      </w:r>
      <w:r>
        <w:rPr>
          <w:rFonts w:hint="eastAsia" w:ascii="Times New Roman" w:hAnsi="Times New Roman" w:eastAsia="仿宋_GB2312"/>
          <w:sz w:val="32"/>
          <w:szCs w:val="32"/>
        </w:rPr>
        <w:t xml:space="preserve">Property Exchange </w:t>
      </w:r>
      <w:r>
        <w:rPr>
          <w:rFonts w:ascii="Times New Roman" w:hAnsi="Times New Roman" w:eastAsia="仿宋_GB2312"/>
          <w:sz w:val="32"/>
          <w:szCs w:val="32"/>
        </w:rPr>
        <w:t xml:space="preserve">Common Market </w:t>
      </w:r>
    </w:p>
    <w:p>
      <w:pPr>
        <w:numPr>
          <w:ilvl w:val="0"/>
          <w:numId w:val="2"/>
        </w:num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中国</w:t>
      </w:r>
      <w:r>
        <w:rPr>
          <w:rFonts w:ascii="Times New Roman" w:hAnsi="Times New Roman" w:eastAsia="仿宋_GB2312"/>
          <w:sz w:val="32"/>
          <w:szCs w:val="32"/>
        </w:rPr>
        <w:t>—</w:t>
      </w:r>
      <w:r>
        <w:rPr>
          <w:rFonts w:hint="eastAsia" w:ascii="Times New Roman" w:hAnsi="Times New Roman" w:eastAsia="仿宋_GB2312"/>
          <w:sz w:val="32"/>
          <w:szCs w:val="32"/>
        </w:rPr>
        <w:t>东盟信息港数字经济产业联盟理事单位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Director</w:t>
      </w:r>
      <w:r>
        <w:rPr>
          <w:rFonts w:ascii="Times New Roman" w:hAnsi="Times New Roman" w:eastAsia="仿宋_GB2312"/>
          <w:sz w:val="32"/>
          <w:szCs w:val="32"/>
        </w:rPr>
        <w:t xml:space="preserve"> Unit of</w:t>
      </w:r>
      <w:r>
        <w:rPr>
          <w:rFonts w:hint="eastAsia" w:ascii="Times New Roman" w:hAnsi="Times New Roman" w:eastAsia="仿宋_GB2312"/>
          <w:sz w:val="32"/>
          <w:szCs w:val="32"/>
        </w:rPr>
        <w:t xml:space="preserve"> C</w:t>
      </w:r>
      <w:r>
        <w:rPr>
          <w:rFonts w:ascii="Times New Roman" w:hAnsi="Times New Roman" w:eastAsia="仿宋_GB2312"/>
          <w:sz w:val="32"/>
          <w:szCs w:val="32"/>
        </w:rPr>
        <w:t>hina-ASEAN Information Harbor Digital Economy Industry Alliance</w:t>
      </w:r>
    </w:p>
    <w:p>
      <w:pPr>
        <w:numPr>
          <w:ilvl w:val="0"/>
          <w:numId w:val="2"/>
        </w:numPr>
        <w:spacing w:line="540" w:lineRule="exact"/>
        <w:jc w:val="left"/>
        <w:rPr>
          <w:rFonts w:hint="eastAsia" w:ascii="Times New Roman" w:hAnsi="Times New Roman" w:eastAsia="仿宋_GB2312"/>
          <w:spacing w:val="-12"/>
          <w:sz w:val="32"/>
          <w:szCs w:val="32"/>
        </w:rPr>
      </w:pPr>
      <w:r>
        <w:rPr>
          <w:rFonts w:hint="eastAsia" w:ascii="Times New Roman" w:hAnsi="Times New Roman" w:eastAsia="仿宋_GB2312"/>
          <w:spacing w:val="-12"/>
          <w:sz w:val="32"/>
          <w:szCs w:val="32"/>
        </w:rPr>
        <w:t>“E交易”统一云平台联盟成员</w:t>
      </w:r>
    </w:p>
    <w:p>
      <w:pPr>
        <w:spacing w:line="540" w:lineRule="exact"/>
        <w:jc w:val="left"/>
        <w:rPr>
          <w:rFonts w:ascii="Times New Roman" w:hAnsi="Times New Roman" w:eastAsia="仿宋_GB2312"/>
          <w:spacing w:val="-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M</w:t>
      </w:r>
      <w:r>
        <w:rPr>
          <w:rFonts w:ascii="Times New Roman" w:hAnsi="Times New Roman" w:eastAsia="仿宋_GB2312"/>
          <w:sz w:val="32"/>
          <w:szCs w:val="32"/>
        </w:rPr>
        <w:t>ember of</w:t>
      </w:r>
      <w:r>
        <w:rPr>
          <w:rFonts w:hint="eastAsia" w:ascii="Times New Roman" w:hAnsi="Times New Roman" w:eastAsia="仿宋_GB2312"/>
          <w:sz w:val="32"/>
          <w:szCs w:val="32"/>
        </w:rPr>
        <w:t xml:space="preserve">  </w:t>
      </w:r>
      <w:r>
        <w:rPr>
          <w:rFonts w:ascii="Times New Roman" w:hAnsi="Times New Roman" w:eastAsia="仿宋_GB2312"/>
          <w:sz w:val="32"/>
          <w:szCs w:val="32"/>
        </w:rPr>
        <w:t>“E-</w:t>
      </w:r>
      <w:r>
        <w:rPr>
          <w:rFonts w:hint="eastAsia" w:ascii="Times New Roman" w:hAnsi="Times New Roman" w:eastAsia="仿宋_GB2312"/>
          <w:sz w:val="32"/>
          <w:szCs w:val="32"/>
        </w:rPr>
        <w:t>Exchange System</w:t>
      </w:r>
      <w:r>
        <w:rPr>
          <w:rFonts w:ascii="Times New Roman" w:hAnsi="Times New Roman" w:eastAsia="仿宋_GB2312"/>
          <w:sz w:val="32"/>
          <w:szCs w:val="32"/>
        </w:rPr>
        <w:t>”</w:t>
      </w:r>
      <w:r>
        <w:rPr>
          <w:rFonts w:hint="eastAsia" w:ascii="Times New Roman" w:hAnsi="Times New Roman" w:eastAsia="仿宋_GB2312"/>
          <w:sz w:val="32"/>
          <w:szCs w:val="32"/>
        </w:rPr>
        <w:t xml:space="preserve"> United </w:t>
      </w:r>
      <w:r>
        <w:rPr>
          <w:rFonts w:ascii="Times New Roman" w:hAnsi="Times New Roman" w:eastAsia="仿宋_GB2312"/>
          <w:sz w:val="32"/>
          <w:szCs w:val="32"/>
        </w:rPr>
        <w:t>Cloud Platform</w:t>
      </w: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  <w:r>
        <w:rPr>
          <w:rFonts w:ascii="Times New Roman" w:hAnsi="Times New Roman" w:eastAsia="仿宋_GB2312"/>
          <w:sz w:val="32"/>
          <w:szCs w:val="32"/>
        </w:rPr>
        <w:t>Alliance</w:t>
      </w:r>
    </w:p>
    <w:p>
      <w:pPr>
        <w:numPr>
          <w:ilvl w:val="0"/>
          <w:numId w:val="2"/>
        </w:numPr>
        <w:spacing w:line="540" w:lineRule="exac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广西知识产权</w:t>
      </w:r>
      <w:r>
        <w:rPr>
          <w:rFonts w:ascii="Times New Roman" w:hAnsi="Times New Roman" w:eastAsia="仿宋_GB2312"/>
          <w:sz w:val="32"/>
          <w:szCs w:val="32"/>
        </w:rPr>
        <w:t>“</w:t>
      </w:r>
      <w:r>
        <w:rPr>
          <w:rFonts w:hint="eastAsia" w:ascii="Times New Roman" w:hAnsi="Times New Roman" w:eastAsia="仿宋_GB2312"/>
          <w:sz w:val="32"/>
          <w:szCs w:val="32"/>
        </w:rPr>
        <w:t>一站式</w:t>
      </w:r>
      <w:r>
        <w:rPr>
          <w:rFonts w:ascii="Times New Roman" w:hAnsi="Times New Roman" w:eastAsia="仿宋_GB2312"/>
          <w:sz w:val="32"/>
          <w:szCs w:val="32"/>
        </w:rPr>
        <w:t>”</w:t>
      </w:r>
      <w:r>
        <w:rPr>
          <w:rFonts w:hint="eastAsia" w:ascii="Times New Roman" w:hAnsi="Times New Roman" w:eastAsia="仿宋_GB2312"/>
          <w:sz w:val="32"/>
          <w:szCs w:val="32"/>
        </w:rPr>
        <w:t>综合服务联盟成员</w:t>
      </w:r>
    </w:p>
    <w:p>
      <w:pPr>
        <w:spacing w:line="540" w:lineRule="exac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Member of Guangxi Intellectual Property One-Stop Comprehensive Service Alliance</w:t>
      </w:r>
    </w:p>
    <w:p>
      <w:pPr>
        <w:numPr>
          <w:ilvl w:val="0"/>
          <w:numId w:val="2"/>
        </w:numPr>
        <w:spacing w:line="540" w:lineRule="exact"/>
        <w:jc w:val="left"/>
        <w:rPr>
          <w:rFonts w:hint="eastAsia" w:ascii="Times New Roman" w:hAnsi="Times New Roman" w:eastAsia="仿宋_GB2312"/>
          <w:spacing w:val="-12"/>
          <w:sz w:val="32"/>
          <w:szCs w:val="32"/>
        </w:rPr>
      </w:pPr>
      <w:r>
        <w:rPr>
          <w:rFonts w:hint="eastAsia" w:ascii="Times New Roman" w:hAnsi="Times New Roman" w:eastAsia="仿宋_GB2312"/>
          <w:spacing w:val="-12"/>
          <w:sz w:val="32"/>
          <w:szCs w:val="32"/>
        </w:rPr>
        <w:t>中国（广西）知识产权维权援助中心工作站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pacing w:val="-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Work</w:t>
      </w:r>
      <w:r>
        <w:rPr>
          <w:rFonts w:hint="eastAsia" w:ascii="Times New Roman" w:hAnsi="Times New Roman" w:eastAsia="仿宋_GB2312"/>
          <w:sz w:val="32"/>
          <w:szCs w:val="32"/>
        </w:rPr>
        <w:t>s</w:t>
      </w:r>
      <w:r>
        <w:rPr>
          <w:rFonts w:ascii="Times New Roman" w:hAnsi="Times New Roman" w:eastAsia="仿宋_GB2312"/>
          <w:sz w:val="32"/>
          <w:szCs w:val="32"/>
        </w:rPr>
        <w:t>tation of</w:t>
      </w: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  <w:r>
        <w:rPr>
          <w:rFonts w:ascii="Times New Roman" w:hAnsi="Times New Roman" w:eastAsia="仿宋_GB2312"/>
          <w:sz w:val="32"/>
          <w:szCs w:val="32"/>
        </w:rPr>
        <w:t>China (Guangxi) Intellectual Property Protection and Assistance Center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b/>
          <w:bCs/>
          <w:sz w:val="32"/>
          <w:szCs w:val="32"/>
          <w:u w:val="single"/>
        </w:rPr>
      </w:pPr>
    </w:p>
    <w:p>
      <w:pPr>
        <w:spacing w:line="540" w:lineRule="exact"/>
        <w:jc w:val="left"/>
        <w:rPr>
          <w:rFonts w:hint="eastAsia" w:ascii="Times New Roman" w:hAnsi="Times New Roman" w:eastAsia="仿宋_GB2312"/>
          <w:b/>
          <w:bCs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b/>
          <w:bCs/>
          <w:sz w:val="32"/>
          <w:szCs w:val="32"/>
          <w:u w:val="single"/>
        </w:rPr>
        <w:t>右半边——从下往上不规则排列</w:t>
      </w:r>
    </w:p>
    <w:p>
      <w:pPr>
        <w:numPr>
          <w:ilvl w:val="0"/>
          <w:numId w:val="3"/>
        </w:numPr>
        <w:spacing w:line="540" w:lineRule="exac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广西行政事业单位资产交易服务平台</w:t>
      </w:r>
    </w:p>
    <w:p>
      <w:pPr>
        <w:spacing w:line="540" w:lineRule="exac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Guangxi Administrative</w:t>
      </w:r>
      <w:r>
        <w:rPr>
          <w:rFonts w:ascii="Times New Roman" w:hAnsi="Times New Roman" w:eastAsia="仿宋_GB2312"/>
          <w:sz w:val="32"/>
          <w:szCs w:val="32"/>
        </w:rPr>
        <w:t> </w:t>
      </w:r>
      <w:r>
        <w:rPr>
          <w:rFonts w:hint="eastAsia" w:ascii="Times New Roman" w:hAnsi="Times New Roman" w:eastAsia="仿宋_GB2312"/>
          <w:sz w:val="32"/>
          <w:szCs w:val="32"/>
        </w:rPr>
        <w:t>U</w:t>
      </w:r>
      <w:r>
        <w:rPr>
          <w:rFonts w:ascii="Times New Roman" w:hAnsi="Times New Roman" w:eastAsia="仿宋_GB2312"/>
          <w:sz w:val="32"/>
          <w:szCs w:val="32"/>
        </w:rPr>
        <w:t>nites</w:t>
      </w:r>
      <w:r>
        <w:rPr>
          <w:rFonts w:hint="eastAsia" w:ascii="Times New Roman" w:hAnsi="Times New Roman" w:eastAsia="仿宋_GB2312"/>
          <w:sz w:val="32"/>
          <w:szCs w:val="32"/>
        </w:rPr>
        <w:t xml:space="preserve"> Assets Trading Service Platform </w:t>
      </w:r>
    </w:p>
    <w:p>
      <w:pPr>
        <w:spacing w:line="540" w:lineRule="exac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2.广西国企阳光采购服务平台</w:t>
      </w:r>
    </w:p>
    <w:p>
      <w:pPr>
        <w:spacing w:line="540" w:lineRule="exac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Guangxi State-Owned Enterprises Public Purchasing Services Platform </w:t>
      </w:r>
    </w:p>
    <w:p>
      <w:pPr>
        <w:spacing w:line="54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3.广西政府招商服务平台</w:t>
      </w:r>
    </w:p>
    <w:p>
      <w:pPr>
        <w:spacing w:line="540" w:lineRule="exac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Guangxi Province Government</w:t>
      </w:r>
      <w:r>
        <w:rPr>
          <w:rFonts w:hint="eastAsia" w:ascii="Times New Roman" w:hAnsi="Times New Roman" w:eastAsia="仿宋_GB2312"/>
          <w:sz w:val="32"/>
          <w:szCs w:val="32"/>
        </w:rPr>
        <w:t xml:space="preserve"> Investment Promotion Service Platform 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4.广西国有企业引入非公资本市场服务平台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Guangxi State-</w:t>
      </w:r>
      <w:r>
        <w:rPr>
          <w:rFonts w:ascii="Times New Roman" w:hAnsi="Times New Roman" w:eastAsia="仿宋_GB2312"/>
          <w:sz w:val="32"/>
          <w:szCs w:val="32"/>
        </w:rPr>
        <w:t>O</w:t>
      </w:r>
      <w:r>
        <w:rPr>
          <w:rFonts w:hint="eastAsia" w:ascii="Times New Roman" w:hAnsi="Times New Roman" w:eastAsia="仿宋_GB2312"/>
          <w:sz w:val="32"/>
          <w:szCs w:val="32"/>
        </w:rPr>
        <w:t>wned Enterprises and Non-State-</w:t>
      </w:r>
      <w:r>
        <w:rPr>
          <w:rFonts w:ascii="Times New Roman" w:hAnsi="Times New Roman" w:eastAsia="仿宋_GB2312"/>
          <w:sz w:val="32"/>
          <w:szCs w:val="32"/>
        </w:rPr>
        <w:t>O</w:t>
      </w:r>
      <w:r>
        <w:rPr>
          <w:rFonts w:hint="eastAsia" w:ascii="Times New Roman" w:hAnsi="Times New Roman" w:eastAsia="仿宋_GB2312"/>
          <w:sz w:val="32"/>
          <w:szCs w:val="32"/>
        </w:rPr>
        <w:t xml:space="preserve">wned Enterprises Comprehensive Service Platform </w:t>
      </w:r>
      <w:r>
        <w:rPr>
          <w:rFonts w:ascii="Times New Roman" w:hAnsi="Times New Roman" w:eastAsia="仿宋_GB2312"/>
          <w:sz w:val="32"/>
          <w:szCs w:val="32"/>
        </w:rPr>
        <w:br w:type="textWrapping"/>
      </w:r>
      <w:r>
        <w:rPr>
          <w:rFonts w:hint="eastAsia" w:ascii="Times New Roman" w:hAnsi="Times New Roman" w:eastAsia="仿宋_GB2312"/>
          <w:sz w:val="32"/>
          <w:szCs w:val="32"/>
        </w:rPr>
        <w:t>5.广西非上市企业并购重组服务平台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Guangxi Non-Listed Enterprises Mergers &amp; Acquisitions (M&amp;A) Service Platform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6.广西对接粤港澳大湾区服务平台</w:t>
      </w:r>
    </w:p>
    <w:p>
      <w:pPr>
        <w:spacing w:line="540" w:lineRule="exact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Guangxi and Guangdong-Hongkong-Macao Greater Bay Area Comprehensive Service Platform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pacing w:val="-17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7.中国—东盟资源要素交易综合服务平台（柬埔寨交</w:t>
      </w:r>
      <w:r>
        <w:rPr>
          <w:rFonts w:hint="eastAsia" w:ascii="Times New Roman" w:hAnsi="Times New Roman" w:eastAsia="仿宋_GB2312"/>
          <w:spacing w:val="-17"/>
          <w:sz w:val="32"/>
          <w:szCs w:val="32"/>
        </w:rPr>
        <w:t>易服务中心/老挝交易服务中心/缅甸交易服务中心/泰国交易服务中心）</w:t>
      </w:r>
    </w:p>
    <w:p>
      <w:pPr>
        <w:spacing w:line="540" w:lineRule="exact"/>
        <w:rPr>
          <w:rFonts w:hint="eastAsia" w:ascii="Times New Roman" w:hAnsi="Times New Roman" w:eastAsia="仿宋_GB2312"/>
          <w:spacing w:val="-17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China-ASEAN Resource Factors Trading Comprehensive Service Platform (Cambodia Exchange Service Center/Laos Exchange Service Center/ Myanmar Exchange Service Center/ Thailand Exchange Service Center)</w:t>
      </w:r>
    </w:p>
    <w:p>
      <w:pPr>
        <w:spacing w:line="54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8.</w:t>
      </w:r>
      <w:r>
        <w:rPr>
          <w:rFonts w:ascii="Times New Roman" w:hAnsi="Times New Roman" w:eastAsia="仿宋_GB2312"/>
          <w:sz w:val="32"/>
          <w:szCs w:val="32"/>
        </w:rPr>
        <w:t>中国—东盟交易数据实验室</w:t>
      </w:r>
    </w:p>
    <w:p>
      <w:pPr>
        <w:spacing w:line="54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China-ASEAN Trading Data Lab</w:t>
      </w:r>
    </w:p>
    <w:p>
      <w:pPr>
        <w:spacing w:line="540" w:lineRule="exact"/>
        <w:rPr>
          <w:rFonts w:ascii="Times New Roman" w:hAnsi="Times New Roman" w:eastAsia="仿宋_GB2312"/>
          <w:spacing w:val="-14"/>
          <w:sz w:val="32"/>
          <w:szCs w:val="32"/>
        </w:rPr>
      </w:pPr>
      <w:r>
        <w:rPr>
          <w:rFonts w:hint="eastAsia" w:ascii="Times New Roman" w:hAnsi="Times New Roman" w:eastAsia="仿宋_GB2312"/>
          <w:spacing w:val="-14"/>
          <w:sz w:val="32"/>
          <w:szCs w:val="32"/>
        </w:rPr>
        <w:t>9.</w:t>
      </w:r>
      <w:r>
        <w:rPr>
          <w:rFonts w:ascii="Times New Roman" w:hAnsi="Times New Roman" w:eastAsia="仿宋_GB2312"/>
          <w:spacing w:val="-14"/>
          <w:sz w:val="32"/>
          <w:szCs w:val="32"/>
        </w:rPr>
        <w:t>中国—东盟</w:t>
      </w:r>
      <w:r>
        <w:rPr>
          <w:rFonts w:ascii="Times New Roman" w:hAnsi="Times New Roman" w:eastAsia="仿宋_GB2312"/>
          <w:sz w:val="32"/>
          <w:szCs w:val="32"/>
        </w:rPr>
        <w:t>资源</w:t>
      </w:r>
      <w:r>
        <w:rPr>
          <w:rFonts w:ascii="Times New Roman" w:hAnsi="Times New Roman" w:eastAsia="仿宋_GB2312"/>
          <w:spacing w:val="-14"/>
          <w:sz w:val="32"/>
          <w:szCs w:val="32"/>
        </w:rPr>
        <w:t>要素市场发展研究中心</w:t>
      </w:r>
    </w:p>
    <w:p>
      <w:pPr>
        <w:spacing w:line="540" w:lineRule="exact"/>
        <w:rPr>
          <w:rFonts w:ascii="Times New Roman" w:hAnsi="Times New Roman" w:eastAsia="仿宋_GB2312"/>
          <w:spacing w:val="-14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China-ASEAN Resources Factor </w:t>
      </w:r>
      <w:r>
        <w:rPr>
          <w:rFonts w:ascii="Times New Roman" w:hAnsi="Times New Roman" w:eastAsia="仿宋_GB2312"/>
          <w:sz w:val="32"/>
          <w:szCs w:val="32"/>
        </w:rPr>
        <w:t>Market</w:t>
      </w: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  <w:r>
        <w:rPr>
          <w:rFonts w:ascii="Times New Roman" w:hAnsi="Times New Roman" w:eastAsia="仿宋_GB2312"/>
          <w:sz w:val="32"/>
          <w:szCs w:val="32"/>
        </w:rPr>
        <w:t xml:space="preserve">Development </w:t>
      </w:r>
      <w:r>
        <w:rPr>
          <w:rFonts w:hint="eastAsia" w:ascii="Times New Roman" w:hAnsi="Times New Roman" w:eastAsia="仿宋_GB2312"/>
          <w:sz w:val="32"/>
          <w:szCs w:val="32"/>
        </w:rPr>
        <w:t>R</w:t>
      </w:r>
      <w:r>
        <w:rPr>
          <w:rFonts w:ascii="Times New Roman" w:hAnsi="Times New Roman" w:eastAsia="仿宋_GB2312"/>
          <w:sz w:val="32"/>
          <w:szCs w:val="32"/>
        </w:rPr>
        <w:t xml:space="preserve">esearch </w:t>
      </w:r>
      <w:r>
        <w:rPr>
          <w:rFonts w:hint="eastAsia" w:ascii="Times New Roman" w:hAnsi="Times New Roman" w:eastAsia="仿宋_GB2312"/>
          <w:sz w:val="32"/>
          <w:szCs w:val="32"/>
        </w:rPr>
        <w:t>C</w:t>
      </w:r>
      <w:r>
        <w:rPr>
          <w:rFonts w:ascii="Times New Roman" w:hAnsi="Times New Roman" w:eastAsia="仿宋_GB2312"/>
          <w:sz w:val="32"/>
          <w:szCs w:val="32"/>
        </w:rPr>
        <w:t>ent</w:t>
      </w:r>
      <w:r>
        <w:rPr>
          <w:rFonts w:hint="eastAsia" w:ascii="Times New Roman" w:hAnsi="Times New Roman" w:eastAsia="仿宋_GB2312"/>
          <w:sz w:val="32"/>
          <w:szCs w:val="32"/>
        </w:rPr>
        <w:t>er</w:t>
      </w:r>
    </w:p>
    <w:p>
      <w:pPr>
        <w:spacing w:line="540" w:lineRule="exact"/>
        <w:rPr>
          <w:rFonts w:hint="eastAsia" w:ascii="Times New Roman" w:hAnsi="Times New Roman" w:eastAsia="仿宋_GB2312"/>
          <w:spacing w:val="-11"/>
          <w:sz w:val="32"/>
          <w:szCs w:val="32"/>
        </w:rPr>
      </w:pPr>
      <w:r>
        <w:rPr>
          <w:rFonts w:hint="eastAsia" w:ascii="Times New Roman" w:hAnsi="Times New Roman" w:eastAsia="仿宋_GB2312"/>
          <w:spacing w:val="-11"/>
          <w:sz w:val="32"/>
          <w:szCs w:val="32"/>
        </w:rPr>
        <w:t>10.中国</w:t>
      </w:r>
      <w:r>
        <w:rPr>
          <w:rFonts w:ascii="Times New Roman" w:hAnsi="Times New Roman" w:eastAsia="仿宋_GB2312"/>
          <w:spacing w:val="-11"/>
          <w:sz w:val="32"/>
          <w:szCs w:val="32"/>
        </w:rPr>
        <w:t>—</w:t>
      </w:r>
      <w:r>
        <w:rPr>
          <w:rFonts w:hint="eastAsia" w:ascii="Times New Roman" w:hAnsi="Times New Roman" w:eastAsia="仿宋_GB2312"/>
          <w:spacing w:val="-11"/>
          <w:sz w:val="32"/>
          <w:szCs w:val="32"/>
        </w:rPr>
        <w:t>东盟知识产权运营综合服务平台（logo</w:t>
      </w:r>
      <w:r>
        <w:rPr>
          <w:rFonts w:ascii="Times New Roman" w:hAnsi="Times New Roman" w:eastAsia="仿宋_GB2312"/>
          <w:spacing w:val="-11"/>
          <w:sz w:val="32"/>
          <w:szCs w:val="32"/>
        </w:rPr>
        <w:t>广西知识产权交易中心</w:t>
      </w:r>
      <w:r>
        <w:rPr>
          <w:rFonts w:hint="eastAsia" w:ascii="Times New Roman" w:hAnsi="Times New Roman" w:eastAsia="仿宋_GB2312"/>
          <w:spacing w:val="-11"/>
          <w:sz w:val="32"/>
          <w:szCs w:val="32"/>
        </w:rPr>
        <w:t>）</w:t>
      </w:r>
    </w:p>
    <w:p>
      <w:pPr>
        <w:spacing w:line="540" w:lineRule="exact"/>
        <w:rPr>
          <w:rFonts w:hint="eastAsia" w:ascii="Times New Roman" w:hAnsi="Times New Roman" w:eastAsia="仿宋_GB2312"/>
          <w:spacing w:val="-11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China- ASEAN Intellectual Property Operation Comprehensive Service Platform (Guangxi Intellectual Property Exchange Center)</w:t>
      </w:r>
    </w:p>
    <w:p>
      <w:pPr>
        <w:spacing w:line="540" w:lineRule="exact"/>
        <w:rPr>
          <w:rFonts w:hint="eastAsia" w:ascii="Times New Roman" w:hAnsi="Times New Roman" w:eastAsia="仿宋_GB2312"/>
          <w:spacing w:val="-11"/>
          <w:sz w:val="32"/>
          <w:szCs w:val="32"/>
        </w:rPr>
      </w:pPr>
      <w:r>
        <w:rPr>
          <w:rFonts w:hint="eastAsia" w:ascii="Times New Roman" w:hAnsi="Times New Roman" w:eastAsia="仿宋_GB2312"/>
          <w:spacing w:val="-11"/>
          <w:sz w:val="32"/>
          <w:szCs w:val="32"/>
        </w:rPr>
        <w:t>11.</w:t>
      </w:r>
      <w:r>
        <w:rPr>
          <w:rFonts w:ascii="Times New Roman" w:hAnsi="Times New Roman" w:eastAsia="仿宋_GB2312"/>
          <w:spacing w:val="-11"/>
          <w:sz w:val="32"/>
          <w:szCs w:val="32"/>
        </w:rPr>
        <w:t>广西农村产权交易市场建设指挥部</w:t>
      </w:r>
      <w:r>
        <w:rPr>
          <w:rFonts w:hint="eastAsia" w:ascii="Times New Roman" w:hAnsi="Times New Roman" w:eastAsia="仿宋_GB2312"/>
          <w:spacing w:val="-11"/>
          <w:sz w:val="32"/>
          <w:szCs w:val="32"/>
        </w:rPr>
        <w:t>（logo广西农村产权交易中心）</w:t>
      </w:r>
    </w:p>
    <w:p>
      <w:pPr>
        <w:spacing w:line="540" w:lineRule="exac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Guangxi Rural Property Exchange Market Construction </w:t>
      </w:r>
      <w:r>
        <w:rPr>
          <w:rFonts w:hint="eastAsia" w:ascii="Times New Roman" w:hAnsi="Times New Roman" w:eastAsia="仿宋_GB2312"/>
          <w:sz w:val="32"/>
          <w:szCs w:val="32"/>
        </w:rPr>
        <w:fldChar w:fldCharType="begin"/>
      </w:r>
      <w:r>
        <w:rPr>
          <w:rFonts w:hint="eastAsia" w:ascii="Times New Roman" w:hAnsi="Times New Roman" w:eastAsia="仿宋_GB2312"/>
          <w:sz w:val="32"/>
          <w:szCs w:val="32"/>
        </w:rPr>
        <w:instrText xml:space="preserve"> HYPERLINK "D:/Program%20Files%20(x86)/Dict/8.5.3.0/resultui/html/index.html" \l "/javascript:;" </w:instrText>
      </w:r>
      <w:r>
        <w:rPr>
          <w:rFonts w:hint="eastAsia" w:ascii="Times New Roman" w:hAnsi="Times New Roman" w:eastAsia="仿宋_GB2312"/>
          <w:sz w:val="32"/>
          <w:szCs w:val="32"/>
        </w:rPr>
        <w:fldChar w:fldCharType="separate"/>
      </w:r>
      <w:r>
        <w:rPr>
          <w:rFonts w:hint="eastAsia" w:ascii="Times New Roman" w:hAnsi="Times New Roman" w:eastAsia="仿宋_GB2312"/>
          <w:sz w:val="32"/>
          <w:szCs w:val="32"/>
        </w:rPr>
        <w:t>Headquarter</w:t>
      </w:r>
      <w:r>
        <w:rPr>
          <w:rFonts w:hint="eastAsia" w:ascii="Times New Roman" w:hAnsi="Times New Roman" w:eastAsia="仿宋_GB2312"/>
          <w:sz w:val="32"/>
          <w:szCs w:val="32"/>
        </w:rPr>
        <w:fldChar w:fldCharType="end"/>
      </w:r>
      <w:r>
        <w:rPr>
          <w:rFonts w:hint="eastAsia" w:ascii="Times New Roman" w:hAnsi="Times New Roman" w:eastAsia="仿宋_GB2312"/>
          <w:sz w:val="32"/>
          <w:szCs w:val="32"/>
        </w:rPr>
        <w:t xml:space="preserve"> (Guangxi Rural Property Exchange Center )</w:t>
      </w:r>
    </w:p>
    <w:p>
      <w:pPr>
        <w:spacing w:line="540" w:lineRule="exact"/>
        <w:rPr>
          <w:rFonts w:hint="eastAsia" w:ascii="Times New Roman" w:hAnsi="Times New Roman" w:eastAsia="仿宋_GB2312"/>
          <w:spacing w:val="-11"/>
          <w:sz w:val="32"/>
          <w:szCs w:val="32"/>
        </w:rPr>
      </w:pPr>
      <w:r>
        <w:rPr>
          <w:rFonts w:hint="eastAsia" w:ascii="Times New Roman" w:hAnsi="Times New Roman" w:eastAsia="仿宋_GB2312"/>
          <w:spacing w:val="-11"/>
          <w:sz w:val="32"/>
          <w:szCs w:val="32"/>
        </w:rPr>
        <w:t>12.中国—东盟林业要素流转综合服务平台（logo广西林权交易中心）</w:t>
      </w:r>
    </w:p>
    <w:p>
      <w:pPr>
        <w:spacing w:line="540" w:lineRule="exac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China-ASEAN Forest</w:t>
      </w:r>
      <w:r>
        <w:rPr>
          <w:rFonts w:ascii="Times New Roman" w:hAnsi="Times New Roman" w:eastAsia="仿宋_GB2312"/>
          <w:sz w:val="32"/>
          <w:szCs w:val="32"/>
        </w:rPr>
        <w:t>ry</w:t>
      </w:r>
      <w:r>
        <w:rPr>
          <w:rFonts w:hint="eastAsia" w:ascii="Times New Roman" w:hAnsi="Times New Roman" w:eastAsia="仿宋_GB2312"/>
          <w:sz w:val="32"/>
          <w:szCs w:val="32"/>
        </w:rPr>
        <w:t xml:space="preserve"> Factor Transfer Comprehensive Service Platform (Guangxi Forestry Exchange </w:t>
      </w:r>
      <w:r>
        <w:rPr>
          <w:rFonts w:ascii="Times New Roman" w:hAnsi="Times New Roman" w:eastAsia="仿宋_GB2312"/>
          <w:sz w:val="32"/>
          <w:szCs w:val="32"/>
        </w:rPr>
        <w:t>Center</w:t>
      </w:r>
      <w:r>
        <w:rPr>
          <w:rFonts w:hint="eastAsia" w:ascii="Times New Roman" w:hAnsi="Times New Roman" w:eastAsia="仿宋_GB2312"/>
          <w:sz w:val="32"/>
          <w:szCs w:val="32"/>
        </w:rPr>
        <w:t>)</w:t>
      </w:r>
    </w:p>
    <w:p>
      <w:pPr>
        <w:spacing w:line="540" w:lineRule="exact"/>
        <w:rPr>
          <w:rFonts w:hint="eastAsia" w:ascii="Times New Roman" w:hAnsi="Times New Roman" w:eastAsia="仿宋_GB2312"/>
          <w:spacing w:val="-23"/>
          <w:sz w:val="32"/>
          <w:szCs w:val="32"/>
        </w:rPr>
      </w:pPr>
      <w:r>
        <w:rPr>
          <w:rFonts w:hint="eastAsia" w:ascii="Times New Roman" w:hAnsi="Times New Roman" w:eastAsia="仿宋_GB2312"/>
          <w:spacing w:val="-23"/>
          <w:sz w:val="32"/>
          <w:szCs w:val="32"/>
        </w:rPr>
        <w:t>13.</w:t>
      </w:r>
      <w:r>
        <w:rPr>
          <w:rFonts w:ascii="Times New Roman" w:hAnsi="Times New Roman" w:eastAsia="仿宋_GB2312"/>
          <w:spacing w:val="-23"/>
          <w:sz w:val="32"/>
          <w:szCs w:val="32"/>
        </w:rPr>
        <w:t>中国—东盟商务与投资服务平台</w:t>
      </w:r>
      <w:r>
        <w:rPr>
          <w:rFonts w:hint="eastAsia" w:ascii="Times New Roman" w:hAnsi="Times New Roman" w:eastAsia="仿宋_GB2312"/>
          <w:spacing w:val="-23"/>
          <w:sz w:val="32"/>
          <w:szCs w:val="32"/>
        </w:rPr>
        <w:t>（</w:t>
      </w:r>
      <w:r>
        <w:rPr>
          <w:rFonts w:ascii="Times New Roman" w:hAnsi="Times New Roman" w:eastAsia="仿宋_GB2312"/>
          <w:spacing w:val="-23"/>
          <w:sz w:val="32"/>
          <w:szCs w:val="32"/>
        </w:rPr>
        <w:t>广西北部湾广易投资咨询有限责任公司</w:t>
      </w:r>
      <w:r>
        <w:rPr>
          <w:rFonts w:hint="eastAsia" w:ascii="Times New Roman" w:hAnsi="Times New Roman" w:eastAsia="仿宋_GB2312"/>
          <w:spacing w:val="-23"/>
          <w:sz w:val="32"/>
          <w:szCs w:val="32"/>
        </w:rPr>
        <w:t>）</w:t>
      </w:r>
    </w:p>
    <w:p>
      <w:pPr>
        <w:spacing w:line="540" w:lineRule="exact"/>
        <w:rPr>
          <w:rFonts w:hint="eastAsia" w:ascii="Times New Roman" w:hAnsi="Times New Roman" w:eastAsia="仿宋_GB2312"/>
          <w:spacing w:val="-23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China-ASEAN Business and Investment Service </w:t>
      </w:r>
      <w:r>
        <w:rPr>
          <w:rFonts w:ascii="Times New Roman" w:hAnsi="Times New Roman" w:eastAsia="仿宋_GB2312"/>
          <w:sz w:val="32"/>
          <w:szCs w:val="32"/>
        </w:rPr>
        <w:t>Platform</w:t>
      </w:r>
      <w:r>
        <w:rPr>
          <w:rFonts w:hint="eastAsia" w:ascii="Times New Roman" w:hAnsi="Times New Roman" w:eastAsia="仿宋_GB2312"/>
          <w:sz w:val="32"/>
          <w:szCs w:val="32"/>
        </w:rPr>
        <w:t xml:space="preserve"> (Guangxi Beibu Gulf Guangyi Investment Consulting Co., Ltd.)</w:t>
      </w:r>
    </w:p>
    <w:p>
      <w:pPr>
        <w:spacing w:line="540" w:lineRule="exac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14.中国—东盟金融服务平台（</w:t>
      </w:r>
      <w:r>
        <w:rPr>
          <w:rFonts w:ascii="Times New Roman" w:hAnsi="Times New Roman" w:eastAsia="仿宋_GB2312"/>
          <w:sz w:val="32"/>
          <w:szCs w:val="32"/>
        </w:rPr>
        <w:t>广西北部湾广交资产管理有限公司</w:t>
      </w:r>
      <w:r>
        <w:rPr>
          <w:rFonts w:hint="eastAsia" w:ascii="Times New Roman" w:hAnsi="Times New Roman" w:eastAsia="仿宋_GB2312"/>
          <w:sz w:val="32"/>
          <w:szCs w:val="32"/>
        </w:rPr>
        <w:t>）</w:t>
      </w:r>
    </w:p>
    <w:p>
      <w:pPr>
        <w:spacing w:line="540" w:lineRule="exac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China-ASEAN</w:t>
      </w:r>
      <w:r>
        <w:rPr>
          <w:rFonts w:ascii="Times New Roman" w:hAnsi="Times New Roman" w:eastAsia="仿宋_GB2312"/>
          <w:sz w:val="32"/>
          <w:szCs w:val="32"/>
        </w:rPr>
        <w:t xml:space="preserve"> Financial Service Platform</w:t>
      </w:r>
      <w:r>
        <w:rPr>
          <w:rFonts w:hint="eastAsia" w:ascii="Times New Roman" w:hAnsi="Times New Roman" w:eastAsia="仿宋_GB2312"/>
          <w:sz w:val="32"/>
          <w:szCs w:val="32"/>
        </w:rPr>
        <w:t>(Guangxi Beibu Gulf</w:t>
      </w:r>
      <w:r>
        <w:rPr>
          <w:rFonts w:ascii="Times New Roman" w:hAnsi="Times New Roman" w:eastAsia="仿宋_GB2312"/>
          <w:sz w:val="32"/>
          <w:szCs w:val="32"/>
        </w:rPr>
        <w:t xml:space="preserve"> G</w:t>
      </w:r>
      <w:r>
        <w:rPr>
          <w:rFonts w:hint="eastAsia" w:ascii="Times New Roman" w:hAnsi="Times New Roman" w:eastAsia="仿宋_GB2312"/>
          <w:sz w:val="32"/>
          <w:szCs w:val="32"/>
        </w:rPr>
        <w:t>uangjiao</w:t>
      </w:r>
      <w:r>
        <w:rPr>
          <w:rFonts w:ascii="Times New Roman" w:hAnsi="Times New Roman" w:eastAsia="仿宋_GB2312"/>
          <w:sz w:val="32"/>
          <w:szCs w:val="32"/>
        </w:rPr>
        <w:t xml:space="preserve"> Assets Management Co., Ltd</w:t>
      </w:r>
      <w:r>
        <w:rPr>
          <w:rFonts w:hint="eastAsia" w:ascii="Times New Roman" w:hAnsi="Times New Roman" w:eastAsia="仿宋_GB2312"/>
          <w:sz w:val="32"/>
          <w:szCs w:val="32"/>
        </w:rPr>
        <w:t>)</w:t>
      </w:r>
    </w:p>
    <w:p>
      <w:pPr>
        <w:spacing w:line="54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15.中国—东盟交易数据运营平台（广西计算机有限责任公司）</w:t>
      </w:r>
    </w:p>
    <w:p>
      <w:pPr>
        <w:spacing w:line="54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China-ASEAN</w:t>
      </w:r>
      <w:r>
        <w:rPr>
          <w:rFonts w:ascii="Times New Roman" w:hAnsi="Times New Roman" w:eastAsia="仿宋_GB2312"/>
          <w:sz w:val="32"/>
          <w:szCs w:val="32"/>
        </w:rPr>
        <w:t xml:space="preserve"> Trading Data Operation Platform</w:t>
      </w:r>
      <w:r>
        <w:rPr>
          <w:rFonts w:hint="eastAsia" w:ascii="Times New Roman" w:hAnsi="Times New Roman" w:eastAsia="仿宋_GB2312"/>
          <w:sz w:val="32"/>
          <w:szCs w:val="32"/>
        </w:rPr>
        <w:t xml:space="preserve"> (G</w:t>
      </w:r>
      <w:r>
        <w:rPr>
          <w:rFonts w:ascii="Times New Roman" w:hAnsi="Times New Roman" w:eastAsia="仿宋_GB2312"/>
          <w:sz w:val="32"/>
          <w:szCs w:val="32"/>
        </w:rPr>
        <w:t>uangxi Computer Co., Ltd</w:t>
      </w:r>
      <w:r>
        <w:rPr>
          <w:rFonts w:hint="eastAsia" w:ascii="Times New Roman" w:hAnsi="Times New Roman" w:eastAsia="仿宋_GB2312"/>
          <w:sz w:val="32"/>
          <w:szCs w:val="32"/>
        </w:rPr>
        <w:t>)</w:t>
      </w:r>
    </w:p>
    <w:p>
      <w:pPr>
        <w:spacing w:line="580" w:lineRule="exact"/>
        <w:jc w:val="left"/>
        <w:rPr>
          <w:rFonts w:hint="eastAsia" w:ascii="楷体_GB2312" w:hAnsi="Times New Roman" w:eastAsia="楷体_GB2312"/>
          <w:b/>
          <w:bCs/>
          <w:sz w:val="32"/>
          <w:szCs w:val="32"/>
        </w:rPr>
      </w:pPr>
    </w:p>
    <w:p>
      <w:pPr>
        <w:spacing w:line="580" w:lineRule="exact"/>
        <w:jc w:val="left"/>
        <w:rPr>
          <w:rFonts w:hint="eastAsia" w:ascii="Times New Roman" w:hAnsi="Times New Roman" w:eastAsia="楷体_GB2312"/>
          <w:sz w:val="32"/>
          <w:szCs w:val="32"/>
        </w:rPr>
      </w:pPr>
      <w:r>
        <w:rPr>
          <w:rFonts w:hint="eastAsia" w:ascii="楷体_GB2312" w:hAnsi="Times New Roman" w:eastAsia="楷体_GB2312"/>
          <w:b/>
          <w:bCs/>
          <w:sz w:val="32"/>
          <w:szCs w:val="32"/>
        </w:rPr>
        <w:t>二、合作机构31家（右墙：按照下列顺序从下往上排列）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1.北京产权交易所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2.上海联合产权交易所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3.天津产权交易中心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4.重庆联合产权交易所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5.广东省交易控股集团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6.西南联合产权交易所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7.武汉光谷联合产权交易所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8.山东产权交易中心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9.内蒙古产权交易中心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10.黑龙江联合产权交易所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11.西部产权交易所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12.湖南省联合产权交易所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13.甘肃省产权交易所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14.浙江产权交易所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15.福建省产权交易中心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16.厦门产权交易中心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17.贵州阳光产权交易所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18.山西省产权交易市场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19.河北产权市场有限公司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20.吉林长春产权交易中心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21.大连产权交易所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22.青海省产权交易市场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23.新疆产权交易所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24.宁夏产权交易所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25.河南省产权交易中心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26.江苏省产权交易所  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27.安徽省产权交易中心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28.江西省产权交易所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29.海南产权交易所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30.云南产权交易所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31.西藏产权交易中心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Times New Roman" w:hAnsi="Times New Roman" w:eastAsia="楷体_GB2312"/>
          <w:sz w:val="32"/>
          <w:szCs w:val="32"/>
        </w:rPr>
      </w:pPr>
      <w:r>
        <w:rPr>
          <w:rFonts w:hint="eastAsia" w:ascii="楷体_GB2312" w:hAnsi="Times New Roman" w:eastAsia="楷体_GB2312"/>
          <w:b/>
          <w:bCs/>
          <w:sz w:val="32"/>
          <w:szCs w:val="32"/>
        </w:rPr>
        <w:t>三、合作机构67家（logo+简称/左墙：按照下列顺序从下往上排列）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sz w:val="32"/>
          <w:szCs w:val="32"/>
          <w:u w:val="single"/>
        </w:rPr>
        <w:t>（央企区）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中国铝业、中国外运、中国移动、中国电信、中能建、中铁物资、华润五丰、广西水电、真龙实业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sz w:val="32"/>
          <w:szCs w:val="32"/>
          <w:u w:val="single"/>
        </w:rPr>
        <w:t>（区直国企区）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宏桂集团、广投集团、建工集团、物资集团、柳钢集团、机场集团、北投集团、金投集团、交投集团、港务集团、林业集团、旅发集团、农投集团、柳工集团、汽车集团、玉柴集团、国宏集团、文化产业集团</w:t>
      </w:r>
      <w:r>
        <w:rPr>
          <w:rFonts w:hint="eastAsia" w:ascii="Times New Roman" w:hAnsi="Times New Roman" w:eastAsia="仿宋_GB2312"/>
          <w:sz w:val="32"/>
          <w:szCs w:val="32"/>
        </w:rPr>
        <w:tab/>
      </w:r>
      <w:r>
        <w:rPr>
          <w:rFonts w:hint="eastAsia" w:ascii="Times New Roman" w:hAnsi="Times New Roman" w:eastAsia="仿宋_GB2312"/>
          <w:sz w:val="32"/>
          <w:szCs w:val="32"/>
        </w:rPr>
        <w:t>、出版传媒集团、广电网络公司</w:t>
      </w:r>
      <w:r>
        <w:rPr>
          <w:rFonts w:hint="eastAsia" w:ascii="Times New Roman" w:hAnsi="Times New Roman" w:eastAsia="仿宋_GB2312"/>
          <w:sz w:val="32"/>
          <w:szCs w:val="32"/>
        </w:rPr>
        <w:tab/>
      </w:r>
      <w:r>
        <w:rPr>
          <w:rFonts w:hint="eastAsia" w:ascii="Times New Roman" w:hAnsi="Times New Roman" w:eastAsia="仿宋_GB2312"/>
          <w:sz w:val="32"/>
          <w:szCs w:val="32"/>
        </w:rPr>
        <w:tab/>
      </w:r>
      <w:r>
        <w:rPr>
          <w:rFonts w:hint="eastAsia" w:ascii="Times New Roman" w:hAnsi="Times New Roman" w:eastAsia="仿宋_GB2312"/>
          <w:sz w:val="32"/>
          <w:szCs w:val="32"/>
        </w:rPr>
        <w:tab/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sz w:val="32"/>
          <w:szCs w:val="32"/>
          <w:u w:val="single"/>
        </w:rPr>
        <w:t>（金融机构区）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工商银行、建设银行、农业银行、中国银行、交通银行、光大银行、招商银行、中信银行、民生银行、北京银行、兴业银行、浦发银行、华夏银行、柳州银行、桂林银行、邮储银行、北部湾银行、广西农村信用社、中国长城、中国信达、中国华融、中国东方、金控资产、广投资管、浙商资产、温投资产、宁夏顺亿资产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u w:val="single"/>
        </w:rPr>
        <w:t>（民企投资人/战略合作单位区）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恒大地产、碧桂园、绿地集团、中国—东盟信息港、北京大学、广西民族大学、广西科技大学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仿宋_GB2312"/>
          <w:sz w:val="32"/>
          <w:szCs w:val="32"/>
          <w:u w:val="single"/>
        </w:rPr>
        <w:t>（经纪服务机构区）</w:t>
      </w:r>
    </w:p>
    <w:p>
      <w:pPr>
        <w:spacing w:line="560" w:lineRule="exact"/>
        <w:jc w:val="left"/>
        <w:rPr>
          <w:rFonts w:hint="eastAsia" w:ascii="Times New Roman" w:hAnsi="Times New Roman" w:eastAsia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北京永拓会计师事务所（广西）、广西金策咨询、广西方中评估、广西同望律所</w:t>
      </w:r>
    </w:p>
    <w:p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numPr>
          <w:ilvl w:val="0"/>
          <w:numId w:val="0"/>
        </w:numPr>
        <w:spacing w:line="560" w:lineRule="exact"/>
        <w:jc w:val="center"/>
        <w:rPr>
          <w:rFonts w:hint="default" w:ascii="楷体_GB2312" w:hAnsi="Times New Roman" w:eastAsia="方正小标宋简体"/>
          <w:b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一楼大厅展示墙展示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效果要求</w:t>
      </w:r>
    </w:p>
    <w:p>
      <w:pPr>
        <w:jc w:val="center"/>
        <w:rPr>
          <w:rFonts w:hint="eastAsia" w:ascii="楷体_GB2312" w:hAnsi="Times New Roman" w:eastAsia="楷体_GB2312"/>
          <w:b/>
          <w:sz w:val="32"/>
          <w:szCs w:val="32"/>
          <w:lang w:eastAsia="zh-CN"/>
        </w:rPr>
      </w:pPr>
      <w:r>
        <w:rPr>
          <w:rFonts w:hint="eastAsia" w:ascii="楷体_GB2312" w:hAnsi="Times New Roman" w:eastAsia="楷体_GB2312"/>
          <w:b/>
          <w:sz w:val="32"/>
          <w:szCs w:val="32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楷体_GB2312" w:hAnsi="Times New Roman" w:eastAsia="楷体_GB2312"/>
          <w:b/>
          <w:sz w:val="32"/>
          <w:szCs w:val="32"/>
          <w:lang w:eastAsia="zh-CN"/>
        </w:rPr>
      </w:pPr>
    </w:p>
    <w:p>
      <w:pPr>
        <w:jc w:val="center"/>
        <w:rPr>
          <w:rFonts w:hint="eastAsia" w:ascii="楷体_GB2312" w:hAnsi="Times New Roman" w:eastAsia="楷体_GB2312"/>
          <w:b/>
          <w:sz w:val="32"/>
          <w:szCs w:val="32"/>
          <w:lang w:eastAsia="zh-CN"/>
        </w:rPr>
      </w:pPr>
      <w:r>
        <w:rPr>
          <w:rFonts w:hint="eastAsia" w:ascii="楷体_GB2312" w:hAnsi="Times New Roman" w:eastAsia="楷体_GB2312"/>
          <w:b/>
          <w:sz w:val="32"/>
          <w:szCs w:val="32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楷体_GB2312" w:hAnsi="Times New Roman" w:eastAsia="楷体_GB2312"/>
          <w:b/>
          <w:sz w:val="32"/>
          <w:szCs w:val="32"/>
          <w:lang w:eastAsia="zh-CN"/>
        </w:rPr>
      </w:pPr>
    </w:p>
    <w:p>
      <w:pPr>
        <w:jc w:val="center"/>
        <w:rPr>
          <w:rFonts w:hint="eastAsia" w:ascii="楷体_GB2312" w:hAnsi="黑体" w:eastAsia="楷体_GB2312"/>
          <w:b/>
          <w:sz w:val="32"/>
          <w:szCs w:val="32"/>
          <w:lang w:eastAsia="zh-CN"/>
        </w:rPr>
      </w:pPr>
      <w:r>
        <w:rPr>
          <w:rFonts w:hint="eastAsia" w:ascii="楷体_GB2312" w:hAnsi="黑体" w:eastAsia="楷体_GB2312"/>
          <w:b/>
          <w:sz w:val="32"/>
          <w:szCs w:val="32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楷体_GB2312" w:hAnsi="黑体" w:eastAsia="楷体_GB2312"/>
          <w:b/>
          <w:sz w:val="32"/>
          <w:szCs w:val="32"/>
          <w:lang w:eastAsia="zh-CN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5BEA7"/>
    <w:multiLevelType w:val="singleLevel"/>
    <w:tmpl w:val="0D95BEA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AD733AF"/>
    <w:multiLevelType w:val="singleLevel"/>
    <w:tmpl w:val="4AD733A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8947261"/>
    <w:multiLevelType w:val="singleLevel"/>
    <w:tmpl w:val="68947261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7F31A3"/>
    <w:rsid w:val="00F00F96"/>
    <w:rsid w:val="127F31A3"/>
    <w:rsid w:val="15126439"/>
    <w:rsid w:val="26B71CCF"/>
    <w:rsid w:val="435F726D"/>
    <w:rsid w:val="5BA23727"/>
    <w:rsid w:val="5F99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2019-10-26T08:02:00Z</dcterms:created>
  <dc:creator>Lenovo</dc:creator>
  <cp:lastModifiedBy>Lenovo</cp:lastModifiedBy>
  <dcterms:modified xsi:type="dcterms:W3CDTF">2019-10-28T07:19:11Z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