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采购内容及要求</w:t>
      </w:r>
    </w:p>
    <w:p>
      <w:pPr>
        <w:pStyle w:val="2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一、采购概况</w:t>
      </w:r>
    </w:p>
    <w:p>
      <w:pPr>
        <w:spacing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1、项目名称：常州市市区各地道积水警示标线项目</w:t>
      </w:r>
    </w:p>
    <w:p>
      <w:pPr>
        <w:spacing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2、项目地点：常州市市区各地道，清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单详见采购内容。</w:t>
      </w:r>
    </w:p>
    <w:p>
      <w:pPr>
        <w:spacing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3、服务期限：合同签订后30天内完成所有立交地道积水警示标线划线工作。</w:t>
      </w:r>
    </w:p>
    <w:p>
      <w:pPr>
        <w:spacing w:line="30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4、质量要求：</w:t>
      </w:r>
    </w:p>
    <w:p>
      <w:pPr>
        <w:spacing w:line="300" w:lineRule="auto"/>
        <w:ind w:firstLine="482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1）</w:t>
      </w:r>
      <w:r>
        <w:rPr>
          <w:rFonts w:hint="eastAsia" w:ascii="宋体" w:hAnsi="宋体" w:eastAsia="宋体" w:cs="宋体"/>
          <w:b/>
          <w:sz w:val="24"/>
          <w:szCs w:val="24"/>
        </w:rPr>
        <w:t>警示标线尺寸按附表1，其它须符合GB/T16311《道路交通标线质量要求和检验方法》标准中普通型标线的相关要求；</w:t>
      </w:r>
    </w:p>
    <w:p>
      <w:pPr>
        <w:spacing w:line="30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2）所划立交地道积水警示标线质保期一年，自全部通过验收之日起计算。质保金：人民币伍仟元。</w:t>
      </w:r>
    </w:p>
    <w:p>
      <w:pPr>
        <w:spacing w:line="360" w:lineRule="auto"/>
        <w:ind w:left="-424" w:leftChars="-202" w:firstLine="480" w:firstLineChars="200"/>
        <w:rPr>
          <w:rFonts w:asciiTheme="minorEastAsia" w:hAnsiTheme="minorEastAsia" w:eastAsiaTheme="minorEastAsia"/>
          <w:sz w:val="24"/>
        </w:rPr>
      </w:pPr>
    </w:p>
    <w:p>
      <w:pPr>
        <w:pStyle w:val="2"/>
        <w:rPr>
          <w:rFonts w:asciiTheme="minorEastAsia" w:hAnsiTheme="minorEastAsia" w:eastAsiaTheme="minorEastAsia"/>
          <w:b/>
          <w:bCs/>
        </w:rPr>
      </w:pPr>
      <w:r>
        <w:rPr>
          <w:rFonts w:hint="eastAsia" w:asciiTheme="minorEastAsia" w:hAnsiTheme="minorEastAsia" w:eastAsiaTheme="minorEastAsia"/>
          <w:b/>
          <w:bCs/>
        </w:rPr>
        <w:t>二、采购内容</w:t>
      </w:r>
    </w:p>
    <w:p>
      <w:pPr>
        <w:jc w:val="center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常州市市区各地道积水警示标线清单</w:t>
      </w:r>
    </w:p>
    <w:tbl>
      <w:tblPr>
        <w:tblStyle w:val="7"/>
        <w:tblW w:w="7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80"/>
        <w:gridCol w:w="1520"/>
        <w:gridCol w:w="516"/>
        <w:gridCol w:w="616"/>
        <w:gridCol w:w="588"/>
        <w:gridCol w:w="540"/>
        <w:gridCol w:w="540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37" w:type="dxa"/>
            <w:vMerge w:val="restart"/>
            <w:tcBorders>
              <w:top w:val="single" w:color="00B050" w:sz="8" w:space="0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施工路段</w:t>
            </w:r>
          </w:p>
        </w:tc>
        <w:tc>
          <w:tcPr>
            <w:tcW w:w="1520" w:type="dxa"/>
            <w:vMerge w:val="restart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0" w:type="dxa"/>
            <w:gridSpan w:val="3"/>
            <w:tcBorders>
              <w:top w:val="single" w:color="00B050" w:sz="8" w:space="0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规格描述</w:t>
            </w:r>
          </w:p>
        </w:tc>
        <w:tc>
          <w:tcPr>
            <w:tcW w:w="540" w:type="dxa"/>
            <w:vMerge w:val="restart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40" w:type="dxa"/>
            <w:vMerge w:val="restart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420" w:type="dxa"/>
            <w:vMerge w:val="restart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37" w:type="dxa"/>
            <w:vMerge w:val="continue"/>
            <w:tcBorders>
              <w:top w:val="single" w:color="00B050" w:sz="8" w:space="0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长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宽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其它</w:t>
            </w:r>
          </w:p>
        </w:tc>
        <w:tc>
          <w:tcPr>
            <w:tcW w:w="540" w:type="dxa"/>
            <w:vMerge w:val="continue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Merge w:val="continue"/>
            <w:tcBorders>
              <w:top w:val="single" w:color="00B050" w:sz="8" w:space="0"/>
              <w:left w:val="single" w:color="00B050" w:sz="4" w:space="0"/>
              <w:bottom w:val="single" w:color="00B050" w:sz="4" w:space="0"/>
              <w:right w:val="single" w:color="00B050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青洋地道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紫云地道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常焦地道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竹林地道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永宁地道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晋陵地道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健身地道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万福地道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长江地道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龙江地道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新闸地道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玉龙地道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庆丰地道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奔牛地道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网格线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3.5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文字标记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红色警示线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黄色警示线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0.15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80" w:type="dxa"/>
            <w:vMerge w:val="continue"/>
            <w:tcBorders>
              <w:top w:val="nil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深度标尺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B050" w:sz="4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4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整个工程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字模具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12个字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37" w:type="dxa"/>
            <w:tcBorders>
              <w:top w:val="nil"/>
              <w:left w:val="single" w:color="00B050" w:sz="8" w:space="0"/>
              <w:bottom w:val="single" w:color="00B050" w:sz="8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single" w:color="00B050" w:sz="4" w:space="0"/>
              <w:left w:val="nil"/>
              <w:bottom w:val="single" w:color="00B050" w:sz="8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tcBorders>
              <w:top w:val="single" w:color="00B050" w:sz="4" w:space="0"/>
              <w:left w:val="nil"/>
              <w:bottom w:val="single" w:color="00B050" w:sz="8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金额合计</w:t>
            </w:r>
          </w:p>
        </w:tc>
        <w:tc>
          <w:tcPr>
            <w:tcW w:w="516" w:type="dxa"/>
            <w:tcBorders>
              <w:top w:val="single" w:color="00B050" w:sz="4" w:space="0"/>
              <w:left w:val="nil"/>
              <w:bottom w:val="single" w:color="00B050" w:sz="8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616" w:type="dxa"/>
            <w:tcBorders>
              <w:top w:val="single" w:color="00B050" w:sz="4" w:space="0"/>
              <w:left w:val="nil"/>
              <w:bottom w:val="single" w:color="00B050" w:sz="8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88" w:type="dxa"/>
            <w:tcBorders>
              <w:top w:val="single" w:color="00B050" w:sz="4" w:space="0"/>
              <w:left w:val="nil"/>
              <w:bottom w:val="single" w:color="00B050" w:sz="8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00B050" w:sz="4" w:space="0"/>
              <w:left w:val="nil"/>
              <w:bottom w:val="single" w:color="00B050" w:sz="8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540" w:type="dxa"/>
            <w:tcBorders>
              <w:top w:val="single" w:color="00B050" w:sz="4" w:space="0"/>
              <w:left w:val="nil"/>
              <w:bottom w:val="single" w:color="00B050" w:sz="8" w:space="0"/>
              <w:right w:val="single" w:color="00B05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00B050" w:sz="4" w:space="0"/>
              <w:left w:val="nil"/>
              <w:bottom w:val="single" w:color="00B050" w:sz="8" w:space="0"/>
              <w:right w:val="single" w:color="00B05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>
      <w:pPr>
        <w:pStyle w:val="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注：以上价格包括警示标线服务所用材料、工具、人员费用、保险、税费及办理相关手续等全部费用。</w:t>
      </w:r>
    </w:p>
    <w:p>
      <w:pPr>
        <w:rPr>
          <w:rFonts w:asciiTheme="minorEastAsia" w:hAnsiTheme="minorEastAsia" w:eastAsiaTheme="minorEastAsia"/>
        </w:rPr>
      </w:pPr>
    </w:p>
    <w:p>
      <w:pPr>
        <w:pStyle w:val="2"/>
        <w:rPr>
          <w:rFonts w:cs="宋体" w:asciiTheme="minorEastAsia" w:hAnsiTheme="minorEastAsia" w:eastAsiaTheme="minorEastAsia"/>
          <w:b/>
          <w:bCs/>
          <w:szCs w:val="28"/>
        </w:rPr>
      </w:pPr>
      <w:r>
        <w:rPr>
          <w:rFonts w:hint="eastAsia" w:asciiTheme="minorEastAsia" w:hAnsiTheme="minorEastAsia" w:eastAsiaTheme="minorEastAsia"/>
          <w:b/>
          <w:bCs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szCs w:val="28"/>
        </w:rPr>
        <w:t>其他要求</w:t>
      </w:r>
    </w:p>
    <w:p>
      <w:pPr>
        <w:spacing w:line="360" w:lineRule="auto"/>
        <w:outlineLvl w:val="2"/>
        <w:rPr>
          <w:rFonts w:cs="宋体" w:asciiTheme="minorEastAsia" w:hAnsiTheme="minorEastAsia" w:eastAsiaTheme="minorEastAsia"/>
          <w:b/>
          <w:bCs/>
          <w:spacing w:val="1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pacing w:val="10"/>
          <w:sz w:val="24"/>
        </w:rPr>
        <w:t>（一）供货期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成交供应商自签订合同之日起1个月内完工，并负责地道划线涉及到的道路交通管理等部门所有手续的办理。</w:t>
      </w:r>
    </w:p>
    <w:p>
      <w:pPr>
        <w:spacing w:line="360" w:lineRule="auto"/>
        <w:outlineLvl w:val="2"/>
        <w:rPr>
          <w:rFonts w:cs="宋体" w:asciiTheme="minorEastAsia" w:hAnsiTheme="minorEastAsia" w:eastAsiaTheme="minorEastAsia"/>
          <w:b/>
          <w:bCs/>
          <w:spacing w:val="10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pacing w:val="10"/>
          <w:sz w:val="24"/>
        </w:rPr>
        <w:t>（二）质保期</w:t>
      </w:r>
    </w:p>
    <w:p>
      <w:pPr>
        <w:spacing w:line="360" w:lineRule="auto"/>
        <w:ind w:firstLine="480" w:firstLineChars="200"/>
        <w:outlineLvl w:val="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质保期12个月，从验收合格之日起计算。</w:t>
      </w:r>
    </w:p>
    <w:p>
      <w:pPr>
        <w:spacing w:line="36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pacing w:val="10"/>
          <w:sz w:val="24"/>
        </w:rPr>
        <w:t>（三）</w:t>
      </w:r>
      <w:r>
        <w:rPr>
          <w:rFonts w:hint="eastAsia" w:asciiTheme="minorEastAsia" w:hAnsiTheme="minorEastAsia" w:eastAsiaTheme="minorEastAsia"/>
          <w:b/>
          <w:bCs/>
          <w:sz w:val="24"/>
        </w:rPr>
        <w:t>付款期限</w:t>
      </w:r>
    </w:p>
    <w:p>
      <w:pPr>
        <w:spacing w:line="360" w:lineRule="auto"/>
        <w:ind w:firstLine="480" w:firstLineChars="200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完成后，成交供应商凭合同及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验收单，开具全额增值税发票，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支付除质保金之外的全部费用。质保金在质保期满后一个月内一次付清(无息)。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（四）控制价:人民币80000元。</w:t>
      </w:r>
      <w:r>
        <w:rPr>
          <w:rFonts w:hint="eastAsia" w:asciiTheme="minorEastAsia" w:hAnsiTheme="minorEastAsia" w:eastAsiaTheme="minorEastAsia"/>
          <w:b/>
          <w:sz w:val="24"/>
        </w:rPr>
        <w:t>超过最高限价的报价无效。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E8B"/>
    <w:rsid w:val="00007395"/>
    <w:rsid w:val="00017CA9"/>
    <w:rsid w:val="000429CC"/>
    <w:rsid w:val="00054158"/>
    <w:rsid w:val="00065E54"/>
    <w:rsid w:val="0007679A"/>
    <w:rsid w:val="000F2894"/>
    <w:rsid w:val="000F2AA0"/>
    <w:rsid w:val="000F3067"/>
    <w:rsid w:val="001732F6"/>
    <w:rsid w:val="001E7788"/>
    <w:rsid w:val="00210414"/>
    <w:rsid w:val="00245FA7"/>
    <w:rsid w:val="0025407D"/>
    <w:rsid w:val="00272149"/>
    <w:rsid w:val="00280499"/>
    <w:rsid w:val="00285DFE"/>
    <w:rsid w:val="00330B49"/>
    <w:rsid w:val="003530AF"/>
    <w:rsid w:val="00382744"/>
    <w:rsid w:val="003B4361"/>
    <w:rsid w:val="003D1F37"/>
    <w:rsid w:val="00441534"/>
    <w:rsid w:val="004506E0"/>
    <w:rsid w:val="0047106C"/>
    <w:rsid w:val="00521914"/>
    <w:rsid w:val="005501A6"/>
    <w:rsid w:val="00581A15"/>
    <w:rsid w:val="005B5DBE"/>
    <w:rsid w:val="005D5998"/>
    <w:rsid w:val="005F7598"/>
    <w:rsid w:val="00636A64"/>
    <w:rsid w:val="00641764"/>
    <w:rsid w:val="00657658"/>
    <w:rsid w:val="00691180"/>
    <w:rsid w:val="00695575"/>
    <w:rsid w:val="006A0E09"/>
    <w:rsid w:val="006B2CEA"/>
    <w:rsid w:val="006C2921"/>
    <w:rsid w:val="006E029B"/>
    <w:rsid w:val="006E6ADA"/>
    <w:rsid w:val="006F2264"/>
    <w:rsid w:val="00732B30"/>
    <w:rsid w:val="00746D91"/>
    <w:rsid w:val="007B0856"/>
    <w:rsid w:val="007C58D9"/>
    <w:rsid w:val="007D2CE5"/>
    <w:rsid w:val="008050CC"/>
    <w:rsid w:val="0080732D"/>
    <w:rsid w:val="0083519E"/>
    <w:rsid w:val="0084533C"/>
    <w:rsid w:val="00854EB7"/>
    <w:rsid w:val="00867EAD"/>
    <w:rsid w:val="00871227"/>
    <w:rsid w:val="00884AF6"/>
    <w:rsid w:val="008971FF"/>
    <w:rsid w:val="00916B7E"/>
    <w:rsid w:val="0093019D"/>
    <w:rsid w:val="0093097A"/>
    <w:rsid w:val="00937CFB"/>
    <w:rsid w:val="00977E8B"/>
    <w:rsid w:val="00986484"/>
    <w:rsid w:val="009A339C"/>
    <w:rsid w:val="009D67A6"/>
    <w:rsid w:val="00A00800"/>
    <w:rsid w:val="00A01560"/>
    <w:rsid w:val="00A70CF4"/>
    <w:rsid w:val="00A9287F"/>
    <w:rsid w:val="00B15EE7"/>
    <w:rsid w:val="00B37A5C"/>
    <w:rsid w:val="00B84674"/>
    <w:rsid w:val="00BA67FF"/>
    <w:rsid w:val="00BD3E0E"/>
    <w:rsid w:val="00C15CB4"/>
    <w:rsid w:val="00C25701"/>
    <w:rsid w:val="00C32547"/>
    <w:rsid w:val="00C36B9D"/>
    <w:rsid w:val="00C37D28"/>
    <w:rsid w:val="00C73868"/>
    <w:rsid w:val="00CA74DD"/>
    <w:rsid w:val="00CB2B69"/>
    <w:rsid w:val="00D52395"/>
    <w:rsid w:val="00D86054"/>
    <w:rsid w:val="00D92800"/>
    <w:rsid w:val="00D932AD"/>
    <w:rsid w:val="00D96008"/>
    <w:rsid w:val="00DE0748"/>
    <w:rsid w:val="00E54565"/>
    <w:rsid w:val="00E8025C"/>
    <w:rsid w:val="00EA79AD"/>
    <w:rsid w:val="00EB0D7D"/>
    <w:rsid w:val="00F42DF8"/>
    <w:rsid w:val="00FA77EE"/>
    <w:rsid w:val="00FE11D1"/>
    <w:rsid w:val="00FF16DD"/>
    <w:rsid w:val="09105611"/>
    <w:rsid w:val="52BF6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6"/>
    <w:qFormat/>
    <w:uiPriority w:val="0"/>
    <w:pPr>
      <w:keepNext/>
      <w:outlineLvl w:val="4"/>
    </w:pPr>
    <w:rPr>
      <w:rFonts w:ascii="宋体" w:hAnsi="宋体"/>
      <w:color w:val="000000"/>
      <w:sz w:val="28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uiPriority w:val="0"/>
    <w:pPr>
      <w:spacing w:after="120"/>
    </w:pPr>
    <w:rPr>
      <w:kern w:val="0"/>
      <w:sz w:val="20"/>
    </w:rPr>
  </w:style>
  <w:style w:type="paragraph" w:styleId="4">
    <w:name w:val="Plain Text"/>
    <w:basedOn w:val="1"/>
    <w:link w:val="20"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uiPriority w:val="99"/>
    <w:rPr>
      <w:color w:val="800080"/>
      <w:u w:val="single"/>
    </w:rPr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+正文 Char Char"/>
    <w:basedOn w:val="9"/>
    <w:link w:val="15"/>
    <w:uiPriority w:val="0"/>
    <w:rPr>
      <w:kern w:val="2"/>
      <w:sz w:val="24"/>
      <w:szCs w:val="28"/>
    </w:rPr>
  </w:style>
  <w:style w:type="paragraph" w:customStyle="1" w:styleId="15">
    <w:name w:val="+正文"/>
    <w:basedOn w:val="1"/>
    <w:link w:val="14"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sz w:val="24"/>
      <w:szCs w:val="28"/>
    </w:rPr>
  </w:style>
  <w:style w:type="character" w:customStyle="1" w:styleId="16">
    <w:name w:val="标题 5 Char"/>
    <w:basedOn w:val="9"/>
    <w:link w:val="2"/>
    <w:uiPriority w:val="0"/>
    <w:rPr>
      <w:rFonts w:ascii="宋体" w:hAnsi="宋体" w:eastAsia="宋体" w:cs="Times New Roman"/>
      <w:color w:val="000000"/>
      <w:kern w:val="2"/>
      <w:sz w:val="28"/>
    </w:rPr>
  </w:style>
  <w:style w:type="character" w:customStyle="1" w:styleId="17">
    <w:name w:val="正文文本 Char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纯文本 Char"/>
    <w:link w:val="4"/>
    <w:uiPriority w:val="99"/>
    <w:rPr>
      <w:rFonts w:ascii="宋体" w:hAnsi="Courier New" w:eastAsia="宋体" w:cs="Times New Roman"/>
    </w:rPr>
  </w:style>
  <w:style w:type="character" w:customStyle="1" w:styleId="19">
    <w:name w:val="正文文本 Char1"/>
    <w:basedOn w:val="9"/>
    <w:link w:val="3"/>
    <w:semiHidden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纯文本 Char1"/>
    <w:basedOn w:val="9"/>
    <w:link w:val="4"/>
    <w:semiHidden/>
    <w:uiPriority w:val="99"/>
    <w:rPr>
      <w:rFonts w:ascii="宋体" w:hAnsi="Courier New" w:eastAsia="宋体" w:cs="Courier New"/>
      <w:kern w:val="2"/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66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68"/>
    <w:basedOn w:val="1"/>
    <w:qFormat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69"/>
    <w:basedOn w:val="1"/>
    <w:qFormat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70"/>
    <w:basedOn w:val="1"/>
    <w:uiPriority w:val="0"/>
    <w:pPr>
      <w:widowControl/>
      <w:pBdr>
        <w:top w:val="single" w:color="00B050" w:sz="4" w:space="0"/>
        <w:left w:val="single" w:color="00B050" w:sz="8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71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4" w:space="0"/>
        <w:right w:val="single" w:color="00B05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72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4" w:space="0"/>
        <w:right w:val="single" w:color="00B050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73"/>
    <w:basedOn w:val="1"/>
    <w:uiPriority w:val="0"/>
    <w:pPr>
      <w:widowControl/>
      <w:pBdr>
        <w:top w:val="single" w:color="00B050" w:sz="4" w:space="0"/>
        <w:left w:val="single" w:color="00B050" w:sz="8" w:space="0"/>
        <w:bottom w:val="single" w:color="00B050" w:sz="8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70C0"/>
      <w:kern w:val="0"/>
      <w:sz w:val="20"/>
      <w:szCs w:val="20"/>
    </w:rPr>
  </w:style>
  <w:style w:type="paragraph" w:customStyle="1" w:styleId="34">
    <w:name w:val="xl74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8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70C0"/>
      <w:kern w:val="0"/>
      <w:sz w:val="20"/>
      <w:szCs w:val="20"/>
    </w:rPr>
  </w:style>
  <w:style w:type="paragraph" w:customStyle="1" w:styleId="35">
    <w:name w:val="xl75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8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70C0"/>
      <w:kern w:val="0"/>
      <w:sz w:val="20"/>
      <w:szCs w:val="20"/>
    </w:rPr>
  </w:style>
  <w:style w:type="paragraph" w:customStyle="1" w:styleId="36">
    <w:name w:val="xl76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8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70C0"/>
      <w:kern w:val="0"/>
      <w:sz w:val="20"/>
      <w:szCs w:val="20"/>
    </w:rPr>
  </w:style>
  <w:style w:type="paragraph" w:customStyle="1" w:styleId="37">
    <w:name w:val="xl77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8" w:space="0"/>
        <w:right w:val="single" w:color="00B05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70C0"/>
      <w:kern w:val="0"/>
      <w:sz w:val="20"/>
      <w:szCs w:val="20"/>
    </w:rPr>
  </w:style>
  <w:style w:type="paragraph" w:customStyle="1" w:styleId="38">
    <w:name w:val="xl78"/>
    <w:basedOn w:val="1"/>
    <w:uiPriority w:val="0"/>
    <w:pPr>
      <w:widowControl/>
      <w:pBdr>
        <w:top w:val="single" w:color="00B050" w:sz="4" w:space="0"/>
        <w:left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">
    <w:name w:val="xl79"/>
    <w:basedOn w:val="1"/>
    <w:uiPriority w:val="0"/>
    <w:pPr>
      <w:widowControl/>
      <w:pBdr>
        <w:top w:val="single" w:color="00B050" w:sz="4" w:space="0"/>
        <w:left w:val="single" w:color="00B050" w:sz="4" w:space="0"/>
        <w:right w:val="single" w:color="00B05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">
    <w:name w:val="xl80"/>
    <w:basedOn w:val="1"/>
    <w:uiPriority w:val="0"/>
    <w:pPr>
      <w:widowControl/>
      <w:pBdr>
        <w:top w:val="single" w:color="00B050" w:sz="4" w:space="0"/>
        <w:left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xl81"/>
    <w:basedOn w:val="1"/>
    <w:uiPriority w:val="0"/>
    <w:pPr>
      <w:widowControl/>
      <w:pBdr>
        <w:top w:val="single" w:color="00B050" w:sz="4" w:space="0"/>
        <w:left w:val="single" w:color="00B050" w:sz="4" w:space="0"/>
        <w:right w:val="single" w:color="00B05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82"/>
    <w:basedOn w:val="1"/>
    <w:uiPriority w:val="0"/>
    <w:pPr>
      <w:widowControl/>
      <w:pBdr>
        <w:top w:val="single" w:color="00B050" w:sz="8" w:space="0"/>
        <w:left w:val="single" w:color="00B050" w:sz="4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">
    <w:name w:val="xl83"/>
    <w:basedOn w:val="1"/>
    <w:uiPriority w:val="0"/>
    <w:pPr>
      <w:widowControl/>
      <w:pBdr>
        <w:top w:val="single" w:color="00B050" w:sz="8" w:space="0"/>
        <w:left w:val="single" w:color="00B050" w:sz="8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">
    <w:name w:val="xl84"/>
    <w:basedOn w:val="1"/>
    <w:uiPriority w:val="0"/>
    <w:pPr>
      <w:widowControl/>
      <w:pBdr>
        <w:top w:val="single" w:color="00B050" w:sz="4" w:space="0"/>
        <w:left w:val="single" w:color="00B050" w:sz="8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">
    <w:name w:val="xl85"/>
    <w:basedOn w:val="1"/>
    <w:uiPriority w:val="0"/>
    <w:pPr>
      <w:widowControl/>
      <w:pBdr>
        <w:top w:val="single" w:color="00B050" w:sz="8" w:space="0"/>
        <w:left w:val="single" w:color="00B050" w:sz="4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6">
    <w:name w:val="xl86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87"/>
    <w:basedOn w:val="1"/>
    <w:uiPriority w:val="0"/>
    <w:pPr>
      <w:widowControl/>
      <w:pBdr>
        <w:top w:val="single" w:color="00B050" w:sz="8" w:space="0"/>
        <w:left w:val="single" w:color="00B050" w:sz="4" w:space="0"/>
        <w:bottom w:val="single" w:color="00B050" w:sz="4" w:space="0"/>
        <w:right w:val="single" w:color="00B05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88"/>
    <w:basedOn w:val="1"/>
    <w:uiPriority w:val="0"/>
    <w:pPr>
      <w:widowControl/>
      <w:pBdr>
        <w:top w:val="single" w:color="00B050" w:sz="4" w:space="0"/>
        <w:left w:val="single" w:color="00B050" w:sz="4" w:space="0"/>
        <w:bottom w:val="single" w:color="00B050" w:sz="4" w:space="0"/>
        <w:right w:val="single" w:color="00B05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2127</Characters>
  <Lines>17</Lines>
  <Paragraphs>4</Paragraphs>
  <TotalTime>1</TotalTime>
  <ScaleCrop>false</ScaleCrop>
  <LinksUpToDate>false</LinksUpToDate>
  <CharactersWithSpaces>2495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2018-05-21T03:29:00Z</dcterms:created>
  <dc:creator>邹文斌</dc:creator>
  <cp:lastModifiedBy>中冠</cp:lastModifiedBy>
  <dcterms:modified xsi:type="dcterms:W3CDTF">2020-06-16T02:20:27Z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