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70" w:rsidRPr="000374FF" w:rsidRDefault="00411BE3" w:rsidP="000374FF">
      <w:pPr>
        <w:pStyle w:val="1"/>
        <w:spacing w:before="156" w:after="468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Toc32412_WPSOffice_Level1"/>
      <w:r w:rsidRPr="000374FF">
        <w:rPr>
          <w:rFonts w:asciiTheme="minorEastAsia" w:hAnsiTheme="minorEastAsia" w:hint="eastAsia"/>
          <w:sz w:val="24"/>
          <w:szCs w:val="24"/>
        </w:rPr>
        <w:t>怀德桥人行便桥景观</w:t>
      </w:r>
      <w:r w:rsidRPr="000374FF">
        <w:rPr>
          <w:rFonts w:asciiTheme="minorEastAsia" w:hAnsiTheme="minorEastAsia" w:hint="eastAsia"/>
          <w:color w:val="000000" w:themeColor="text1"/>
          <w:sz w:val="24"/>
          <w:szCs w:val="24"/>
        </w:rPr>
        <w:t>灯具技术文件</w:t>
      </w:r>
    </w:p>
    <w:bookmarkEnd w:id="0"/>
    <w:p w:rsidR="00F16570" w:rsidRPr="000374FF" w:rsidRDefault="00411BE3" w:rsidP="000374FF">
      <w:pPr>
        <w:pStyle w:val="1"/>
        <w:numPr>
          <w:ilvl w:val="0"/>
          <w:numId w:val="1"/>
        </w:numPr>
        <w:spacing w:before="156" w:after="468" w:line="360" w:lineRule="auto"/>
        <w:jc w:val="left"/>
        <w:rPr>
          <w:rFonts w:asciiTheme="minorEastAsia" w:hAnsiTheme="minorEastAsia"/>
          <w:sz w:val="24"/>
          <w:szCs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  <w:szCs w:val="24"/>
        </w:rPr>
        <w:t>清单</w:t>
      </w:r>
    </w:p>
    <w:tbl>
      <w:tblPr>
        <w:tblW w:w="83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3555"/>
        <w:gridCol w:w="1839"/>
        <w:gridCol w:w="2081"/>
      </w:tblGrid>
      <w:tr w:rsidR="00F16570" w:rsidRPr="000374FF" w:rsidTr="000374FF">
        <w:trPr>
          <w:trHeight w:val="28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bookmarkStart w:id="1" w:name="_Toc14812"/>
            <w:r w:rsidRPr="000374FF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货物名称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lang w:bidi="ar"/>
              </w:rPr>
            </w:pPr>
            <w:r w:rsidRPr="000374FF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 w:rsidR="00F16570" w:rsidRPr="000374FF" w:rsidTr="000374FF">
        <w:trPr>
          <w:trHeight w:val="28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7W</w:t>
            </w:r>
            <w:r w:rsidRPr="000374FF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线形</w:t>
            </w:r>
            <w:r w:rsidRPr="000374FF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LED</w:t>
            </w:r>
            <w:r w:rsidRPr="000374FF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投光灯（静态）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lang w:bidi="ar"/>
              </w:rPr>
            </w:pPr>
            <w:r w:rsidRPr="000374FF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</w:tbl>
    <w:p w:rsidR="00F16570" w:rsidRPr="000374FF" w:rsidRDefault="00F16570" w:rsidP="000374FF">
      <w:pPr>
        <w:spacing w:line="360" w:lineRule="auto"/>
        <w:rPr>
          <w:rFonts w:asciiTheme="minorEastAsia" w:hAnsiTheme="minorEastAsia"/>
          <w:sz w:val="24"/>
        </w:rPr>
      </w:pPr>
    </w:p>
    <w:p w:rsidR="00F16570" w:rsidRPr="000374FF" w:rsidRDefault="00411BE3" w:rsidP="000374FF">
      <w:pPr>
        <w:spacing w:line="360" w:lineRule="auto"/>
        <w:rPr>
          <w:rFonts w:asciiTheme="minorEastAsia" w:hAnsiTheme="minorEastAsia"/>
          <w:sz w:val="24"/>
        </w:rPr>
      </w:pPr>
      <w:r w:rsidRPr="000374FF">
        <w:rPr>
          <w:rFonts w:asciiTheme="minorEastAsia" w:hAnsiTheme="minorEastAsia" w:hint="eastAsia"/>
          <w:sz w:val="24"/>
        </w:rPr>
        <w:t>1</w:t>
      </w:r>
      <w:r w:rsidRPr="000374FF">
        <w:rPr>
          <w:rFonts w:asciiTheme="minorEastAsia" w:hAnsiTheme="minorEastAsia" w:hint="eastAsia"/>
          <w:sz w:val="24"/>
        </w:rPr>
        <w:t>、开标时需同时上传国家级权威检测机构出具合格的“</w:t>
      </w:r>
      <w:r w:rsidRPr="000374FF">
        <w:rPr>
          <w:rFonts w:asciiTheme="minorEastAsia" w:hAnsiTheme="minorEastAsia" w:hint="eastAsia"/>
          <w:sz w:val="24"/>
        </w:rPr>
        <w:t>7W</w:t>
      </w:r>
      <w:r w:rsidRPr="000374FF">
        <w:rPr>
          <w:rFonts w:asciiTheme="minorEastAsia" w:hAnsiTheme="minorEastAsia" w:hint="eastAsia"/>
          <w:sz w:val="24"/>
        </w:rPr>
        <w:t>线形</w:t>
      </w:r>
      <w:r w:rsidRPr="000374FF">
        <w:rPr>
          <w:rFonts w:asciiTheme="minorEastAsia" w:hAnsiTheme="minorEastAsia" w:hint="eastAsia"/>
          <w:sz w:val="24"/>
        </w:rPr>
        <w:t>LED</w:t>
      </w:r>
      <w:r w:rsidRPr="000374FF">
        <w:rPr>
          <w:rFonts w:asciiTheme="minorEastAsia" w:hAnsiTheme="minorEastAsia" w:hint="eastAsia"/>
          <w:sz w:val="24"/>
        </w:rPr>
        <w:t>投光灯”安</w:t>
      </w:r>
      <w:proofErr w:type="gramStart"/>
      <w:r w:rsidRPr="000374FF">
        <w:rPr>
          <w:rFonts w:asciiTheme="minorEastAsia" w:hAnsiTheme="minorEastAsia" w:hint="eastAsia"/>
          <w:sz w:val="24"/>
        </w:rPr>
        <w:t>规</w:t>
      </w:r>
      <w:proofErr w:type="gramEnd"/>
      <w:r w:rsidRPr="000374FF">
        <w:rPr>
          <w:rFonts w:asciiTheme="minorEastAsia" w:hAnsiTheme="minorEastAsia" w:hint="eastAsia"/>
          <w:sz w:val="24"/>
        </w:rPr>
        <w:t>和光学检测报告；</w:t>
      </w:r>
    </w:p>
    <w:p w:rsidR="00F16570" w:rsidRPr="000374FF" w:rsidRDefault="00411BE3" w:rsidP="000374FF">
      <w:pPr>
        <w:spacing w:line="360" w:lineRule="auto"/>
        <w:rPr>
          <w:rFonts w:asciiTheme="minorEastAsia" w:hAnsiTheme="minorEastAsia"/>
          <w:sz w:val="24"/>
        </w:rPr>
      </w:pPr>
      <w:r w:rsidRPr="000374FF">
        <w:rPr>
          <w:rFonts w:asciiTheme="minorEastAsia" w:hAnsiTheme="minorEastAsia" w:hint="eastAsia"/>
          <w:sz w:val="24"/>
        </w:rPr>
        <w:t>2</w:t>
      </w:r>
      <w:r w:rsidRPr="000374FF">
        <w:rPr>
          <w:rFonts w:asciiTheme="minorEastAsia" w:hAnsiTheme="minorEastAsia" w:hint="eastAsia"/>
          <w:sz w:val="24"/>
        </w:rPr>
        <w:t>、必须配置符合采购文件要求的控制系统及其所有附件，包含但不限于驱动电源等，除网线外，所有其他设施均由中标单位提供，价格含在灯具中。</w:t>
      </w:r>
    </w:p>
    <w:p w:rsidR="00F16570" w:rsidRPr="000374FF" w:rsidRDefault="00411BE3" w:rsidP="000374FF">
      <w:pPr>
        <w:spacing w:line="360" w:lineRule="auto"/>
        <w:rPr>
          <w:rFonts w:asciiTheme="minorEastAsia" w:hAnsiTheme="minorEastAsia"/>
          <w:sz w:val="24"/>
        </w:rPr>
      </w:pPr>
      <w:r w:rsidRPr="000374FF">
        <w:rPr>
          <w:rFonts w:asciiTheme="minorEastAsia" w:hAnsiTheme="minorEastAsia" w:hint="eastAsia"/>
          <w:sz w:val="24"/>
        </w:rPr>
        <w:t>3</w:t>
      </w:r>
      <w:r w:rsidRPr="000374FF">
        <w:rPr>
          <w:rFonts w:asciiTheme="minorEastAsia" w:hAnsiTheme="minorEastAsia" w:hint="eastAsia"/>
          <w:sz w:val="24"/>
        </w:rPr>
        <w:t>、网线由采购单位提供，价格不含在此次报价中。</w:t>
      </w:r>
    </w:p>
    <w:p w:rsidR="00F16570" w:rsidRPr="000374FF" w:rsidRDefault="00411BE3" w:rsidP="000374FF">
      <w:pPr>
        <w:spacing w:line="360" w:lineRule="auto"/>
        <w:rPr>
          <w:rFonts w:asciiTheme="minorEastAsia" w:hAnsiTheme="minorEastAsia"/>
          <w:sz w:val="24"/>
        </w:rPr>
      </w:pPr>
      <w:r w:rsidRPr="000374FF">
        <w:rPr>
          <w:rFonts w:asciiTheme="minorEastAsia" w:hAnsiTheme="minorEastAsia" w:hint="eastAsia"/>
          <w:sz w:val="24"/>
        </w:rPr>
        <w:t>4</w:t>
      </w:r>
      <w:r w:rsidRPr="000374FF">
        <w:rPr>
          <w:rFonts w:asciiTheme="minorEastAsia" w:hAnsiTheme="minorEastAsia" w:hint="eastAsia"/>
          <w:sz w:val="24"/>
        </w:rPr>
        <w:t>、中标后批量供货阶段，现场看样，待采购单位确认效果后，才能批量供货。</w:t>
      </w:r>
    </w:p>
    <w:p w:rsidR="00F16570" w:rsidRPr="000374FF" w:rsidRDefault="00411BE3" w:rsidP="000374FF">
      <w:pPr>
        <w:pStyle w:val="1"/>
        <w:numPr>
          <w:ilvl w:val="0"/>
          <w:numId w:val="1"/>
        </w:numPr>
        <w:spacing w:before="156" w:after="468" w:line="360" w:lineRule="auto"/>
        <w:rPr>
          <w:rFonts w:asciiTheme="minorEastAsia" w:hAnsiTheme="minorEastAsia"/>
          <w:sz w:val="24"/>
          <w:szCs w:val="24"/>
        </w:rPr>
      </w:pPr>
      <w:r w:rsidRPr="000374FF">
        <w:rPr>
          <w:rFonts w:asciiTheme="minorEastAsia" w:hAnsiTheme="minorEastAsia" w:hint="eastAsia"/>
          <w:sz w:val="24"/>
          <w:szCs w:val="24"/>
        </w:rPr>
        <w:t>检测内容</w:t>
      </w:r>
    </w:p>
    <w:p w:rsidR="00F16570" w:rsidRPr="000374FF" w:rsidRDefault="00411BE3" w:rsidP="000374FF">
      <w:pPr>
        <w:numPr>
          <w:ilvl w:val="0"/>
          <w:numId w:val="2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安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规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检测内容</w:t>
      </w:r>
    </w:p>
    <w:tbl>
      <w:tblPr>
        <w:tblStyle w:val="a4"/>
        <w:tblW w:w="8836" w:type="dxa"/>
        <w:tblLayout w:type="fixed"/>
        <w:tblLook w:val="04A0" w:firstRow="1" w:lastRow="0" w:firstColumn="1" w:lastColumn="0" w:noHBand="0" w:noVBand="1"/>
      </w:tblPr>
      <w:tblGrid>
        <w:gridCol w:w="8836"/>
      </w:tblGrid>
      <w:tr w:rsidR="00F16570" w:rsidRPr="000374FF">
        <w:tc>
          <w:tcPr>
            <w:tcW w:w="8836" w:type="dxa"/>
            <w:shd w:val="clear" w:color="auto" w:fill="F1F1F1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W  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线形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LED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投光灯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3000K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安</w:t>
            </w:r>
            <w:proofErr w:type="gramStart"/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检测</w:t>
            </w:r>
            <w:r w:rsidRPr="000374FF">
              <w:rPr>
                <w:rFonts w:asciiTheme="minorEastAsia" w:eastAsiaTheme="minorEastAsia" w:hAnsiTheme="minorEastAsia" w:hint="eastAsia"/>
                <w:sz w:val="24"/>
                <w:szCs w:val="24"/>
              </w:rPr>
              <w:t>报告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（不合格即废标）</w:t>
            </w:r>
          </w:p>
        </w:tc>
      </w:tr>
      <w:tr w:rsidR="00F16570" w:rsidRPr="000374FF">
        <w:tc>
          <w:tcPr>
            <w:tcW w:w="8836" w:type="dxa"/>
          </w:tcPr>
          <w:p w:rsidR="00F16570" w:rsidRPr="000374FF" w:rsidRDefault="00411BE3" w:rsidP="000374FF">
            <w:pPr>
              <w:pStyle w:val="WPSOffice3"/>
              <w:numPr>
                <w:ilvl w:val="0"/>
                <w:numId w:val="3"/>
              </w:numPr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外部接线和内部接线</w:t>
            </w:r>
          </w:p>
          <w:p w:rsidR="00F16570" w:rsidRPr="000374FF" w:rsidRDefault="00411BE3" w:rsidP="000374FF">
            <w:pPr>
              <w:pStyle w:val="WPSOffice3"/>
              <w:numPr>
                <w:ilvl w:val="0"/>
                <w:numId w:val="3"/>
              </w:numPr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防尘、防固体异物和防水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≥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IP65</w:t>
            </w:r>
          </w:p>
          <w:p w:rsidR="00F16570" w:rsidRPr="000374FF" w:rsidRDefault="00411BE3" w:rsidP="000374FF">
            <w:pPr>
              <w:pStyle w:val="WPSOffice3"/>
              <w:numPr>
                <w:ilvl w:val="0"/>
                <w:numId w:val="3"/>
              </w:numPr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潮湿后的绝缘电阻和电气强度</w:t>
            </w:r>
          </w:p>
        </w:tc>
      </w:tr>
    </w:tbl>
    <w:p w:rsidR="00F16570" w:rsidRPr="000374FF" w:rsidRDefault="00411BE3" w:rsidP="000374FF">
      <w:pPr>
        <w:numPr>
          <w:ilvl w:val="0"/>
          <w:numId w:val="2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光学检测内容</w:t>
      </w:r>
    </w:p>
    <w:tbl>
      <w:tblPr>
        <w:tblStyle w:val="a4"/>
        <w:tblW w:w="6167" w:type="dxa"/>
        <w:tblLayout w:type="fixed"/>
        <w:tblLook w:val="04A0" w:firstRow="1" w:lastRow="0" w:firstColumn="1" w:lastColumn="0" w:noHBand="0" w:noVBand="1"/>
      </w:tblPr>
      <w:tblGrid>
        <w:gridCol w:w="4152"/>
        <w:gridCol w:w="2015"/>
      </w:tblGrid>
      <w:tr w:rsidR="00F16570" w:rsidRPr="000374FF">
        <w:trPr>
          <w:trHeight w:val="311"/>
        </w:trPr>
        <w:tc>
          <w:tcPr>
            <w:tcW w:w="4152" w:type="dxa"/>
            <w:shd w:val="clear" w:color="auto" w:fill="F1F1F1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检测项目</w:t>
            </w:r>
          </w:p>
        </w:tc>
        <w:tc>
          <w:tcPr>
            <w:tcW w:w="2015" w:type="dxa"/>
            <w:shd w:val="clear" w:color="auto" w:fill="F1F1F1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送样要求</w:t>
            </w:r>
          </w:p>
        </w:tc>
      </w:tr>
      <w:tr w:rsidR="00F16570" w:rsidRPr="000374FF">
        <w:trPr>
          <w:trHeight w:val="311"/>
        </w:trPr>
        <w:tc>
          <w:tcPr>
            <w:tcW w:w="4152" w:type="dxa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相关色温</w:t>
            </w:r>
          </w:p>
        </w:tc>
        <w:tc>
          <w:tcPr>
            <w:tcW w:w="2015" w:type="dxa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3000K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±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100K</w:t>
            </w:r>
          </w:p>
        </w:tc>
      </w:tr>
      <w:tr w:rsidR="00F16570" w:rsidRPr="000374FF">
        <w:trPr>
          <w:trHeight w:val="311"/>
        </w:trPr>
        <w:tc>
          <w:tcPr>
            <w:tcW w:w="4152" w:type="dxa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色容差</w:t>
            </w:r>
          </w:p>
        </w:tc>
        <w:tc>
          <w:tcPr>
            <w:tcW w:w="2015" w:type="dxa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≤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</w:tr>
      <w:tr w:rsidR="00F16570" w:rsidRPr="000374FF">
        <w:trPr>
          <w:trHeight w:val="311"/>
        </w:trPr>
        <w:tc>
          <w:tcPr>
            <w:tcW w:w="4152" w:type="dxa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灯具效能</w:t>
            </w:r>
          </w:p>
        </w:tc>
        <w:tc>
          <w:tcPr>
            <w:tcW w:w="2015" w:type="dxa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≥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lm/W</w:t>
            </w:r>
          </w:p>
        </w:tc>
      </w:tr>
      <w:tr w:rsidR="00F16570" w:rsidRPr="000374FF">
        <w:trPr>
          <w:trHeight w:val="311"/>
        </w:trPr>
        <w:tc>
          <w:tcPr>
            <w:tcW w:w="4152" w:type="dxa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显色指数</w:t>
            </w:r>
          </w:p>
        </w:tc>
        <w:tc>
          <w:tcPr>
            <w:tcW w:w="2015" w:type="dxa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≥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80</w:t>
            </w:r>
          </w:p>
        </w:tc>
      </w:tr>
      <w:tr w:rsidR="00F16570" w:rsidRPr="000374FF">
        <w:trPr>
          <w:trHeight w:val="311"/>
        </w:trPr>
        <w:tc>
          <w:tcPr>
            <w:tcW w:w="4152" w:type="dxa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宽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度方向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(V)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光束角</w:t>
            </w:r>
          </w:p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0%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最大光强夹角）</w:t>
            </w:r>
          </w:p>
        </w:tc>
        <w:tc>
          <w:tcPr>
            <w:tcW w:w="2015" w:type="dxa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°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-20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°</w:t>
            </w:r>
          </w:p>
        </w:tc>
      </w:tr>
      <w:tr w:rsidR="00F16570" w:rsidRPr="000374FF">
        <w:trPr>
          <w:trHeight w:val="311"/>
        </w:trPr>
        <w:tc>
          <w:tcPr>
            <w:tcW w:w="4152" w:type="dxa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（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长度方向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(H)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光束角</w:t>
            </w:r>
          </w:p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10%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最大光强夹角）</w:t>
            </w:r>
          </w:p>
        </w:tc>
        <w:tc>
          <w:tcPr>
            <w:tcW w:w="2015" w:type="dxa"/>
          </w:tcPr>
          <w:p w:rsidR="00F16570" w:rsidRPr="000374FF" w:rsidRDefault="00411BE3" w:rsidP="000374FF">
            <w:pPr>
              <w:pStyle w:val="WPSOffice3"/>
              <w:tabs>
                <w:tab w:val="right" w:leader="dot" w:pos="9660"/>
              </w:tabs>
              <w:spacing w:line="360" w:lineRule="auto"/>
              <w:ind w:leftChars="0" w:left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＞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46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°</w:t>
            </w:r>
          </w:p>
        </w:tc>
      </w:tr>
    </w:tbl>
    <w:p w:rsidR="00F16570" w:rsidRPr="000374FF" w:rsidRDefault="00411BE3" w:rsidP="000374FF">
      <w:pPr>
        <w:pStyle w:val="1"/>
        <w:spacing w:before="156" w:after="468" w:line="360" w:lineRule="auto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0374FF">
        <w:rPr>
          <w:rFonts w:asciiTheme="minorEastAsia" w:hAnsiTheme="minorEastAsia"/>
          <w:noProof/>
          <w:sz w:val="24"/>
          <w:szCs w:val="24"/>
        </w:rPr>
        <w:lastRenderedPageBreak/>
        <w:drawing>
          <wp:inline distT="0" distB="0" distL="114300" distR="114300">
            <wp:extent cx="5311775" cy="7773035"/>
            <wp:effectExtent l="0" t="0" r="952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77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570" w:rsidRPr="000374FF" w:rsidRDefault="00411BE3" w:rsidP="000374FF">
      <w:pPr>
        <w:spacing w:line="360" w:lineRule="auto"/>
        <w:ind w:firstLineChars="200" w:firstLine="482"/>
        <w:rPr>
          <w:rFonts w:asciiTheme="minorEastAsia" w:hAnsiTheme="minorEastAsia" w:cs="宋体"/>
          <w:b/>
          <w:bCs/>
          <w:sz w:val="24"/>
        </w:rPr>
      </w:pPr>
      <w:r w:rsidRPr="000374FF">
        <w:rPr>
          <w:rFonts w:asciiTheme="minorEastAsia" w:hAnsiTheme="minorEastAsia" w:cs="宋体" w:hint="eastAsia"/>
          <w:b/>
          <w:bCs/>
          <w:sz w:val="24"/>
        </w:rPr>
        <w:t>各投标单位提供的检测报告，</w:t>
      </w:r>
      <w:proofErr w:type="gramStart"/>
      <w:r w:rsidRPr="000374FF">
        <w:rPr>
          <w:rFonts w:asciiTheme="minorEastAsia" w:hAnsiTheme="minorEastAsia" w:cs="宋体" w:hint="eastAsia"/>
          <w:b/>
          <w:bCs/>
          <w:sz w:val="24"/>
        </w:rPr>
        <w:t>其中半峰边角</w:t>
      </w:r>
      <w:proofErr w:type="gramEnd"/>
      <w:r w:rsidRPr="000374FF">
        <w:rPr>
          <w:rFonts w:asciiTheme="minorEastAsia" w:hAnsiTheme="minorEastAsia" w:cs="宋体" w:hint="eastAsia"/>
          <w:b/>
          <w:bCs/>
          <w:sz w:val="24"/>
        </w:rPr>
        <w:t>和光速扩散角的</w:t>
      </w:r>
      <w:r w:rsidRPr="000374FF">
        <w:rPr>
          <w:rFonts w:asciiTheme="minorEastAsia" w:hAnsiTheme="minorEastAsia" w:cs="宋体" w:hint="eastAsia"/>
          <w:b/>
          <w:bCs/>
          <w:sz w:val="24"/>
        </w:rPr>
        <w:t>H</w:t>
      </w:r>
      <w:r w:rsidRPr="000374FF">
        <w:rPr>
          <w:rFonts w:asciiTheme="minorEastAsia" w:hAnsiTheme="minorEastAsia" w:cs="宋体" w:hint="eastAsia"/>
          <w:b/>
          <w:bCs/>
          <w:sz w:val="24"/>
        </w:rPr>
        <w:t>和</w:t>
      </w:r>
      <w:r w:rsidRPr="000374FF">
        <w:rPr>
          <w:rFonts w:asciiTheme="minorEastAsia" w:hAnsiTheme="minorEastAsia" w:cs="宋体" w:hint="eastAsia"/>
          <w:b/>
          <w:bCs/>
          <w:sz w:val="24"/>
        </w:rPr>
        <w:t>V</w:t>
      </w:r>
      <w:r w:rsidRPr="000374FF">
        <w:rPr>
          <w:rFonts w:asciiTheme="minorEastAsia" w:hAnsiTheme="minorEastAsia" w:cs="宋体" w:hint="eastAsia"/>
          <w:b/>
          <w:bCs/>
          <w:sz w:val="24"/>
        </w:rPr>
        <w:t>面数值标示，应与国家半导体照明产品质量监督检验中心（江苏）的上述情况说明相</w:t>
      </w:r>
      <w:r w:rsidRPr="000374FF">
        <w:rPr>
          <w:rFonts w:asciiTheme="minorEastAsia" w:hAnsiTheme="minorEastAsia" w:cs="宋体" w:hint="eastAsia"/>
          <w:b/>
          <w:bCs/>
          <w:sz w:val="24"/>
        </w:rPr>
        <w:lastRenderedPageBreak/>
        <w:t>一致。</w:t>
      </w:r>
    </w:p>
    <w:p w:rsidR="00F16570" w:rsidRPr="000374FF" w:rsidRDefault="00F16570" w:rsidP="000374FF">
      <w:pPr>
        <w:spacing w:line="360" w:lineRule="auto"/>
        <w:rPr>
          <w:rFonts w:asciiTheme="minorEastAsia" w:hAnsiTheme="minorEastAsia"/>
          <w:sz w:val="24"/>
        </w:rPr>
      </w:pPr>
    </w:p>
    <w:p w:rsidR="00F16570" w:rsidRPr="000374FF" w:rsidRDefault="00411BE3" w:rsidP="000374FF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br w:type="page"/>
      </w:r>
    </w:p>
    <w:p w:rsidR="00F16570" w:rsidRPr="000374FF" w:rsidRDefault="00411BE3" w:rsidP="00411BE3">
      <w:pPr>
        <w:pStyle w:val="1"/>
        <w:numPr>
          <w:ilvl w:val="0"/>
          <w:numId w:val="1"/>
        </w:numPr>
        <w:spacing w:before="156" w:after="468" w:line="360" w:lineRule="auto"/>
        <w:jc w:val="left"/>
        <w:rPr>
          <w:rFonts w:asciiTheme="minorEastAsia" w:hAnsiTheme="minorEastAsia"/>
          <w:sz w:val="24"/>
          <w:szCs w:val="24"/>
        </w:rPr>
      </w:pPr>
      <w:r w:rsidRPr="000374FF">
        <w:rPr>
          <w:rFonts w:asciiTheme="minorEastAsia" w:hAnsiTheme="minorEastAsia" w:hint="eastAsia"/>
          <w:sz w:val="24"/>
          <w:szCs w:val="24"/>
        </w:rPr>
        <w:lastRenderedPageBreak/>
        <w:t>通则要求</w:t>
      </w:r>
    </w:p>
    <w:p w:rsidR="00F16570" w:rsidRPr="000374FF" w:rsidRDefault="00411BE3" w:rsidP="000374FF">
      <w:pPr>
        <w:pStyle w:val="2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sz w:val="24"/>
        </w:rPr>
      </w:pPr>
      <w:bookmarkStart w:id="2" w:name="_Toc25860"/>
      <w:bookmarkEnd w:id="1"/>
      <w:r w:rsidRPr="000374FF">
        <w:rPr>
          <w:rFonts w:asciiTheme="minorEastAsia" w:eastAsiaTheme="minorEastAsia" w:hAnsiTheme="minorEastAsia" w:hint="eastAsia"/>
          <w:sz w:val="24"/>
        </w:rPr>
        <w:t>灯具应符合的技术标准</w:t>
      </w:r>
      <w:bookmarkEnd w:id="2"/>
    </w:p>
    <w:p w:rsidR="00F16570" w:rsidRPr="000374FF" w:rsidRDefault="00411BE3" w:rsidP="000374F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0374FF">
        <w:rPr>
          <w:rFonts w:asciiTheme="minorEastAsia" w:hAnsiTheme="minorEastAsia" w:hint="eastAsia"/>
          <w:sz w:val="24"/>
        </w:rPr>
        <w:t>凡是不注日期的引用文件，其最新版本（包括所有的修改单）适用于本文件。同时包括</w:t>
      </w:r>
      <w:r w:rsidRPr="000374FF">
        <w:rPr>
          <w:rFonts w:asciiTheme="minorEastAsia" w:hAnsiTheme="minorEastAsia" w:hint="eastAsia"/>
          <w:sz w:val="24"/>
        </w:rPr>
        <w:t>其他国家及江苏省现行标准规范、图集等；以及相关的灯具的现行的国家规范和标准。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sz w:val="24"/>
        </w:rPr>
      </w:pPr>
      <w:r w:rsidRPr="000374FF">
        <w:rPr>
          <w:rFonts w:asciiTheme="minorEastAsia" w:hAnsiTheme="minorEastAsia" w:hint="eastAsia"/>
          <w:sz w:val="24"/>
        </w:rPr>
        <w:t>GB7000.1</w:t>
      </w:r>
      <w:r w:rsidRPr="000374FF">
        <w:rPr>
          <w:rFonts w:asciiTheme="minorEastAsia" w:hAnsiTheme="minorEastAsia" w:hint="eastAsia"/>
          <w:sz w:val="24"/>
        </w:rPr>
        <w:t>灯具</w:t>
      </w:r>
      <w:r w:rsidRPr="000374FF">
        <w:rPr>
          <w:rFonts w:asciiTheme="minorEastAsia" w:hAnsiTheme="minorEastAsia" w:hint="eastAsia"/>
          <w:sz w:val="24"/>
        </w:rPr>
        <w:t xml:space="preserve"> </w:t>
      </w:r>
      <w:r w:rsidRPr="000374FF">
        <w:rPr>
          <w:rFonts w:asciiTheme="minorEastAsia" w:hAnsiTheme="minorEastAsia" w:hint="eastAsia"/>
          <w:sz w:val="24"/>
        </w:rPr>
        <w:t>第</w:t>
      </w:r>
      <w:r w:rsidRPr="000374FF">
        <w:rPr>
          <w:rFonts w:asciiTheme="minorEastAsia" w:hAnsiTheme="minorEastAsia" w:hint="eastAsia"/>
          <w:sz w:val="24"/>
        </w:rPr>
        <w:t>1</w:t>
      </w:r>
      <w:r w:rsidRPr="000374FF">
        <w:rPr>
          <w:rFonts w:asciiTheme="minorEastAsia" w:hAnsiTheme="minorEastAsia" w:hint="eastAsia"/>
          <w:sz w:val="24"/>
        </w:rPr>
        <w:t>部分：一般要求与试验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sz w:val="24"/>
        </w:rPr>
      </w:pPr>
      <w:r w:rsidRPr="000374FF">
        <w:rPr>
          <w:rFonts w:asciiTheme="minorEastAsia" w:hAnsiTheme="minorEastAsia" w:hint="eastAsia"/>
          <w:sz w:val="24"/>
        </w:rPr>
        <w:t>GB7000.203</w:t>
      </w:r>
      <w:r w:rsidRPr="000374FF">
        <w:rPr>
          <w:rFonts w:asciiTheme="minorEastAsia" w:hAnsiTheme="minorEastAsia" w:hint="eastAsia"/>
          <w:sz w:val="24"/>
        </w:rPr>
        <w:t>灯具</w:t>
      </w:r>
      <w:r w:rsidRPr="000374FF">
        <w:rPr>
          <w:rFonts w:asciiTheme="minorEastAsia" w:hAnsiTheme="minorEastAsia" w:hint="eastAsia"/>
          <w:sz w:val="24"/>
        </w:rPr>
        <w:t xml:space="preserve"> </w:t>
      </w:r>
      <w:r w:rsidRPr="000374FF">
        <w:rPr>
          <w:rFonts w:asciiTheme="minorEastAsia" w:hAnsiTheme="minorEastAsia" w:hint="eastAsia"/>
          <w:sz w:val="24"/>
        </w:rPr>
        <w:t>第</w:t>
      </w:r>
      <w:r w:rsidRPr="000374FF">
        <w:rPr>
          <w:rFonts w:asciiTheme="minorEastAsia" w:hAnsiTheme="minorEastAsia" w:hint="eastAsia"/>
          <w:sz w:val="24"/>
        </w:rPr>
        <w:t>2-3</w:t>
      </w:r>
      <w:r w:rsidRPr="000374FF">
        <w:rPr>
          <w:rFonts w:asciiTheme="minorEastAsia" w:hAnsiTheme="minorEastAsia" w:hint="eastAsia"/>
          <w:sz w:val="24"/>
        </w:rPr>
        <w:t>部分：特殊要求</w:t>
      </w:r>
      <w:r w:rsidRPr="000374FF">
        <w:rPr>
          <w:rFonts w:asciiTheme="minorEastAsia" w:hAnsiTheme="minorEastAsia" w:hint="eastAsia"/>
          <w:sz w:val="24"/>
        </w:rPr>
        <w:t xml:space="preserve"> </w:t>
      </w:r>
      <w:r w:rsidRPr="000374FF">
        <w:rPr>
          <w:rFonts w:asciiTheme="minorEastAsia" w:hAnsiTheme="minorEastAsia" w:hint="eastAsia"/>
          <w:sz w:val="24"/>
        </w:rPr>
        <w:t>道路与街路照明灯具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sz w:val="24"/>
        </w:rPr>
      </w:pPr>
      <w:r w:rsidRPr="000374FF">
        <w:rPr>
          <w:rFonts w:asciiTheme="minorEastAsia" w:hAnsiTheme="minorEastAsia" w:hint="eastAsia"/>
          <w:sz w:val="24"/>
        </w:rPr>
        <w:t>GB7000.7</w:t>
      </w:r>
      <w:r w:rsidRPr="000374FF">
        <w:rPr>
          <w:rFonts w:asciiTheme="minorEastAsia" w:hAnsiTheme="minorEastAsia" w:hint="eastAsia"/>
          <w:sz w:val="24"/>
        </w:rPr>
        <w:t>投光灯具安全要求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sz w:val="24"/>
        </w:rPr>
      </w:pPr>
      <w:r w:rsidRPr="000374FF">
        <w:rPr>
          <w:rFonts w:asciiTheme="minorEastAsia" w:hAnsiTheme="minorEastAsia" w:hint="eastAsia"/>
          <w:sz w:val="24"/>
        </w:rPr>
        <w:t>GB7000.10</w:t>
      </w:r>
      <w:r w:rsidRPr="000374FF">
        <w:rPr>
          <w:rFonts w:asciiTheme="minorEastAsia" w:hAnsiTheme="minorEastAsia" w:hint="eastAsia"/>
          <w:sz w:val="24"/>
        </w:rPr>
        <w:t>固定式通用灯具安全要求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sz w:val="24"/>
        </w:rPr>
      </w:pPr>
      <w:r w:rsidRPr="000374FF">
        <w:rPr>
          <w:rFonts w:asciiTheme="minorEastAsia" w:hAnsiTheme="minorEastAsia" w:hint="eastAsia"/>
          <w:sz w:val="24"/>
        </w:rPr>
        <w:t>GB 4208</w:t>
      </w:r>
      <w:r w:rsidRPr="000374FF">
        <w:rPr>
          <w:rFonts w:asciiTheme="minorEastAsia" w:hAnsiTheme="minorEastAsia" w:hint="eastAsia"/>
          <w:sz w:val="24"/>
        </w:rPr>
        <w:t>外壳防护等级（</w:t>
      </w:r>
      <w:r w:rsidRPr="000374FF">
        <w:rPr>
          <w:rFonts w:asciiTheme="minorEastAsia" w:hAnsiTheme="minorEastAsia" w:hint="eastAsia"/>
          <w:sz w:val="24"/>
        </w:rPr>
        <w:t>IP</w:t>
      </w:r>
      <w:r w:rsidRPr="000374FF">
        <w:rPr>
          <w:rFonts w:asciiTheme="minorEastAsia" w:hAnsiTheme="minorEastAsia" w:hint="eastAsia"/>
          <w:sz w:val="24"/>
        </w:rPr>
        <w:t>代码）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GB17743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电气照明和类似设备的无线电骚扰特性的限值和测量方法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GB17625.1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电磁兼限值谐波电流发射限值容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GB/T18595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一般照明用设备电磁兼容抗扰度要求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GB l7625.1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电磁兼容限值谐波电流发射限值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(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设备每相输入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电流≤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16A)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QB/T1551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灯具油漆涂层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QB/T3741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灯具电镀、化学覆盖层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GB/T33721 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灯具可靠性试验方法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 xml:space="preserve">CJJ45 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城市道路照明设计标准</w:t>
      </w:r>
    </w:p>
    <w:p w:rsidR="00F16570" w:rsidRPr="000374FF" w:rsidRDefault="00411BE3" w:rsidP="000374FF">
      <w:pPr>
        <w:numPr>
          <w:ilvl w:val="0"/>
          <w:numId w:val="5"/>
        </w:numPr>
        <w:spacing w:line="360" w:lineRule="auto"/>
        <w:ind w:firstLine="403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 xml:space="preserve">JGJ/T 163 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城市夜景照明设计规范</w:t>
      </w:r>
    </w:p>
    <w:p w:rsidR="00F16570" w:rsidRPr="000374FF" w:rsidRDefault="00411BE3" w:rsidP="000374FF">
      <w:pPr>
        <w:pStyle w:val="2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color w:val="000000" w:themeColor="text1"/>
          <w:sz w:val="24"/>
        </w:rPr>
      </w:pPr>
      <w:bookmarkStart w:id="3" w:name="_Toc1793"/>
      <w:r w:rsidRPr="000374FF">
        <w:rPr>
          <w:rFonts w:asciiTheme="minorEastAsia" w:eastAsiaTheme="minorEastAsia" w:hAnsiTheme="minorEastAsia" w:hint="eastAsia"/>
          <w:color w:val="000000" w:themeColor="text1"/>
          <w:sz w:val="24"/>
        </w:rPr>
        <w:t>灯具通则要求</w:t>
      </w:r>
      <w:bookmarkEnd w:id="3"/>
    </w:p>
    <w:p w:rsidR="00F16570" w:rsidRPr="000374FF" w:rsidRDefault="00411BE3" w:rsidP="000374FF">
      <w:pPr>
        <w:pStyle w:val="3"/>
        <w:numPr>
          <w:ilvl w:val="0"/>
          <w:numId w:val="6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4" w:name="_Toc2014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一般要求</w:t>
      </w:r>
      <w:bookmarkEnd w:id="4"/>
    </w:p>
    <w:p w:rsidR="00F16570" w:rsidRPr="000374FF" w:rsidRDefault="00411BE3" w:rsidP="000374FF">
      <w:pPr>
        <w:numPr>
          <w:ilvl w:val="0"/>
          <w:numId w:val="7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技术文件详参有规定的，按详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参规定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执行，没有详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参规定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的，按照本通则执行。</w:t>
      </w:r>
    </w:p>
    <w:p w:rsidR="00F16570" w:rsidRPr="000374FF" w:rsidRDefault="00411BE3" w:rsidP="000374FF">
      <w:pPr>
        <w:numPr>
          <w:ilvl w:val="0"/>
          <w:numId w:val="7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本次招标所涉及的所有灯具外观，仅供参考。投标单位应保证，其所提供的货物在提供给采购单位前具有完全的所有权，或取得专利权人的授权。采购单位在中华人民共和国使用该货物或货物的任何一部分时，免受第三方提出的包括但不限于侵犯其专利权、商标权、工业设计权或专有技术权等知识产权的起诉，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lastRenderedPageBreak/>
        <w:t>免受可能存在的抵押权、担保权在内的物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权权利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瑕疵的起诉。</w:t>
      </w:r>
    </w:p>
    <w:p w:rsidR="00F16570" w:rsidRPr="000374FF" w:rsidRDefault="00411BE3" w:rsidP="000374FF">
      <w:pPr>
        <w:numPr>
          <w:ilvl w:val="0"/>
          <w:numId w:val="7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本次投标报价包含本技术文件所要求的所有配件及附件。包括：灯具、光源、电器、引出线、防盗框、防眩光附件、线性投光灯的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桥架及桥架安装支架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、灯具安装支架、螺杆、螺栓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、垫片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等。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室外的螺杆、螺栓、垫片必须使用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304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不锈钢材质。</w:t>
      </w:r>
    </w:p>
    <w:p w:rsidR="00F16570" w:rsidRPr="000374FF" w:rsidRDefault="00411BE3" w:rsidP="000374FF">
      <w:pPr>
        <w:numPr>
          <w:ilvl w:val="0"/>
          <w:numId w:val="7"/>
        </w:numPr>
        <w:spacing w:line="360" w:lineRule="auto"/>
        <w:ind w:firstLineChars="131" w:firstLine="316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所有线形投光灯类灯具必须配置防眩光挡板，避免眩光和光污染。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中标单位必须按照采购单位的要求和项目具体的实施情况及时调整。</w:t>
      </w:r>
    </w:p>
    <w:p w:rsidR="00F16570" w:rsidRPr="000374FF" w:rsidRDefault="00411BE3" w:rsidP="000374FF">
      <w:pPr>
        <w:numPr>
          <w:ilvl w:val="0"/>
          <w:numId w:val="7"/>
        </w:numPr>
        <w:spacing w:line="360" w:lineRule="auto"/>
        <w:ind w:firstLineChars="139" w:firstLine="335"/>
        <w:rPr>
          <w:rFonts w:asciiTheme="minorEastAsia" w:hAnsiTheme="minorEastAsia"/>
          <w:b/>
          <w:bCs/>
          <w:color w:val="000000" w:themeColor="text1"/>
          <w:sz w:val="24"/>
          <w:u w:val="single"/>
        </w:rPr>
      </w:pP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所有投光灯类灯具必须按照采购方要求，可加装模式玻璃、</w:t>
      </w:r>
      <w:proofErr w:type="gramStart"/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扁光玻璃</w:t>
      </w:r>
      <w:proofErr w:type="gramEnd"/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、布纹玻璃等。价格含在投标报价中。</w:t>
      </w:r>
    </w:p>
    <w:p w:rsidR="00F16570" w:rsidRPr="000374FF" w:rsidRDefault="00411BE3" w:rsidP="000374FF">
      <w:pPr>
        <w:numPr>
          <w:ilvl w:val="0"/>
          <w:numId w:val="7"/>
        </w:numPr>
        <w:spacing w:line="360" w:lineRule="auto"/>
        <w:ind w:firstLineChars="139" w:firstLine="335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所有连续照明的被照面安装的投光灯，照明效果需连续均匀，无暗斑。</w:t>
      </w:r>
    </w:p>
    <w:p w:rsidR="00F16570" w:rsidRPr="000374FF" w:rsidRDefault="00411BE3" w:rsidP="000374FF">
      <w:pPr>
        <w:numPr>
          <w:ilvl w:val="0"/>
          <w:numId w:val="7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中标后，中标单位踏勘现场，根据灯具安装条件，深化灯具颜色安装支架灯零配件的设计，按照采购单位的要求和项目具体的实施情况及时调整。所有灯具按规定提供灯具实样一款，经采购单位目视检验最终确认后，才能按照灯具订单批量提供灯具，并提供灯具安装说明书。</w:t>
      </w:r>
    </w:p>
    <w:p w:rsidR="00F16570" w:rsidRPr="000374FF" w:rsidRDefault="00411BE3" w:rsidP="000374FF">
      <w:pPr>
        <w:numPr>
          <w:ilvl w:val="0"/>
          <w:numId w:val="7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中标后灯具供应阶段，投标人确定的灯具抽样送国家权威机构检测。</w:t>
      </w:r>
    </w:p>
    <w:p w:rsidR="00F16570" w:rsidRPr="000374FF" w:rsidRDefault="00411BE3" w:rsidP="000374FF">
      <w:pPr>
        <w:pStyle w:val="3"/>
        <w:numPr>
          <w:ilvl w:val="0"/>
          <w:numId w:val="6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5" w:name="_Toc15096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LED</w:t>
      </w:r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光源要求</w:t>
      </w:r>
      <w:bookmarkEnd w:id="5"/>
    </w:p>
    <w:p w:rsidR="00F16570" w:rsidRPr="000374FF" w:rsidRDefault="00411BE3" w:rsidP="000374FF">
      <w:pPr>
        <w:numPr>
          <w:ilvl w:val="0"/>
          <w:numId w:val="8"/>
        </w:numPr>
        <w:spacing w:line="360" w:lineRule="auto"/>
        <w:ind w:firstLineChars="200" w:firstLine="482"/>
        <w:rPr>
          <w:rFonts w:asciiTheme="minorEastAsia" w:hAnsiTheme="minorEastAsia" w:cs="宋体"/>
          <w:b/>
          <w:bCs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该类灯具的主要原材料光源封装颗粒品牌应限定在科锐（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CREE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）、飞利浦</w:t>
      </w:r>
      <w:r w:rsidRPr="000374FF">
        <w:rPr>
          <w:rFonts w:asciiTheme="minorEastAsia" w:hAnsiTheme="minorEastAsia" w:cs="仿宋" w:hint="eastAsia"/>
          <w:b/>
          <w:bCs/>
          <w:color w:val="000000" w:themeColor="text1"/>
          <w:kern w:val="0"/>
          <w:sz w:val="24"/>
          <w:lang w:bidi="ar"/>
        </w:rPr>
        <w:t>LUMILEDS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）、欧司朗（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OSRAM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）、日亚（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NICHIA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）范围内。</w:t>
      </w:r>
    </w:p>
    <w:p w:rsidR="00F16570" w:rsidRPr="000374FF" w:rsidRDefault="00411BE3" w:rsidP="000374FF">
      <w:pPr>
        <w:numPr>
          <w:ilvl w:val="0"/>
          <w:numId w:val="8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单色芯片的色差必须符合下表的要求。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4369"/>
        <w:gridCol w:w="3872"/>
      </w:tblGrid>
      <w:tr w:rsidR="00F16570" w:rsidRPr="000374FF">
        <w:trPr>
          <w:tblHeader/>
          <w:jc w:val="center"/>
        </w:trPr>
        <w:tc>
          <w:tcPr>
            <w:tcW w:w="1001" w:type="dxa"/>
            <w:shd w:val="clear" w:color="auto" w:fill="D8D8D8" w:themeFill="background1" w:themeFillShade="D8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4369" w:type="dxa"/>
            <w:shd w:val="clear" w:color="auto" w:fill="D8D8D8" w:themeFill="background1" w:themeFillShade="D8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色温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/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色彩</w:t>
            </w:r>
          </w:p>
        </w:tc>
        <w:tc>
          <w:tcPr>
            <w:tcW w:w="3872" w:type="dxa"/>
            <w:shd w:val="clear" w:color="auto" w:fill="D8D8D8" w:themeFill="background1" w:themeFillShade="D8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偏差</w:t>
            </w:r>
          </w:p>
        </w:tc>
      </w:tr>
      <w:tr w:rsidR="00F16570" w:rsidRPr="000374FF">
        <w:trPr>
          <w:trHeight w:val="348"/>
          <w:jc w:val="center"/>
        </w:trPr>
        <w:tc>
          <w:tcPr>
            <w:tcW w:w="1001" w:type="dxa"/>
            <w:vMerge w:val="restart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4369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RGB/RGBW/RGBWA</w:t>
            </w:r>
          </w:p>
        </w:tc>
        <w:tc>
          <w:tcPr>
            <w:tcW w:w="3872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±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5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nm</w:t>
            </w:r>
          </w:p>
        </w:tc>
      </w:tr>
      <w:tr w:rsidR="00F16570" w:rsidRPr="000374FF">
        <w:trPr>
          <w:jc w:val="center"/>
        </w:trPr>
        <w:tc>
          <w:tcPr>
            <w:tcW w:w="1001" w:type="dxa"/>
            <w:vMerge/>
            <w:vAlign w:val="center"/>
          </w:tcPr>
          <w:p w:rsidR="00F16570" w:rsidRPr="000374FF" w:rsidRDefault="00F16570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369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W=4000K</w:t>
            </w:r>
          </w:p>
        </w:tc>
        <w:tc>
          <w:tcPr>
            <w:tcW w:w="3872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±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15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0K</w:t>
            </w:r>
          </w:p>
        </w:tc>
      </w:tr>
      <w:tr w:rsidR="00F16570" w:rsidRPr="000374FF">
        <w:trPr>
          <w:jc w:val="center"/>
        </w:trPr>
        <w:tc>
          <w:tcPr>
            <w:tcW w:w="1001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4369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2200K-3000K</w:t>
            </w:r>
          </w:p>
        </w:tc>
        <w:tc>
          <w:tcPr>
            <w:tcW w:w="3872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±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100K</w:t>
            </w:r>
          </w:p>
        </w:tc>
      </w:tr>
      <w:tr w:rsidR="00F16570" w:rsidRPr="000374FF">
        <w:trPr>
          <w:jc w:val="center"/>
        </w:trPr>
        <w:tc>
          <w:tcPr>
            <w:tcW w:w="1001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4369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3001K-5000K</w:t>
            </w:r>
          </w:p>
        </w:tc>
        <w:tc>
          <w:tcPr>
            <w:tcW w:w="3872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±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15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0K</w:t>
            </w:r>
          </w:p>
        </w:tc>
      </w:tr>
      <w:tr w:rsidR="00F16570" w:rsidRPr="000374FF">
        <w:trPr>
          <w:jc w:val="center"/>
        </w:trPr>
        <w:tc>
          <w:tcPr>
            <w:tcW w:w="1001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4369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5001K-6800K</w:t>
            </w:r>
          </w:p>
        </w:tc>
        <w:tc>
          <w:tcPr>
            <w:tcW w:w="3872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±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20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0K</w:t>
            </w:r>
          </w:p>
        </w:tc>
      </w:tr>
      <w:tr w:rsidR="00F16570" w:rsidRPr="000374FF">
        <w:trPr>
          <w:jc w:val="center"/>
        </w:trPr>
        <w:tc>
          <w:tcPr>
            <w:tcW w:w="1001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4369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380nm-780nm</w:t>
            </w:r>
          </w:p>
        </w:tc>
        <w:tc>
          <w:tcPr>
            <w:tcW w:w="3872" w:type="dxa"/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±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5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nm</w:t>
            </w:r>
          </w:p>
        </w:tc>
      </w:tr>
    </w:tbl>
    <w:p w:rsidR="00F16570" w:rsidRPr="000374FF" w:rsidRDefault="00411BE3" w:rsidP="000374FF">
      <w:pPr>
        <w:numPr>
          <w:ilvl w:val="0"/>
          <w:numId w:val="8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白光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灯具的色容差应符合以下规定：同型号白光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灯具，色容差不应大于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7SDCM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。</w:t>
      </w:r>
    </w:p>
    <w:p w:rsidR="00F16570" w:rsidRPr="000374FF" w:rsidRDefault="00411BE3" w:rsidP="000374FF">
      <w:pPr>
        <w:numPr>
          <w:ilvl w:val="0"/>
          <w:numId w:val="8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当照射对象为纯色物体时，灯具色容差不应大于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5SDCM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。</w:t>
      </w:r>
    </w:p>
    <w:p w:rsidR="00F16570" w:rsidRPr="000374FF" w:rsidRDefault="00411BE3" w:rsidP="000374FF">
      <w:pPr>
        <w:numPr>
          <w:ilvl w:val="0"/>
          <w:numId w:val="8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lastRenderedPageBreak/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颗粒应满足拥有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LM-80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认证，颗粒寿命不低于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5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万小时。</w:t>
      </w:r>
    </w:p>
    <w:p w:rsidR="00F16570" w:rsidRPr="000374FF" w:rsidRDefault="00411BE3" w:rsidP="000374FF">
      <w:pPr>
        <w:numPr>
          <w:ilvl w:val="0"/>
          <w:numId w:val="8"/>
        </w:numPr>
        <w:spacing w:line="360" w:lineRule="auto"/>
        <w:ind w:firstLineChars="200" w:firstLine="482"/>
        <w:rPr>
          <w:rFonts w:asciiTheme="minorEastAsia" w:hAnsiTheme="minorEastAsia"/>
          <w:b/>
          <w:bCs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颗粒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的显色指数（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CRI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）：白光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一般显色指数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Ra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≥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80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，且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R9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＞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0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。</w:t>
      </w:r>
    </w:p>
    <w:p w:rsidR="00F16570" w:rsidRPr="000374FF" w:rsidRDefault="00411BE3" w:rsidP="000374FF">
      <w:pPr>
        <w:pStyle w:val="3"/>
        <w:numPr>
          <w:ilvl w:val="0"/>
          <w:numId w:val="6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6" w:name="_Toc517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LED</w:t>
      </w:r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灯具输入电压要求</w:t>
      </w:r>
      <w:bookmarkEnd w:id="6"/>
    </w:p>
    <w:p w:rsidR="00F16570" w:rsidRPr="000374FF" w:rsidRDefault="00411BE3" w:rsidP="000374FF">
      <w:pPr>
        <w:numPr>
          <w:ilvl w:val="0"/>
          <w:numId w:val="9"/>
        </w:numPr>
        <w:spacing w:line="360" w:lineRule="auto"/>
        <w:ind w:firstLineChars="200" w:firstLine="482"/>
        <w:rPr>
          <w:rFonts w:asciiTheme="minorEastAsia" w:hAnsiTheme="minorEastAsia"/>
          <w:b/>
          <w:bCs/>
          <w:color w:val="000000" w:themeColor="text1"/>
          <w:sz w:val="24"/>
          <w:u w:val="single"/>
        </w:rPr>
      </w:pP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详细参数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未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标明输入电压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的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为外置驱动电源集中供电。</w:t>
      </w:r>
    </w:p>
    <w:p w:rsidR="00F16570" w:rsidRPr="000374FF" w:rsidRDefault="00411BE3" w:rsidP="000374FF">
      <w:pPr>
        <w:numPr>
          <w:ilvl w:val="0"/>
          <w:numId w:val="9"/>
        </w:numPr>
        <w:spacing w:line="360" w:lineRule="auto"/>
        <w:ind w:firstLineChars="200" w:firstLine="482"/>
        <w:rPr>
          <w:rFonts w:asciiTheme="minorEastAsia" w:hAnsiTheme="minorEastAsia"/>
          <w:b/>
          <w:bCs/>
          <w:color w:val="000000" w:themeColor="text1"/>
          <w:sz w:val="24"/>
          <w:u w:val="single"/>
        </w:rPr>
      </w:pP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详细参数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未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标明输入电压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的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，其输入电压必须为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DC24V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。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详细参数标明输入电压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的，按详细参数执行。</w:t>
      </w:r>
    </w:p>
    <w:p w:rsidR="00F16570" w:rsidRPr="000374FF" w:rsidRDefault="00411BE3" w:rsidP="000374FF">
      <w:pPr>
        <w:pStyle w:val="3"/>
        <w:numPr>
          <w:ilvl w:val="0"/>
          <w:numId w:val="6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7" w:name="_Toc18301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有变化要求的</w:t>
      </w:r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LED</w:t>
      </w:r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灯具要求</w:t>
      </w:r>
      <w:bookmarkEnd w:id="7"/>
    </w:p>
    <w:p w:rsidR="00F16570" w:rsidRPr="000374FF" w:rsidRDefault="00411BE3" w:rsidP="000374FF">
      <w:pPr>
        <w:numPr>
          <w:ilvl w:val="0"/>
          <w:numId w:val="10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有变化要求的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灯具须采用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DMX512/1990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或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DMX512-A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标准控制协议，或兼容于上述协议。</w:t>
      </w:r>
    </w:p>
    <w:p w:rsidR="00F16570" w:rsidRPr="000374FF" w:rsidRDefault="00411BE3" w:rsidP="000374FF">
      <w:pPr>
        <w:numPr>
          <w:ilvl w:val="0"/>
          <w:numId w:val="10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动态灯具，动态的速率可调，可缓慢连续变化也可跳变。芯片亮度可从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0%-100%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变化。有变化要求的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灯具灰度级别必须达到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256*256*256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位灰度。灰度刷新频率不小于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1000HZ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。彩色的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灯具必须发出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1670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万种真彩色。实现全场景同步色彩渐变及追光等各种动感色彩效果，色彩过渡要平稳、圆润，色彩还原要求逼真、细腻、自然。</w:t>
      </w:r>
    </w:p>
    <w:p w:rsidR="00F16570" w:rsidRPr="000374FF" w:rsidRDefault="00411BE3" w:rsidP="000374FF">
      <w:pPr>
        <w:pStyle w:val="3"/>
        <w:numPr>
          <w:ilvl w:val="0"/>
          <w:numId w:val="6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8" w:name="_Toc13353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外观及结构要求</w:t>
      </w:r>
      <w:bookmarkEnd w:id="8"/>
    </w:p>
    <w:p w:rsidR="00F16570" w:rsidRPr="000374FF" w:rsidRDefault="00411BE3" w:rsidP="000374FF">
      <w:pPr>
        <w:numPr>
          <w:ilvl w:val="0"/>
          <w:numId w:val="11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外观质量：灯具的表面应光滑，以防污物堆积和便于清洗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;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无损伤、变形、涂层剥落，玻璃罩应无气泡、明显划痕和裂纹等缺陷。</w:t>
      </w:r>
    </w:p>
    <w:p w:rsidR="00F16570" w:rsidRPr="000374FF" w:rsidRDefault="00411BE3" w:rsidP="000374FF">
      <w:pPr>
        <w:numPr>
          <w:ilvl w:val="0"/>
          <w:numId w:val="11"/>
        </w:numPr>
        <w:spacing w:line="360" w:lineRule="auto"/>
        <w:ind w:firstLineChars="200" w:firstLine="480"/>
        <w:rPr>
          <w:rFonts w:asciiTheme="minorEastAsia" w:hAnsiTheme="minorEastAsia"/>
          <w:b/>
          <w:bCs/>
          <w:color w:val="000000" w:themeColor="text1"/>
          <w:sz w:val="24"/>
          <w:u w:val="single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外形尺寸：允许偏差范围标明区间的（例如：有≥、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≤、±、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~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符号）灯具尺寸在要求范围内为满足要求；未标明尺寸允许偏差范围的灯具尺寸上下浮动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10%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为满足要求。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线性投光灯长度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尺寸上下浮动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%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为满足要求。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线形灯具长度不足一米的需要另行配置短头的灯具不单独报价，价格以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1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米长度的比例折算。</w:t>
      </w:r>
    </w:p>
    <w:p w:rsidR="00F16570" w:rsidRPr="000374FF" w:rsidRDefault="00411BE3" w:rsidP="000374FF">
      <w:pPr>
        <w:numPr>
          <w:ilvl w:val="0"/>
          <w:numId w:val="11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安装和位置尺寸：未标明尺寸允许偏差范围的按照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GB-T1804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的精度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M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级别标准执行。</w:t>
      </w:r>
    </w:p>
    <w:p w:rsidR="00F16570" w:rsidRPr="000374FF" w:rsidRDefault="00411BE3" w:rsidP="000374FF">
      <w:pPr>
        <w:numPr>
          <w:ilvl w:val="0"/>
          <w:numId w:val="11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灯具应安装方便，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灯具出线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方式不能影响现场安装。投光类灯具安装角度应能灵活调节。灯具应有特设的导线出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(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入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)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口密封装置。灯具内应有电源接线端子，外部接线和内部接线穿过硬质材料时应有保护措施。灯具应配备一个耐温度骤变、废气、烟雾和其他化学物质的钢化玻璃罩。</w:t>
      </w:r>
    </w:p>
    <w:p w:rsidR="00F16570" w:rsidRPr="000374FF" w:rsidRDefault="00411BE3" w:rsidP="000374FF">
      <w:pPr>
        <w:numPr>
          <w:ilvl w:val="0"/>
          <w:numId w:val="11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所有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灯具引出线线径应符合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GB7000.1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（灯具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 xml:space="preserve"> 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第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部分：一般要求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lastRenderedPageBreak/>
        <w:t>与试验）的要求，引出线长度按照现场安装情况提供，确保灯与灯之间连线符合最优化。一个回路的灯具可成串提供，灯具引出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线满足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现场安装要求。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 xml:space="preserve"> 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芯线颜色必须符合国标要求，且有明显区别。</w:t>
      </w:r>
    </w:p>
    <w:p w:rsidR="00F16570" w:rsidRPr="000374FF" w:rsidRDefault="00411BE3" w:rsidP="000374FF">
      <w:pPr>
        <w:numPr>
          <w:ilvl w:val="0"/>
          <w:numId w:val="11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控制线采用专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用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RS485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超五类屏蔽总线。接头必须具有防水措施、连接方便易操作。</w:t>
      </w:r>
    </w:p>
    <w:p w:rsidR="00F16570" w:rsidRPr="000374FF" w:rsidRDefault="00411BE3" w:rsidP="000374FF">
      <w:pPr>
        <w:numPr>
          <w:ilvl w:val="0"/>
          <w:numId w:val="11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有针对感应雷击及静电的专用防护元件，器件性能符合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IEC61000-4-4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（电磁兼容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-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第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4-4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部分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: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试验和测量技术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-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电快速瞬变脉冲群抗扰度试验）的检测标准。</w:t>
      </w:r>
    </w:p>
    <w:p w:rsidR="00F16570" w:rsidRPr="000374FF" w:rsidRDefault="00411BE3" w:rsidP="000374FF">
      <w:pPr>
        <w:numPr>
          <w:ilvl w:val="0"/>
          <w:numId w:val="11"/>
        </w:numPr>
        <w:spacing w:line="360" w:lineRule="auto"/>
        <w:ind w:firstLineChars="200" w:firstLine="482"/>
        <w:rPr>
          <w:rFonts w:asciiTheme="minorEastAsia" w:hAnsiTheme="minorEastAsia"/>
          <w:b/>
          <w:bCs/>
          <w:color w:val="000000" w:themeColor="text1"/>
          <w:sz w:val="24"/>
          <w:u w:val="single"/>
        </w:rPr>
      </w:pP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一般灯具防护等级不小于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IP65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。</w:t>
      </w:r>
    </w:p>
    <w:p w:rsidR="00F16570" w:rsidRPr="000374FF" w:rsidRDefault="00411BE3" w:rsidP="000374FF">
      <w:pPr>
        <w:numPr>
          <w:ilvl w:val="0"/>
          <w:numId w:val="11"/>
        </w:numPr>
        <w:spacing w:line="360" w:lineRule="auto"/>
        <w:ind w:firstLineChars="200" w:firstLine="482"/>
        <w:rPr>
          <w:rFonts w:asciiTheme="minorEastAsia" w:hAnsiTheme="minorEastAsia"/>
          <w:b/>
          <w:bCs/>
          <w:color w:val="000000" w:themeColor="text1"/>
          <w:sz w:val="24"/>
          <w:u w:val="single"/>
        </w:rPr>
      </w:pP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安全电压灯具可用可调驱动电源无极调节亮度（输入电压为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220V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的灯具除外）。</w:t>
      </w:r>
    </w:p>
    <w:p w:rsidR="00F16570" w:rsidRPr="000374FF" w:rsidRDefault="00411BE3" w:rsidP="000374FF">
      <w:pPr>
        <w:pStyle w:val="3"/>
        <w:numPr>
          <w:ilvl w:val="0"/>
          <w:numId w:val="6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9" w:name="_Toc20504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材料要求</w:t>
      </w:r>
      <w:bookmarkEnd w:id="9"/>
    </w:p>
    <w:p w:rsidR="00F16570" w:rsidRPr="000374FF" w:rsidRDefault="00411BE3" w:rsidP="000374FF">
      <w:pPr>
        <w:numPr>
          <w:ilvl w:val="0"/>
          <w:numId w:val="12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所有要求为不锈钢的材质，必须采用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304/2B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不锈钢标号；所有要求为铝材的，必须采用高镁防锈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3404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标号或同等、优于该材料。灯具所采用的电线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(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缆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)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、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和其他电子部件均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应符合相应的国家标准或行业标准的规定要求。</w:t>
      </w:r>
    </w:p>
    <w:p w:rsidR="00F16570" w:rsidRPr="000374FF" w:rsidRDefault="00411BE3" w:rsidP="000374FF">
      <w:pPr>
        <w:numPr>
          <w:ilvl w:val="0"/>
          <w:numId w:val="12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灯具密封圈需采用抗老化硅橡胶圈或同等、优于上标准。应耐温、耐老化和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耐道路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上可能出现的腐蚀性气体，并应方便更换。灯具密封若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采用灌胶形式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，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灌胶材料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必须采用有机硅胶或同等、优于以上标准。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 xml:space="preserve"> </w:t>
      </w:r>
    </w:p>
    <w:p w:rsidR="00F16570" w:rsidRPr="000374FF" w:rsidRDefault="00411BE3" w:rsidP="000374FF">
      <w:pPr>
        <w:numPr>
          <w:ilvl w:val="0"/>
          <w:numId w:val="12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灯具的插销、铰链、螺钉和其他外部构件应用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304/2B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不锈钢或高镁防锈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3404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铝合金，其安装构件应不受混凝土的化学反应腐蚀。膨胀管、膨胀螺栓（含螺栓、胀管、平垫圈、弹簧垫和六角螺母等）必须采用不锈钢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304/2B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材料，且不受混凝土的化学反应腐蚀。</w:t>
      </w:r>
    </w:p>
    <w:p w:rsidR="00F16570" w:rsidRPr="000374FF" w:rsidRDefault="00411BE3" w:rsidP="000374FF">
      <w:pPr>
        <w:pStyle w:val="3"/>
        <w:numPr>
          <w:ilvl w:val="0"/>
          <w:numId w:val="6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10" w:name="_Toc19172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耐腐蚀性要求</w:t>
      </w:r>
      <w:bookmarkEnd w:id="10"/>
    </w:p>
    <w:p w:rsidR="00F16570" w:rsidRPr="000374FF" w:rsidRDefault="00411BE3" w:rsidP="000374FF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灯具应具有良好的耐腐蚀性能；灯具上的涂层部件，涂层应符合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QB/T 1551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（《灯具油漆涂层》国家标准）中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II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类（恶劣的使用环境，如含有工业废气或盐分，潮湿的使用场所）使用条件的要求；灯具上的电镀或化学覆盖件，覆盖层应符合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QB/T3741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（《灯具电镀、化学覆盖层》轻工行业标准）中Ⅲ类（严酷的使用条件，如空气中含有工业废气或盐分潮湿的环境）使用条件的要求。灯具灯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体材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质表面应有耐腐蚀、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抗破坏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处理手段，处理工艺需达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10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年使用寿命。压克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lastRenderedPageBreak/>
        <w:t>力材料部分保证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5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年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不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发黄。</w:t>
      </w:r>
    </w:p>
    <w:p w:rsidR="00F16570" w:rsidRPr="000374FF" w:rsidRDefault="00411BE3" w:rsidP="000374FF">
      <w:pPr>
        <w:pStyle w:val="3"/>
        <w:numPr>
          <w:ilvl w:val="0"/>
          <w:numId w:val="6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11" w:name="_Toc6693"/>
      <w:bookmarkStart w:id="12" w:name="_Toc9926"/>
      <w:bookmarkStart w:id="13" w:name="_Toc4937"/>
      <w:bookmarkStart w:id="14" w:name="_Toc2295"/>
      <w:bookmarkStart w:id="15" w:name="_Toc20838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电磁兼容</w:t>
      </w:r>
      <w:bookmarkEnd w:id="11"/>
      <w:bookmarkEnd w:id="12"/>
      <w:bookmarkEnd w:id="13"/>
      <w:bookmarkEnd w:id="14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要求</w:t>
      </w:r>
      <w:bookmarkEnd w:id="15"/>
    </w:p>
    <w:p w:rsidR="00F16570" w:rsidRPr="000374FF" w:rsidRDefault="00411BE3" w:rsidP="000374FF">
      <w:pPr>
        <w:numPr>
          <w:ilvl w:val="0"/>
          <w:numId w:val="13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灯具的无线电骚扰特性应符合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GB 1774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3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的要求。</w:t>
      </w:r>
    </w:p>
    <w:p w:rsidR="00F16570" w:rsidRPr="000374FF" w:rsidRDefault="00411BE3" w:rsidP="000374FF">
      <w:pPr>
        <w:numPr>
          <w:ilvl w:val="0"/>
          <w:numId w:val="13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灯具电磁兼容抗扰度应符合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 xml:space="preserve">GB/T 18595 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的要求。</w:t>
      </w:r>
    </w:p>
    <w:p w:rsidR="00F16570" w:rsidRPr="000374FF" w:rsidRDefault="00411BE3" w:rsidP="000374FF">
      <w:pPr>
        <w:numPr>
          <w:ilvl w:val="0"/>
          <w:numId w:val="13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灯具的输入电流谐波应符合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GB l7625.1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的要求。</w:t>
      </w:r>
    </w:p>
    <w:p w:rsidR="00F16570" w:rsidRPr="000374FF" w:rsidRDefault="00411BE3" w:rsidP="000374FF">
      <w:pPr>
        <w:numPr>
          <w:ilvl w:val="0"/>
          <w:numId w:val="13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电子控制装置应采用高压输出的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电子控制装置，输出电流不超过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1.5A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。并应符合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GB 19510.14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的规定。</w:t>
      </w:r>
    </w:p>
    <w:p w:rsidR="00F16570" w:rsidRPr="000374FF" w:rsidRDefault="00411BE3" w:rsidP="000374FF">
      <w:pPr>
        <w:numPr>
          <w:ilvl w:val="0"/>
          <w:numId w:val="13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灯具的蓝光控制应符合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GB 7000.1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的规定。</w:t>
      </w:r>
    </w:p>
    <w:p w:rsidR="00F16570" w:rsidRPr="000374FF" w:rsidRDefault="00411BE3" w:rsidP="000374FF">
      <w:pPr>
        <w:pStyle w:val="3"/>
        <w:numPr>
          <w:ilvl w:val="0"/>
          <w:numId w:val="6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16" w:name="_Toc28959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灯具寿命、光衰、散热等要求</w:t>
      </w:r>
      <w:bookmarkEnd w:id="16"/>
    </w:p>
    <w:p w:rsidR="00F16570" w:rsidRPr="000374FF" w:rsidRDefault="00411BE3" w:rsidP="000374FF">
      <w:pPr>
        <w:numPr>
          <w:ilvl w:val="0"/>
          <w:numId w:val="14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灯的光源寿命不低于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5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万小时。灯具的平均寿命应不低于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3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万小时。</w:t>
      </w:r>
    </w:p>
    <w:p w:rsidR="00F16570" w:rsidRPr="000374FF" w:rsidRDefault="00411BE3" w:rsidP="000374FF">
      <w:pPr>
        <w:numPr>
          <w:ilvl w:val="0"/>
          <w:numId w:val="14"/>
        </w:numPr>
        <w:spacing w:line="360" w:lineRule="auto"/>
        <w:ind w:firstLineChars="131" w:firstLine="316"/>
        <w:rPr>
          <w:rFonts w:asciiTheme="minorEastAsia" w:hAnsiTheme="minorEastAsia"/>
          <w:b/>
          <w:bCs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灯在燃点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3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千小时时，其光</w:t>
      </w:r>
      <w:proofErr w:type="gramStart"/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通维持</w:t>
      </w:r>
      <w:proofErr w:type="gramEnd"/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率应不低于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9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6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%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；在燃点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6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千小时时，其光</w:t>
      </w:r>
      <w:proofErr w:type="gramStart"/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通维持</w:t>
      </w:r>
      <w:proofErr w:type="gramEnd"/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率应不低于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92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%</w:t>
      </w: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。</w:t>
      </w:r>
    </w:p>
    <w:p w:rsidR="00F16570" w:rsidRPr="000374FF" w:rsidRDefault="00411BE3" w:rsidP="000374FF">
      <w:pPr>
        <w:numPr>
          <w:ilvl w:val="0"/>
          <w:numId w:val="14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灯的初始光通量（灯具入库或到达安装现场的时间点）可由制造商或销售商标称，但其实测值不得低于标称值的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95%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，不得高于标称值的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105%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。</w:t>
      </w:r>
    </w:p>
    <w:p w:rsidR="00F16570" w:rsidRPr="000374FF" w:rsidRDefault="00411BE3" w:rsidP="000374FF">
      <w:pPr>
        <w:numPr>
          <w:ilvl w:val="0"/>
          <w:numId w:val="14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所有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灯具外壳温度满载负荷两小时候后，温度升高不大于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30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℃。现场安装后抽检灯具的外壳温度。芯片引脚满载两小时后，温度升高不大于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60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℃。</w:t>
      </w:r>
    </w:p>
    <w:p w:rsidR="00F16570" w:rsidRPr="000374FF" w:rsidRDefault="00411BE3" w:rsidP="000374FF">
      <w:pPr>
        <w:pStyle w:val="2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color w:val="000000" w:themeColor="text1"/>
          <w:sz w:val="24"/>
        </w:rPr>
      </w:pPr>
      <w:bookmarkStart w:id="17" w:name="_Toc11963"/>
      <w:r w:rsidRPr="000374FF">
        <w:rPr>
          <w:rFonts w:asciiTheme="minorEastAsia" w:eastAsiaTheme="minorEastAsia" w:hAnsiTheme="minorEastAsia" w:hint="eastAsia"/>
          <w:color w:val="000000" w:themeColor="text1"/>
          <w:sz w:val="24"/>
        </w:rPr>
        <w:t>灯具附属开关电源（驱动电源）技术通则</w:t>
      </w:r>
      <w:bookmarkEnd w:id="17"/>
    </w:p>
    <w:p w:rsidR="00F16570" w:rsidRPr="000374FF" w:rsidRDefault="00411BE3" w:rsidP="000374FF">
      <w:pPr>
        <w:pStyle w:val="3"/>
        <w:numPr>
          <w:ilvl w:val="0"/>
          <w:numId w:val="15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18" w:name="_Toc30970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说明</w:t>
      </w:r>
      <w:bookmarkEnd w:id="18"/>
    </w:p>
    <w:p w:rsidR="00F16570" w:rsidRPr="000374FF" w:rsidRDefault="00411BE3" w:rsidP="000374FF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技术文件详参有规定的，按详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参规定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执行，没有详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参规定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的，按照本通则执行。</w:t>
      </w:r>
    </w:p>
    <w:p w:rsidR="00F16570" w:rsidRPr="000374FF" w:rsidRDefault="00411BE3" w:rsidP="000374FF">
      <w:pPr>
        <w:spacing w:line="360" w:lineRule="auto"/>
        <w:ind w:firstLineChars="139" w:firstLine="335"/>
        <w:rPr>
          <w:rFonts w:asciiTheme="minorEastAsia" w:hAnsiTheme="minorEastAsia"/>
          <w:b/>
          <w:bCs/>
          <w:color w:val="000000" w:themeColor="text1"/>
          <w:sz w:val="24"/>
          <w:u w:val="single"/>
        </w:rPr>
      </w:pP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灯具必须按照采购单位要求，提供全部驱动电源，价格含在灯具中。</w:t>
      </w:r>
    </w:p>
    <w:p w:rsidR="00F16570" w:rsidRPr="000374FF" w:rsidRDefault="00411BE3" w:rsidP="000374FF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所有灯具附属驱动电源的深化设计、相关参数按照下表执行。</w:t>
      </w:r>
    </w:p>
    <w:p w:rsidR="00F16570" w:rsidRPr="000374FF" w:rsidRDefault="00F16570" w:rsidP="000374FF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1660"/>
        <w:gridCol w:w="7040"/>
      </w:tblGrid>
      <w:tr w:rsidR="00F16570" w:rsidRPr="000374FF">
        <w:trPr>
          <w:trHeight w:val="390"/>
          <w:tblHeader/>
          <w:jc w:val="center"/>
        </w:trPr>
        <w:tc>
          <w:tcPr>
            <w:tcW w:w="680" w:type="dxa"/>
            <w:shd w:val="clear" w:color="auto" w:fill="D8D8D8" w:themeFill="background1" w:themeFillShade="D8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660" w:type="dxa"/>
            <w:shd w:val="clear" w:color="auto" w:fill="D8D8D8" w:themeFill="background1" w:themeFillShade="D8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内容</w:t>
            </w:r>
          </w:p>
        </w:tc>
        <w:tc>
          <w:tcPr>
            <w:tcW w:w="7040" w:type="dxa"/>
            <w:shd w:val="clear" w:color="auto" w:fill="D8D8D8" w:themeFill="background1" w:themeFillShade="D8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要求</w:t>
            </w:r>
          </w:p>
        </w:tc>
      </w:tr>
      <w:tr w:rsidR="00F16570" w:rsidRPr="000374FF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深化设计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中标单位根据现场安装条件优化使用方案，由设计方及业主最终确认</w:t>
            </w:r>
          </w:p>
        </w:tc>
      </w:tr>
      <w:tr w:rsidR="00F16570" w:rsidRPr="000374FF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型号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厂家深化，设计确认</w:t>
            </w:r>
          </w:p>
        </w:tc>
      </w:tr>
      <w:tr w:rsidR="00F16570" w:rsidRPr="000374FF">
        <w:trPr>
          <w:trHeight w:val="390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输出属性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没有明暗及动态变化的灯具，必须采用可无极调节电压电源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。</w:t>
            </w:r>
          </w:p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若使用恒压输出电源，需经设计师认可。</w:t>
            </w:r>
          </w:p>
        </w:tc>
      </w:tr>
      <w:tr w:rsidR="00F16570" w:rsidRPr="000374FF">
        <w:trPr>
          <w:trHeight w:val="390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有明暗及动态变化的灯具，必须采用恒压输出电源</w:t>
            </w:r>
          </w:p>
        </w:tc>
      </w:tr>
      <w:tr w:rsidR="00F16570" w:rsidRPr="000374FF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功率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根据现场合理配置</w:t>
            </w:r>
          </w:p>
        </w:tc>
      </w:tr>
      <w:tr w:rsidR="00F16570" w:rsidRPr="000374FF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功率因数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≥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0.9</w:t>
            </w:r>
          </w:p>
        </w:tc>
      </w:tr>
      <w:tr w:rsidR="00F16570" w:rsidRPr="000374FF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3C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认证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必须提供</w:t>
            </w:r>
          </w:p>
        </w:tc>
      </w:tr>
      <w:tr w:rsidR="00F16570" w:rsidRPr="000374FF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效率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≥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90%</w:t>
            </w:r>
          </w:p>
        </w:tc>
      </w:tr>
      <w:tr w:rsidR="00F16570" w:rsidRPr="000374FF">
        <w:trPr>
          <w:trHeight w:val="390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防护等级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输出额定功率≤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600W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的驱动电源防护等级为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IP67</w:t>
            </w:r>
          </w:p>
        </w:tc>
      </w:tr>
      <w:tr w:rsidR="00F16570" w:rsidRPr="000374FF">
        <w:trPr>
          <w:trHeight w:val="390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输出额定功率＞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600W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的驱动电源为非防水电源</w:t>
            </w:r>
          </w:p>
        </w:tc>
      </w:tr>
      <w:tr w:rsidR="00F16570" w:rsidRPr="000374FF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电磁兼容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合格</w:t>
            </w:r>
          </w:p>
        </w:tc>
      </w:tr>
    </w:tbl>
    <w:p w:rsidR="00F16570" w:rsidRPr="000374FF" w:rsidRDefault="00411BE3" w:rsidP="000374FF">
      <w:pPr>
        <w:pStyle w:val="3"/>
        <w:numPr>
          <w:ilvl w:val="0"/>
          <w:numId w:val="15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19" w:name="_Toc7509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常规驱动电源技术要求</w:t>
      </w:r>
      <w:bookmarkEnd w:id="19"/>
    </w:p>
    <w:p w:rsidR="00F16570" w:rsidRPr="000374FF" w:rsidRDefault="00411BE3" w:rsidP="000374FF">
      <w:pPr>
        <w:numPr>
          <w:ilvl w:val="0"/>
          <w:numId w:val="9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普通恒压恒流源驱动电源、小于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150W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可调节电压的驱动电源品牌限定使用“台湾明纬”、“茂硕”、“英飞特”、“欧司朗（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OSRAM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）”、“飞利浦（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PHILIPS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）”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、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纽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克斯；</w:t>
      </w:r>
    </w:p>
    <w:p w:rsidR="00F16570" w:rsidRPr="000374FF" w:rsidRDefault="00411BE3" w:rsidP="000374FF">
      <w:pPr>
        <w:numPr>
          <w:ilvl w:val="0"/>
          <w:numId w:val="9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详细参数输入电压标明为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220V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的灯具为内置驱动电源。详细参数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未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标明输入电压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的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为外置驱动电源集中供电。</w:t>
      </w:r>
    </w:p>
    <w:p w:rsidR="00F16570" w:rsidRPr="000374FF" w:rsidRDefault="00411BE3" w:rsidP="000374FF">
      <w:pPr>
        <w:numPr>
          <w:ilvl w:val="0"/>
          <w:numId w:val="9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电源必须符合国家相关标准。小于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100W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的灯具必须配置恒压驱动电源。所有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灯具必须结合现场安装条件配置适当的防水驱动电源（含内置电源），电源功率及数量由设计单位及业主根据现场安装条件确定，电源的价格含在灯具总价中。电源数量不作为影响灯具价格的因素。根据具体灯具要求配置内置或外置。该电源必须为灯具标配，不得随意更换。</w:t>
      </w:r>
    </w:p>
    <w:p w:rsidR="00F16570" w:rsidRPr="000374FF" w:rsidRDefault="00411BE3" w:rsidP="000374FF">
      <w:pPr>
        <w:numPr>
          <w:ilvl w:val="0"/>
          <w:numId w:val="9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外置驱动电源、内置外露驱动电源应考虑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一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体式防水和散热。</w:t>
      </w:r>
    </w:p>
    <w:p w:rsidR="00F16570" w:rsidRPr="000374FF" w:rsidRDefault="00411BE3" w:rsidP="000374FF">
      <w:pPr>
        <w:numPr>
          <w:ilvl w:val="0"/>
          <w:numId w:val="9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单颗芯片功率不小于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1W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的大功率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灯具电源要有过载过压短路保护，自动温控保护。</w:t>
      </w:r>
    </w:p>
    <w:p w:rsidR="00F16570" w:rsidRPr="000374FF" w:rsidRDefault="00411BE3" w:rsidP="000374FF">
      <w:pPr>
        <w:numPr>
          <w:ilvl w:val="0"/>
          <w:numId w:val="9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外置电源集中供电时，所提供的电源必须满足现场实际安装需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要，每个电源的功率根据现场条件，由设计及业主确定。</w:t>
      </w:r>
    </w:p>
    <w:p w:rsidR="00F16570" w:rsidRPr="000374FF" w:rsidRDefault="00411BE3" w:rsidP="000374FF">
      <w:pPr>
        <w:numPr>
          <w:ilvl w:val="0"/>
          <w:numId w:val="9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外置驱动电源：输入交流电压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220VAC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，输出直流电压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24V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恒压（以灯具技术参数为准）；输入输出引出线长不低于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0.3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米。防护等级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IP67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。防雷等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lastRenderedPageBreak/>
        <w:t>级线对线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4KV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、线对地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6KV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。无风扇设计，自然风冷。功率小于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36W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的驱动电源效率不低于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85%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，功率大于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36W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的驱动电源效率不低于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90%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，有短路、过电流、过电压、过温度保护。功率因素不小于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90%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，安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规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和电磁兼容符合相关国家、国际标准。</w:t>
      </w:r>
    </w:p>
    <w:p w:rsidR="00F16570" w:rsidRPr="000374FF" w:rsidRDefault="00411BE3" w:rsidP="000374FF">
      <w:pPr>
        <w:numPr>
          <w:ilvl w:val="0"/>
          <w:numId w:val="9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外置驱动电源在电源箱内设置数量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3~6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个，在干燥、潮湿、淋雨环境下工作温度为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-20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℃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~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+60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℃，潮湿环境为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20~90%RH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，质保期不小于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5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年。</w:t>
      </w:r>
    </w:p>
    <w:p w:rsidR="00F16570" w:rsidRPr="000374FF" w:rsidRDefault="00411BE3" w:rsidP="000374FF">
      <w:pPr>
        <w:pStyle w:val="3"/>
        <w:numPr>
          <w:ilvl w:val="0"/>
          <w:numId w:val="15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20" w:name="_Toc11820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可调节电压驱动电源技术要求</w:t>
      </w:r>
      <w:bookmarkEnd w:id="20"/>
    </w:p>
    <w:p w:rsidR="00F16570" w:rsidRPr="000374FF" w:rsidRDefault="00411BE3" w:rsidP="000374FF">
      <w:pPr>
        <w:numPr>
          <w:ilvl w:val="0"/>
          <w:numId w:val="16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大于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150W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可调节电压的驱动电源推荐使用“三鑫虹”品牌。</w:t>
      </w:r>
    </w:p>
    <w:p w:rsidR="00F16570" w:rsidRPr="000374FF" w:rsidRDefault="00411BE3" w:rsidP="000374FF">
      <w:pPr>
        <w:numPr>
          <w:ilvl w:val="0"/>
          <w:numId w:val="16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大于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150W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可调节电压的驱动电源：电箱式智能电源。</w:t>
      </w:r>
    </w:p>
    <w:p w:rsidR="00F16570" w:rsidRPr="000374FF" w:rsidRDefault="00411BE3" w:rsidP="000374FF">
      <w:pPr>
        <w:numPr>
          <w:ilvl w:val="0"/>
          <w:numId w:val="16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调节灯具发光亮度；解决长距离拉线所产生的压降问题。</w:t>
      </w:r>
    </w:p>
    <w:p w:rsidR="00F16570" w:rsidRPr="000374FF" w:rsidRDefault="00411BE3" w:rsidP="000374FF">
      <w:pPr>
        <w:numPr>
          <w:ilvl w:val="0"/>
          <w:numId w:val="16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用电更安全，集中式供电，规范工程布线。</w:t>
      </w:r>
    </w:p>
    <w:p w:rsidR="00F16570" w:rsidRPr="000374FF" w:rsidRDefault="00411BE3" w:rsidP="000374FF">
      <w:pPr>
        <w:numPr>
          <w:ilvl w:val="0"/>
          <w:numId w:val="16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电箱式结构，安装方便，无需额外安装电箱或防雨装置；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双冷式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对流散热结构，大幅度提升散热效率及产品寿命，安全稳定；电箱式结构以及内设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缓风风道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，更适用于恶劣环境：如沿海多台风地带、东北等多雨雪地带、沙尘暴地区、高山森林地区（蚊虫等）。</w:t>
      </w:r>
    </w:p>
    <w:p w:rsidR="00F16570" w:rsidRPr="000374FF" w:rsidRDefault="00411BE3" w:rsidP="000374FF">
      <w:pPr>
        <w:numPr>
          <w:ilvl w:val="0"/>
          <w:numId w:val="16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智能调压、调光功能，适用于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LED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标识标牌、广告灯箱、大型户外亮化工程及照明工程。</w:t>
      </w:r>
    </w:p>
    <w:p w:rsidR="00F16570" w:rsidRPr="000374FF" w:rsidRDefault="00411BE3" w:rsidP="000374FF">
      <w:pPr>
        <w:numPr>
          <w:ilvl w:val="0"/>
          <w:numId w:val="16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保护功能齐全：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2-5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秒的延时检测保护、短路保护、过载保护、过热保护等。</w:t>
      </w:r>
    </w:p>
    <w:p w:rsidR="00F16570" w:rsidRPr="000374FF" w:rsidRDefault="00411BE3" w:rsidP="000374FF">
      <w:pPr>
        <w:numPr>
          <w:ilvl w:val="0"/>
          <w:numId w:val="16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能最大限度的减少发光源因通电瞬间输出的电压突变所造成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的光衰及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死灯。</w:t>
      </w:r>
    </w:p>
    <w:p w:rsidR="00F16570" w:rsidRPr="000374FF" w:rsidRDefault="00411BE3" w:rsidP="000374FF">
      <w:pPr>
        <w:numPr>
          <w:ilvl w:val="0"/>
          <w:numId w:val="16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产品输出功率规格：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450W / 550W/650W / 10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00W / 1200W / 2000W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；</w:t>
      </w:r>
    </w:p>
    <w:p w:rsidR="00F16570" w:rsidRPr="000374FF" w:rsidRDefault="00411BE3" w:rsidP="000374FF">
      <w:pPr>
        <w:numPr>
          <w:ilvl w:val="0"/>
          <w:numId w:val="16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产品输出电压：带调压功能：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 xml:space="preserve">9V-16V / 17-27V / 30-39V 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等。</w:t>
      </w:r>
    </w:p>
    <w:p w:rsidR="00F16570" w:rsidRPr="000374FF" w:rsidRDefault="00411BE3" w:rsidP="000374FF">
      <w:pPr>
        <w:numPr>
          <w:ilvl w:val="0"/>
          <w:numId w:val="16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在干燥、潮湿、淋雨环境下工作温度为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-20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℃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~+60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℃，可调节电压的驱动电源质保期不小于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5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t>年。</w:t>
      </w:r>
    </w:p>
    <w:p w:rsidR="00F16570" w:rsidRPr="000374FF" w:rsidRDefault="00411BE3" w:rsidP="000374FF">
      <w:pPr>
        <w:pStyle w:val="2"/>
        <w:numPr>
          <w:ilvl w:val="0"/>
          <w:numId w:val="4"/>
        </w:numPr>
        <w:spacing w:line="360" w:lineRule="auto"/>
        <w:ind w:firstLine="0"/>
        <w:rPr>
          <w:rFonts w:asciiTheme="minorEastAsia" w:eastAsiaTheme="minorEastAsia" w:hAnsiTheme="minorEastAsia"/>
          <w:color w:val="000000" w:themeColor="text1"/>
          <w:sz w:val="24"/>
        </w:rPr>
      </w:pPr>
      <w:bookmarkStart w:id="21" w:name="_Toc10067"/>
      <w:r w:rsidRPr="000374FF">
        <w:rPr>
          <w:rFonts w:asciiTheme="minorEastAsia" w:eastAsiaTheme="minorEastAsia" w:hAnsiTheme="minorEastAsia" w:hint="eastAsia"/>
          <w:color w:val="000000" w:themeColor="text1"/>
          <w:sz w:val="24"/>
        </w:rPr>
        <w:t>灯具附属防坠落装置及防坠落钢丝绳要求</w:t>
      </w:r>
      <w:bookmarkEnd w:id="21"/>
    </w:p>
    <w:p w:rsidR="00F16570" w:rsidRPr="000374FF" w:rsidRDefault="00411BE3" w:rsidP="000374FF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技术文件详参有规定的，按详</w:t>
      </w:r>
      <w:proofErr w:type="gramStart"/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参规定</w:t>
      </w:r>
      <w:proofErr w:type="gramEnd"/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执行，没有详</w:t>
      </w:r>
      <w:proofErr w:type="gramStart"/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参规定</w:t>
      </w:r>
      <w:proofErr w:type="gramEnd"/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的，按照本通则执行。</w:t>
      </w:r>
    </w:p>
    <w:p w:rsidR="00F16570" w:rsidRPr="000374FF" w:rsidRDefault="00411BE3" w:rsidP="000374FF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lastRenderedPageBreak/>
        <w:t>高空（高度大于</w:t>
      </w: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2</w:t>
      </w: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米）安装的灯具必须配置与灯具相匹配的连接件及防坠落装置。恶劣天气，强风袭击时，灯具不会坠落在地，保证安全。防坠落装置安装于合理位置。</w:t>
      </w:r>
    </w:p>
    <w:p w:rsidR="00F16570" w:rsidRPr="000374FF" w:rsidRDefault="00411BE3" w:rsidP="000374FF">
      <w:pPr>
        <w:widowControl/>
        <w:numPr>
          <w:ilvl w:val="0"/>
          <w:numId w:val="17"/>
        </w:numPr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钢丝绳材质：</w:t>
      </w: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304</w:t>
      </w: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不锈钢；</w:t>
      </w:r>
    </w:p>
    <w:p w:rsidR="00F16570" w:rsidRPr="000374FF" w:rsidRDefault="00411BE3" w:rsidP="000374FF">
      <w:pPr>
        <w:widowControl/>
        <w:numPr>
          <w:ilvl w:val="0"/>
          <w:numId w:val="17"/>
        </w:numPr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钢丝绳直径：≥</w:t>
      </w: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3mm</w:t>
      </w: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；</w:t>
      </w:r>
    </w:p>
    <w:p w:rsidR="00F16570" w:rsidRPr="000374FF" w:rsidRDefault="00411BE3" w:rsidP="000374FF">
      <w:pPr>
        <w:widowControl/>
        <w:numPr>
          <w:ilvl w:val="0"/>
          <w:numId w:val="17"/>
        </w:numPr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钢丝绳拉力：≥</w:t>
      </w: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400Kg</w:t>
      </w: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；</w:t>
      </w:r>
    </w:p>
    <w:p w:rsidR="00F16570" w:rsidRPr="000374FF" w:rsidRDefault="00411BE3" w:rsidP="000374FF">
      <w:pPr>
        <w:widowControl/>
        <w:numPr>
          <w:ilvl w:val="0"/>
          <w:numId w:val="17"/>
        </w:numPr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钢丝绳两端固定方式：固定式（结合灯具安装支架等，螺丝可固定</w:t>
      </w: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)</w:t>
      </w:r>
      <w:r w:rsidRPr="000374FF">
        <w:rPr>
          <w:rFonts w:asciiTheme="minorEastAsia" w:hAnsiTheme="minorEastAsia" w:hint="eastAsia"/>
          <w:color w:val="000000" w:themeColor="text1"/>
          <w:kern w:val="0"/>
          <w:sz w:val="24"/>
        </w:rPr>
        <w:t>。</w:t>
      </w:r>
      <w:r w:rsidRPr="000374FF">
        <w:rPr>
          <w:rFonts w:asciiTheme="minorEastAsia" w:hAnsiTheme="minorEastAsia" w:hint="eastAsia"/>
          <w:noProof/>
          <w:color w:val="000000" w:themeColor="text1"/>
          <w:sz w:val="24"/>
        </w:rPr>
        <w:drawing>
          <wp:inline distT="0" distB="0" distL="114300" distR="114300">
            <wp:extent cx="2450465" cy="3266440"/>
            <wp:effectExtent l="0" t="0" r="635" b="10160"/>
            <wp:docPr id="182" name="图片 182" descr="IMG_20181126_16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 descr="IMG_20181126_1636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4FF">
        <w:rPr>
          <w:rFonts w:asciiTheme="minorEastAsia" w:hAnsiTheme="minorEastAsia" w:hint="eastAsia"/>
          <w:color w:val="000000" w:themeColor="text1"/>
          <w:sz w:val="24"/>
        </w:rPr>
        <w:t xml:space="preserve">   </w:t>
      </w:r>
      <w:r w:rsidRPr="000374FF">
        <w:rPr>
          <w:rFonts w:asciiTheme="minorEastAsia" w:hAnsiTheme="minorEastAsia" w:hint="eastAsia"/>
          <w:noProof/>
          <w:color w:val="000000" w:themeColor="text1"/>
          <w:sz w:val="24"/>
        </w:rPr>
        <w:drawing>
          <wp:inline distT="0" distB="0" distL="114300" distR="114300">
            <wp:extent cx="2442845" cy="3257550"/>
            <wp:effectExtent l="0" t="0" r="8255" b="6350"/>
            <wp:docPr id="185" name="图片 185" descr="IMG_20181126_16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85" descr="IMG_20181126_1637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570" w:rsidRPr="000374FF" w:rsidRDefault="00411BE3" w:rsidP="000374FF">
      <w:pPr>
        <w:widowControl/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 xml:space="preserve">        </w:t>
      </w:r>
    </w:p>
    <w:p w:rsidR="00F16570" w:rsidRPr="000374FF" w:rsidRDefault="00411BE3" w:rsidP="000374FF">
      <w:pPr>
        <w:widowControl/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noProof/>
          <w:color w:val="000000" w:themeColor="text1"/>
          <w:sz w:val="24"/>
        </w:rPr>
        <w:lastRenderedPageBreak/>
        <w:drawing>
          <wp:inline distT="0" distB="0" distL="114300" distR="114300">
            <wp:extent cx="2462530" cy="3486150"/>
            <wp:effectExtent l="0" t="0" r="13970" b="0"/>
            <wp:docPr id="186" name="图片 186" descr="IMG_20181126_16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6" descr="IMG_20181126_163657"/>
                    <pic:cNvPicPr>
                      <a:picLocks noChangeAspect="1"/>
                    </pic:cNvPicPr>
                  </pic:nvPicPr>
                  <pic:blipFill>
                    <a:blip r:embed="rId9"/>
                    <a:srcRect l="5828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4FF">
        <w:rPr>
          <w:rFonts w:asciiTheme="minorEastAsia" w:hAnsiTheme="minorEastAsia" w:hint="eastAsia"/>
          <w:color w:val="000000" w:themeColor="text1"/>
          <w:sz w:val="24"/>
        </w:rPr>
        <w:t xml:space="preserve">    </w:t>
      </w:r>
      <w:r w:rsidRPr="000374FF">
        <w:rPr>
          <w:rFonts w:asciiTheme="minorEastAsia" w:hAnsiTheme="minorEastAsia" w:hint="eastAsia"/>
          <w:noProof/>
          <w:color w:val="000000" w:themeColor="text1"/>
          <w:sz w:val="24"/>
        </w:rPr>
        <w:drawing>
          <wp:inline distT="0" distB="0" distL="114300" distR="114300">
            <wp:extent cx="2491740" cy="3477895"/>
            <wp:effectExtent l="0" t="0" r="10160" b="1905"/>
            <wp:docPr id="188" name="图片 129" descr="IMG_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29" descr="IMG_1119"/>
                    <pic:cNvPicPr>
                      <a:picLocks noChangeAspect="1"/>
                    </pic:cNvPicPr>
                  </pic:nvPicPr>
                  <pic:blipFill>
                    <a:blip r:embed="rId10"/>
                    <a:srcRect l="18029" r="41347" b="18710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3477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0374FF">
        <w:rPr>
          <w:rFonts w:asciiTheme="minorEastAsia" w:hAnsiTheme="minorEastAsia" w:hint="eastAsia"/>
          <w:color w:val="000000" w:themeColor="text1"/>
          <w:sz w:val="24"/>
        </w:rPr>
        <w:t xml:space="preserve">   </w:t>
      </w:r>
      <w:r w:rsidRPr="000374FF">
        <w:rPr>
          <w:rFonts w:asciiTheme="minorEastAsia" w:hAnsiTheme="minorEastAsia" w:hint="eastAsia"/>
          <w:color w:val="000000" w:themeColor="text1"/>
          <w:sz w:val="24"/>
        </w:rPr>
        <w:br w:type="page"/>
      </w:r>
    </w:p>
    <w:p w:rsidR="00F16570" w:rsidRPr="000374FF" w:rsidRDefault="00411BE3" w:rsidP="000374FF">
      <w:pPr>
        <w:pStyle w:val="2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color w:val="000000" w:themeColor="text1"/>
          <w:sz w:val="24"/>
        </w:rPr>
      </w:pPr>
      <w:bookmarkStart w:id="22" w:name="_Toc13459"/>
      <w:r w:rsidRPr="000374FF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景观</w:t>
      </w:r>
      <w:r w:rsidRPr="000374FF">
        <w:rPr>
          <w:rFonts w:asciiTheme="minorEastAsia" w:eastAsiaTheme="minorEastAsia" w:hAnsiTheme="minorEastAsia" w:hint="eastAsia"/>
          <w:color w:val="000000" w:themeColor="text1"/>
          <w:sz w:val="24"/>
        </w:rPr>
        <w:t>灯具检测要求</w:t>
      </w:r>
      <w:bookmarkEnd w:id="22"/>
    </w:p>
    <w:p w:rsidR="00F16570" w:rsidRPr="000374FF" w:rsidRDefault="00411BE3" w:rsidP="000374FF">
      <w:pPr>
        <w:pStyle w:val="3"/>
        <w:numPr>
          <w:ilvl w:val="0"/>
          <w:numId w:val="18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23" w:name="_Toc30365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说明</w:t>
      </w:r>
      <w:bookmarkEnd w:id="23"/>
    </w:p>
    <w:p w:rsidR="00F16570" w:rsidRPr="000374FF" w:rsidRDefault="00411BE3" w:rsidP="000374FF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color w:val="000000" w:themeColor="text1"/>
          <w:sz w:val="24"/>
        </w:rPr>
        <w:t>技术文件详参有规定的，按详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参规定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执行，没有详</w:t>
      </w:r>
      <w:proofErr w:type="gramStart"/>
      <w:r w:rsidRPr="000374FF">
        <w:rPr>
          <w:rFonts w:asciiTheme="minorEastAsia" w:hAnsiTheme="minorEastAsia" w:hint="eastAsia"/>
          <w:color w:val="000000" w:themeColor="text1"/>
          <w:sz w:val="24"/>
        </w:rPr>
        <w:t>参规定</w:t>
      </w:r>
      <w:proofErr w:type="gramEnd"/>
      <w:r w:rsidRPr="000374FF">
        <w:rPr>
          <w:rFonts w:asciiTheme="minorEastAsia" w:hAnsiTheme="minorEastAsia" w:hint="eastAsia"/>
          <w:color w:val="000000" w:themeColor="text1"/>
          <w:sz w:val="24"/>
        </w:rPr>
        <w:t>的，按照本通则执行。</w:t>
      </w:r>
    </w:p>
    <w:p w:rsidR="00F16570" w:rsidRPr="000374FF" w:rsidRDefault="00411BE3" w:rsidP="000374FF">
      <w:pPr>
        <w:spacing w:line="360" w:lineRule="auto"/>
        <w:ind w:firstLineChars="131" w:firstLine="316"/>
        <w:rPr>
          <w:rFonts w:asciiTheme="minorEastAsia" w:hAnsiTheme="minorEastAsia"/>
          <w:b/>
          <w:bCs/>
          <w:color w:val="000000" w:themeColor="text1"/>
          <w:sz w:val="24"/>
        </w:rPr>
      </w:pPr>
      <w:r w:rsidRPr="000374FF">
        <w:rPr>
          <w:rFonts w:asciiTheme="minorEastAsia" w:hAnsiTheme="minorEastAsia" w:hint="eastAsia"/>
          <w:b/>
          <w:bCs/>
          <w:color w:val="000000" w:themeColor="text1"/>
          <w:sz w:val="24"/>
        </w:rPr>
        <w:t>所有检测机构均必须为“国家级权威检测机构”。</w:t>
      </w:r>
    </w:p>
    <w:p w:rsidR="00F16570" w:rsidRPr="000374FF" w:rsidRDefault="00411BE3" w:rsidP="000374FF">
      <w:pPr>
        <w:pStyle w:val="3"/>
        <w:numPr>
          <w:ilvl w:val="0"/>
          <w:numId w:val="18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24" w:name="_Toc6588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灯具不同阶段检测项目</w:t>
      </w:r>
      <w:bookmarkEnd w:id="24"/>
    </w:p>
    <w:tbl>
      <w:tblPr>
        <w:tblW w:w="80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5805"/>
        <w:gridCol w:w="1465"/>
      </w:tblGrid>
      <w:tr w:rsidR="00F16570" w:rsidRPr="000374FF">
        <w:trPr>
          <w:trHeight w:val="91"/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bCs/>
                <w:color w:val="000000" w:themeColor="text1"/>
                <w:sz w:val="24"/>
              </w:rPr>
              <w:t>检测项目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</w:rPr>
              <w:t>质保期期间</w:t>
            </w:r>
          </w:p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</w:rPr>
              <w:t>全部灯具</w:t>
            </w:r>
          </w:p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</w:rPr>
              <w:t>抽检项目</w:t>
            </w:r>
          </w:p>
        </w:tc>
      </w:tr>
      <w:tr w:rsidR="00F16570" w:rsidRPr="000374FF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色度参数：相关色温、色容差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√</w:t>
            </w:r>
          </w:p>
        </w:tc>
      </w:tr>
      <w:tr w:rsidR="00F16570" w:rsidRPr="000374FF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电参数：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 xml:space="preserve"> 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电压、电流、功率、功率因数（如果为交流供电）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√</w:t>
            </w:r>
          </w:p>
        </w:tc>
      </w:tr>
      <w:tr w:rsidR="00F16570" w:rsidRPr="000374FF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光度参数：配光曲线、光强、光束角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/</w:t>
            </w:r>
            <w:proofErr w:type="gramStart"/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半峰发散</w:t>
            </w:r>
            <w:proofErr w:type="gramEnd"/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角、光通量、整灯光效、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R9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√</w:t>
            </w:r>
          </w:p>
        </w:tc>
      </w:tr>
      <w:tr w:rsidR="00F16570" w:rsidRPr="000374FF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外部接线和内部接线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√</w:t>
            </w:r>
          </w:p>
        </w:tc>
      </w:tr>
      <w:tr w:rsidR="00F16570" w:rsidRPr="000374FF">
        <w:trPr>
          <w:trHeight w:val="49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u w:val="single"/>
              </w:rPr>
            </w:pPr>
            <w:r w:rsidRPr="000374FF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u w:val="single"/>
              </w:rPr>
              <w:t>防尘、防固体异物和防水：</w:t>
            </w:r>
          </w:p>
          <w:p w:rsidR="00F16570" w:rsidRPr="000374FF" w:rsidRDefault="00411BE3" w:rsidP="000374FF">
            <w:pPr>
              <w:spacing w:line="360" w:lineRule="auto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u w:val="single"/>
              </w:rPr>
              <w:t>一般灯具≥</w:t>
            </w:r>
            <w:r w:rsidRPr="000374FF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u w:val="single"/>
              </w:rPr>
              <w:t>IP65</w:t>
            </w:r>
            <w:r w:rsidRPr="000374FF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u w:val="single"/>
              </w:rPr>
              <w:t>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√</w:t>
            </w:r>
          </w:p>
        </w:tc>
      </w:tr>
      <w:tr w:rsidR="00F16570" w:rsidRPr="000374FF">
        <w:trPr>
          <w:trHeight w:val="267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潮湿后的绝缘电阻和电气强度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√</w:t>
            </w:r>
          </w:p>
        </w:tc>
      </w:tr>
      <w:tr w:rsidR="00F16570" w:rsidRPr="000374FF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可靠性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√</w:t>
            </w:r>
          </w:p>
        </w:tc>
      </w:tr>
    </w:tbl>
    <w:p w:rsidR="00F16570" w:rsidRPr="000374FF" w:rsidRDefault="00411BE3" w:rsidP="000374FF">
      <w:pPr>
        <w:pStyle w:val="3"/>
        <w:numPr>
          <w:ilvl w:val="0"/>
          <w:numId w:val="18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25" w:name="_Toc12436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质保期期间灯具其他抽检项目</w:t>
      </w:r>
      <w:bookmarkEnd w:id="25"/>
    </w:p>
    <w:tbl>
      <w:tblPr>
        <w:tblW w:w="93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429"/>
        <w:gridCol w:w="7329"/>
      </w:tblGrid>
      <w:tr w:rsidR="00F16570" w:rsidRPr="000374FF">
        <w:trPr>
          <w:trHeight w:val="653"/>
          <w:tblHeader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F16570" w:rsidRPr="000374FF" w:rsidRDefault="00411BE3" w:rsidP="000374F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bCs/>
                <w:color w:val="000000" w:themeColor="text1"/>
                <w:sz w:val="24"/>
              </w:rPr>
              <w:t>检测对象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bCs/>
                <w:color w:val="000000" w:themeColor="text1"/>
                <w:sz w:val="24"/>
              </w:rPr>
              <w:t>检测项目</w:t>
            </w:r>
          </w:p>
        </w:tc>
      </w:tr>
      <w:tr w:rsidR="00F16570" w:rsidRPr="000374FF">
        <w:trPr>
          <w:trHeight w:val="619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外壳、外露安装支架、螺丝螺帽等附件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、必须采用高压铸铝合金、拉伸铝合金、以及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304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不锈钢等材质。</w:t>
            </w:r>
          </w:p>
        </w:tc>
      </w:tr>
      <w:tr w:rsidR="00F16570" w:rsidRPr="000374FF">
        <w:trPr>
          <w:trHeight w:val="348"/>
          <w:jc w:val="center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0374FF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2</w:t>
            </w:r>
            <w:r w:rsidRPr="000374FF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、</w:t>
            </w:r>
            <w:r w:rsidRPr="000374FF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高处安装的灯具，</w:t>
            </w:r>
            <w:r w:rsidRPr="000374FF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必须要配备防坠落装置。</w:t>
            </w:r>
          </w:p>
        </w:tc>
      </w:tr>
      <w:tr w:rsidR="00F16570" w:rsidRPr="000374FF">
        <w:trPr>
          <w:trHeight w:val="191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防水接头、引出线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、大功率灯具（大于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30W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）必须有防水接头，材质为不锈钢或铜</w:t>
            </w:r>
          </w:p>
        </w:tc>
      </w:tr>
      <w:tr w:rsidR="00F16570" w:rsidRPr="000374FF">
        <w:trPr>
          <w:trHeight w:val="191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2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、大功率灯具（大于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30W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）引出线线径必须根据不小于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.5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mm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²</w:t>
            </w:r>
          </w:p>
        </w:tc>
      </w:tr>
      <w:tr w:rsidR="00F16570" w:rsidRPr="000374FF">
        <w:trPr>
          <w:trHeight w:val="191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4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电气安全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、外部接线和内部接线</w:t>
            </w:r>
          </w:p>
        </w:tc>
      </w:tr>
      <w:tr w:rsidR="00F16570" w:rsidRPr="000374FF">
        <w:trPr>
          <w:trHeight w:val="120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2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、接地规定：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220V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的灯具需检测，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24V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安全电压灯具无需检测</w:t>
            </w:r>
          </w:p>
        </w:tc>
      </w:tr>
      <w:tr w:rsidR="00F16570" w:rsidRPr="000374FF">
        <w:trPr>
          <w:trHeight w:val="327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、潮湿后的绝缘电阻和电气强度</w:t>
            </w:r>
          </w:p>
        </w:tc>
      </w:tr>
      <w:tr w:rsidR="00F16570" w:rsidRPr="000374FF">
        <w:trPr>
          <w:trHeight w:val="347"/>
          <w:jc w:val="center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4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、其他：防雷击、防静电能力、电磁干扰、灯具外壳温升等</w:t>
            </w:r>
          </w:p>
        </w:tc>
      </w:tr>
      <w:tr w:rsidR="00F16570" w:rsidRPr="000374FF">
        <w:trPr>
          <w:trHeight w:val="360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5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防护等级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numPr>
                <w:ilvl w:val="0"/>
                <w:numId w:val="19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一般灯具防护等级不小于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IP65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。</w:t>
            </w:r>
          </w:p>
        </w:tc>
      </w:tr>
      <w:tr w:rsidR="00F16570" w:rsidRPr="000374FF">
        <w:trPr>
          <w:trHeight w:val="314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numPr>
                <w:ilvl w:val="0"/>
                <w:numId w:val="19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地埋灯具防护等级不小于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IP67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。</w:t>
            </w:r>
          </w:p>
        </w:tc>
      </w:tr>
      <w:tr w:rsidR="00F16570" w:rsidRPr="000374FF">
        <w:trPr>
          <w:trHeight w:val="364"/>
          <w:jc w:val="center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numPr>
                <w:ilvl w:val="0"/>
                <w:numId w:val="19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水下灯具防护等级不小于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IP68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。</w:t>
            </w:r>
          </w:p>
        </w:tc>
      </w:tr>
      <w:tr w:rsidR="00F16570" w:rsidRPr="000374FF">
        <w:trPr>
          <w:trHeight w:val="191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6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灯具寿命</w:t>
            </w:r>
            <w:proofErr w:type="gramStart"/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及光衰</w:t>
            </w:r>
            <w:proofErr w:type="gramEnd"/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、颗粒寿命不低于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5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万小时；</w:t>
            </w:r>
          </w:p>
        </w:tc>
      </w:tr>
      <w:tr w:rsidR="00F16570" w:rsidRPr="000374FF">
        <w:trPr>
          <w:trHeight w:val="191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2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、灯具寿命不低于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万小时。</w:t>
            </w:r>
          </w:p>
        </w:tc>
      </w:tr>
      <w:tr w:rsidR="00F16570" w:rsidRPr="000374FF">
        <w:trPr>
          <w:trHeight w:val="191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、灯具</w:t>
            </w:r>
            <w:proofErr w:type="gramStart"/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光衰符合</w:t>
            </w:r>
            <w:proofErr w:type="gramEnd"/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国标要求。</w:t>
            </w:r>
          </w:p>
        </w:tc>
      </w:tr>
      <w:tr w:rsidR="00F16570" w:rsidRPr="000374FF">
        <w:trPr>
          <w:trHeight w:val="468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7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驱动电源</w:t>
            </w:r>
          </w:p>
        </w:tc>
        <w:tc>
          <w:tcPr>
            <w:tcW w:w="7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、普通恒压恒流源驱动电源、小于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150W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可调节电压的驱动电源品牌限定使用“台湾明纬”、“茂硕”、“英飞特”、“欧司朗（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OSRAM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）”、“飞利浦（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PHILIPS</w:t>
            </w: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）”；</w:t>
            </w:r>
          </w:p>
        </w:tc>
      </w:tr>
      <w:tr w:rsidR="00F16570" w:rsidRPr="000374FF">
        <w:trPr>
          <w:trHeight w:val="468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7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F16570" w:rsidRPr="000374FF">
        <w:trPr>
          <w:trHeight w:val="362"/>
          <w:jc w:val="center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2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、大于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150W</w:t>
            </w:r>
            <w:r w:rsidRPr="000374FF">
              <w:rPr>
                <w:rFonts w:asciiTheme="minorEastAsia" w:hAnsiTheme="minorEastAsia" w:hint="eastAsia"/>
                <w:color w:val="000000" w:themeColor="text1"/>
                <w:sz w:val="24"/>
              </w:rPr>
              <w:t>可调节电压的驱动电源推荐使用“三鑫虹”品牌。</w:t>
            </w:r>
          </w:p>
        </w:tc>
      </w:tr>
      <w:tr w:rsidR="00F16570" w:rsidRPr="000374FF">
        <w:trPr>
          <w:trHeight w:val="38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配光曲线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0374FF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光强、光通量、出光角度、色漂移、色容差、色一致性</w:t>
            </w:r>
          </w:p>
        </w:tc>
      </w:tr>
    </w:tbl>
    <w:p w:rsidR="00F16570" w:rsidRPr="000374FF" w:rsidRDefault="00411BE3" w:rsidP="000374FF">
      <w:pPr>
        <w:pStyle w:val="2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color w:val="000000" w:themeColor="text1"/>
          <w:sz w:val="24"/>
        </w:rPr>
      </w:pPr>
      <w:bookmarkStart w:id="26" w:name="_Toc694"/>
      <w:r w:rsidRPr="000374FF">
        <w:rPr>
          <w:rFonts w:asciiTheme="minorEastAsia" w:eastAsiaTheme="minorEastAsia" w:hAnsiTheme="minorEastAsia" w:hint="eastAsia"/>
          <w:color w:val="000000" w:themeColor="text1"/>
          <w:sz w:val="24"/>
        </w:rPr>
        <w:t>所有设施运输要求</w:t>
      </w:r>
      <w:bookmarkEnd w:id="26"/>
    </w:p>
    <w:p w:rsidR="00F16570" w:rsidRPr="000374FF" w:rsidRDefault="00411BE3" w:rsidP="000374FF">
      <w:pPr>
        <w:pStyle w:val="3"/>
        <w:numPr>
          <w:ilvl w:val="0"/>
          <w:numId w:val="20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27" w:name="_Toc28100"/>
      <w:r w:rsidRPr="000374F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说明</w:t>
      </w:r>
      <w:bookmarkEnd w:id="27"/>
    </w:p>
    <w:p w:rsidR="00F16570" w:rsidRPr="000374FF" w:rsidRDefault="00411BE3" w:rsidP="000374FF">
      <w:pPr>
        <w:pStyle w:val="Style2"/>
        <w:snapToGrid w:val="0"/>
        <w:spacing w:line="360" w:lineRule="auto"/>
        <w:ind w:firstLine="480"/>
        <w:rPr>
          <w:rFonts w:asciiTheme="minorEastAsia" w:eastAsiaTheme="minorEastAsia" w:hAnsiTheme="minorEastAsia" w:cs="宋体"/>
          <w:color w:val="000000" w:themeColor="text1"/>
          <w:sz w:val="24"/>
        </w:rPr>
      </w:pPr>
      <w:r w:rsidRPr="000374FF">
        <w:rPr>
          <w:rFonts w:asciiTheme="minorEastAsia" w:eastAsiaTheme="minorEastAsia" w:hAnsiTheme="minorEastAsia" w:cs="宋体" w:hint="eastAsia"/>
          <w:color w:val="000000" w:themeColor="text1"/>
          <w:sz w:val="24"/>
        </w:rPr>
        <w:t>技术文件详参有规定的，按详</w:t>
      </w:r>
      <w:proofErr w:type="gramStart"/>
      <w:r w:rsidRPr="000374FF">
        <w:rPr>
          <w:rFonts w:asciiTheme="minorEastAsia" w:eastAsiaTheme="minorEastAsia" w:hAnsiTheme="minorEastAsia" w:cs="宋体" w:hint="eastAsia"/>
          <w:color w:val="000000" w:themeColor="text1"/>
          <w:sz w:val="24"/>
        </w:rPr>
        <w:t>参规定</w:t>
      </w:r>
      <w:proofErr w:type="gramEnd"/>
      <w:r w:rsidRPr="000374FF">
        <w:rPr>
          <w:rFonts w:asciiTheme="minorEastAsia" w:eastAsiaTheme="minorEastAsia" w:hAnsiTheme="minorEastAsia" w:cs="宋体" w:hint="eastAsia"/>
          <w:color w:val="000000" w:themeColor="text1"/>
          <w:sz w:val="24"/>
        </w:rPr>
        <w:t>执行，没有详</w:t>
      </w:r>
      <w:proofErr w:type="gramStart"/>
      <w:r w:rsidRPr="000374FF">
        <w:rPr>
          <w:rFonts w:asciiTheme="minorEastAsia" w:eastAsiaTheme="minorEastAsia" w:hAnsiTheme="minorEastAsia" w:cs="宋体" w:hint="eastAsia"/>
          <w:color w:val="000000" w:themeColor="text1"/>
          <w:sz w:val="24"/>
        </w:rPr>
        <w:t>参规定</w:t>
      </w:r>
      <w:proofErr w:type="gramEnd"/>
      <w:r w:rsidRPr="000374FF">
        <w:rPr>
          <w:rFonts w:asciiTheme="minorEastAsia" w:eastAsiaTheme="minorEastAsia" w:hAnsiTheme="minorEastAsia" w:cs="宋体" w:hint="eastAsia"/>
          <w:color w:val="000000" w:themeColor="text1"/>
          <w:sz w:val="24"/>
        </w:rPr>
        <w:t>的，按照本通则执行。</w:t>
      </w:r>
    </w:p>
    <w:p w:rsidR="00F16570" w:rsidRPr="000374FF" w:rsidRDefault="00411BE3" w:rsidP="000374FF">
      <w:pPr>
        <w:pStyle w:val="Style2"/>
        <w:snapToGrid w:val="0"/>
        <w:spacing w:line="360" w:lineRule="auto"/>
        <w:ind w:firstLine="480"/>
        <w:rPr>
          <w:rFonts w:asciiTheme="minorEastAsia" w:eastAsiaTheme="minorEastAsia" w:hAnsiTheme="minorEastAsia" w:cs="宋体"/>
          <w:sz w:val="24"/>
        </w:rPr>
      </w:pPr>
      <w:r w:rsidRPr="000374FF">
        <w:rPr>
          <w:rFonts w:asciiTheme="minorEastAsia" w:eastAsiaTheme="minorEastAsia" w:hAnsiTheme="minorEastAsia" w:cs="宋体" w:hint="eastAsia"/>
          <w:color w:val="000000" w:themeColor="text1"/>
          <w:sz w:val="24"/>
        </w:rPr>
        <w:t>包装应牢固，保证在运输过程中包捆不松动，避免构件之间、构件与包装物之间相互磨擦，损坏表面处理层。钢管管体的突出部分，如法兰、节点板等，采用有弹性、牢固的包装物包装。包装应采用合理的包装材料（草包、垫木、晴纶带、支架、打包带、打包扣、胶带等），采用合理的包装方式保证钢杆镀</w:t>
      </w:r>
      <w:r w:rsidRPr="000374FF">
        <w:rPr>
          <w:rFonts w:asciiTheme="minorEastAsia" w:eastAsiaTheme="minorEastAsia" w:hAnsiTheme="minorEastAsia" w:cs="宋体" w:hint="eastAsia"/>
          <w:sz w:val="24"/>
        </w:rPr>
        <w:t>锌层</w:t>
      </w:r>
      <w:r w:rsidRPr="000374FF">
        <w:rPr>
          <w:rFonts w:asciiTheme="minorEastAsia" w:eastAsiaTheme="minorEastAsia" w:hAnsiTheme="minorEastAsia" w:cs="宋体" w:hint="eastAsia"/>
          <w:sz w:val="24"/>
        </w:rPr>
        <w:t>/</w:t>
      </w:r>
      <w:r w:rsidRPr="000374FF">
        <w:rPr>
          <w:rFonts w:asciiTheme="minorEastAsia" w:eastAsiaTheme="minorEastAsia" w:hAnsiTheme="minorEastAsia" w:cs="宋体" w:hint="eastAsia"/>
          <w:sz w:val="24"/>
        </w:rPr>
        <w:t>喷塑层</w:t>
      </w:r>
      <w:r w:rsidRPr="000374FF">
        <w:rPr>
          <w:rFonts w:asciiTheme="minorEastAsia" w:eastAsiaTheme="minorEastAsia" w:hAnsiTheme="minorEastAsia" w:cs="宋体" w:hint="eastAsia"/>
          <w:sz w:val="24"/>
        </w:rPr>
        <w:t>/</w:t>
      </w:r>
      <w:r w:rsidRPr="000374FF">
        <w:rPr>
          <w:rFonts w:asciiTheme="minorEastAsia" w:eastAsiaTheme="minorEastAsia" w:hAnsiTheme="minorEastAsia" w:cs="宋体" w:hint="eastAsia"/>
          <w:sz w:val="24"/>
        </w:rPr>
        <w:t>黑杆在储存、运输过程中不会因为颠簸、碰撞而表面划伤和变形。</w:t>
      </w:r>
    </w:p>
    <w:p w:rsidR="00F16570" w:rsidRPr="000374FF" w:rsidRDefault="00411BE3" w:rsidP="000374FF">
      <w:pPr>
        <w:pStyle w:val="3"/>
        <w:numPr>
          <w:ilvl w:val="0"/>
          <w:numId w:val="20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sz w:val="24"/>
          <w:szCs w:val="24"/>
        </w:rPr>
      </w:pPr>
      <w:bookmarkStart w:id="28" w:name="_Toc5657"/>
      <w:r w:rsidRPr="000374FF">
        <w:rPr>
          <w:rFonts w:asciiTheme="minorEastAsia" w:eastAsiaTheme="minorEastAsia" w:hAnsiTheme="minorEastAsia" w:hint="eastAsia"/>
          <w:sz w:val="24"/>
          <w:szCs w:val="24"/>
        </w:rPr>
        <w:t>运输用基本设备及常用材料</w:t>
      </w:r>
      <w:bookmarkEnd w:id="28"/>
    </w:p>
    <w:p w:rsidR="00F16570" w:rsidRPr="000374FF" w:rsidRDefault="00411BE3" w:rsidP="000374F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0374FF">
        <w:rPr>
          <w:rFonts w:asciiTheme="minorEastAsia" w:hAnsiTheme="minorEastAsia"/>
          <w:sz w:val="24"/>
        </w:rPr>
        <w:t>a.</w:t>
      </w:r>
      <w:r w:rsidRPr="000374FF">
        <w:rPr>
          <w:rFonts w:asciiTheme="minorEastAsia" w:hAnsiTheme="minorEastAsia" w:hint="eastAsia"/>
          <w:sz w:val="24"/>
        </w:rPr>
        <w:t>行车；</w:t>
      </w:r>
      <w:r w:rsidRPr="000374FF">
        <w:rPr>
          <w:rFonts w:asciiTheme="minorEastAsia" w:hAnsiTheme="minorEastAsia"/>
          <w:sz w:val="24"/>
        </w:rPr>
        <w:t>b.</w:t>
      </w:r>
      <w:r w:rsidRPr="000374FF">
        <w:rPr>
          <w:rFonts w:asciiTheme="minorEastAsia" w:hAnsiTheme="minorEastAsia" w:hint="eastAsia"/>
          <w:sz w:val="24"/>
        </w:rPr>
        <w:t>叉车；</w:t>
      </w:r>
      <w:r w:rsidRPr="000374FF">
        <w:rPr>
          <w:rFonts w:asciiTheme="minorEastAsia" w:hAnsiTheme="minorEastAsia"/>
          <w:sz w:val="24"/>
        </w:rPr>
        <w:t>c.</w:t>
      </w:r>
      <w:r w:rsidRPr="000374FF">
        <w:rPr>
          <w:rFonts w:asciiTheme="minorEastAsia" w:hAnsiTheme="minorEastAsia" w:hint="eastAsia"/>
          <w:sz w:val="24"/>
        </w:rPr>
        <w:t>各种规格的胶合板垫木；</w:t>
      </w:r>
      <w:r w:rsidRPr="000374FF">
        <w:rPr>
          <w:rFonts w:asciiTheme="minorEastAsia" w:hAnsiTheme="minorEastAsia"/>
          <w:sz w:val="24"/>
        </w:rPr>
        <w:t>d.</w:t>
      </w:r>
      <w:r w:rsidRPr="000374FF">
        <w:rPr>
          <w:rFonts w:asciiTheme="minorEastAsia" w:hAnsiTheme="minorEastAsia" w:hint="eastAsia"/>
          <w:sz w:val="24"/>
        </w:rPr>
        <w:t>带塑料保护套的钢丝绳、紧固拉钩套件、</w:t>
      </w:r>
      <w:proofErr w:type="gramStart"/>
      <w:r w:rsidRPr="000374FF">
        <w:rPr>
          <w:rFonts w:asciiTheme="minorEastAsia" w:hAnsiTheme="minorEastAsia" w:hint="eastAsia"/>
          <w:sz w:val="24"/>
        </w:rPr>
        <w:t>花兰</w:t>
      </w:r>
      <w:proofErr w:type="gramEnd"/>
      <w:r w:rsidRPr="000374FF">
        <w:rPr>
          <w:rFonts w:asciiTheme="minorEastAsia" w:hAnsiTheme="minorEastAsia" w:hint="eastAsia"/>
          <w:sz w:val="24"/>
        </w:rPr>
        <w:t>螺丝、捆绑器、钢钉；</w:t>
      </w:r>
      <w:r w:rsidRPr="000374FF">
        <w:rPr>
          <w:rFonts w:asciiTheme="minorEastAsia" w:hAnsiTheme="minorEastAsia"/>
          <w:sz w:val="24"/>
        </w:rPr>
        <w:t>e.</w:t>
      </w:r>
      <w:r w:rsidRPr="000374FF">
        <w:rPr>
          <w:rFonts w:asciiTheme="minorEastAsia" w:hAnsiTheme="minorEastAsia" w:hint="eastAsia"/>
          <w:sz w:val="24"/>
        </w:rPr>
        <w:t>晴纶卷、橡胶板、稻草绳；</w:t>
      </w:r>
      <w:r w:rsidRPr="000374FF">
        <w:rPr>
          <w:rFonts w:asciiTheme="minorEastAsia" w:hAnsiTheme="minorEastAsia"/>
          <w:sz w:val="24"/>
        </w:rPr>
        <w:t>f.</w:t>
      </w:r>
      <w:r w:rsidRPr="000374FF">
        <w:rPr>
          <w:rFonts w:asciiTheme="minorEastAsia" w:hAnsiTheme="minorEastAsia" w:hint="eastAsia"/>
          <w:sz w:val="24"/>
        </w:rPr>
        <w:t>钢制打包带；</w:t>
      </w:r>
      <w:r w:rsidRPr="000374FF">
        <w:rPr>
          <w:rFonts w:asciiTheme="minorEastAsia" w:hAnsiTheme="minorEastAsia"/>
          <w:sz w:val="24"/>
        </w:rPr>
        <w:t>g.</w:t>
      </w:r>
      <w:r w:rsidRPr="000374FF">
        <w:rPr>
          <w:rFonts w:asciiTheme="minorEastAsia" w:hAnsiTheme="minorEastAsia" w:hint="eastAsia"/>
          <w:sz w:val="24"/>
        </w:rPr>
        <w:t>发泡塑料（喷塑杆专用）；</w:t>
      </w:r>
      <w:r w:rsidRPr="000374FF">
        <w:rPr>
          <w:rFonts w:asciiTheme="minorEastAsia" w:hAnsiTheme="minorEastAsia"/>
          <w:sz w:val="24"/>
        </w:rPr>
        <w:t>h.</w:t>
      </w:r>
      <w:r w:rsidRPr="000374FF">
        <w:rPr>
          <w:rFonts w:asciiTheme="minorEastAsia" w:hAnsiTheme="minorEastAsia" w:hint="eastAsia"/>
          <w:sz w:val="24"/>
        </w:rPr>
        <w:t>尼龙绳（用于替代目前喷塑杆包装中使用</w:t>
      </w:r>
      <w:r w:rsidRPr="000374FF">
        <w:rPr>
          <w:rFonts w:asciiTheme="minorEastAsia" w:hAnsiTheme="minorEastAsia" w:hint="eastAsia"/>
          <w:sz w:val="24"/>
        </w:rPr>
        <w:lastRenderedPageBreak/>
        <w:t>的草绳）；</w:t>
      </w:r>
      <w:proofErr w:type="spellStart"/>
      <w:r w:rsidRPr="000374FF">
        <w:rPr>
          <w:rFonts w:asciiTheme="minorEastAsia" w:hAnsiTheme="minorEastAsia"/>
          <w:sz w:val="24"/>
        </w:rPr>
        <w:t>i</w:t>
      </w:r>
      <w:proofErr w:type="spellEnd"/>
      <w:r w:rsidRPr="000374FF">
        <w:rPr>
          <w:rFonts w:asciiTheme="minorEastAsia" w:hAnsiTheme="minorEastAsia"/>
          <w:sz w:val="24"/>
        </w:rPr>
        <w:t>.</w:t>
      </w:r>
      <w:r w:rsidRPr="000374FF">
        <w:rPr>
          <w:rFonts w:asciiTheme="minorEastAsia" w:hAnsiTheme="minorEastAsia" w:hint="eastAsia"/>
          <w:sz w:val="24"/>
        </w:rPr>
        <w:t>胶合板配件箱；</w:t>
      </w:r>
      <w:r w:rsidRPr="000374FF">
        <w:rPr>
          <w:rFonts w:asciiTheme="minorEastAsia" w:hAnsiTheme="minorEastAsia"/>
          <w:sz w:val="24"/>
        </w:rPr>
        <w:t>j.</w:t>
      </w:r>
      <w:r w:rsidRPr="000374FF">
        <w:rPr>
          <w:rFonts w:asciiTheme="minorEastAsia" w:hAnsiTheme="minorEastAsia" w:hint="eastAsia"/>
          <w:sz w:val="24"/>
        </w:rPr>
        <w:t>木料切割机；</w:t>
      </w:r>
      <w:r w:rsidRPr="000374FF">
        <w:rPr>
          <w:rFonts w:asciiTheme="minorEastAsia" w:hAnsiTheme="minorEastAsia"/>
          <w:sz w:val="24"/>
        </w:rPr>
        <w:t>k.</w:t>
      </w:r>
      <w:r w:rsidRPr="000374FF">
        <w:rPr>
          <w:rFonts w:asciiTheme="minorEastAsia" w:hAnsiTheme="minorEastAsia" w:hint="eastAsia"/>
          <w:sz w:val="24"/>
        </w:rPr>
        <w:t>镀锌螺丝及螺母（用于小部件固定）。</w:t>
      </w:r>
    </w:p>
    <w:p w:rsidR="00F16570" w:rsidRPr="000374FF" w:rsidRDefault="00F16570" w:rsidP="000374FF">
      <w:pPr>
        <w:spacing w:line="360" w:lineRule="auto"/>
        <w:rPr>
          <w:rFonts w:asciiTheme="minorEastAsia" w:hAnsiTheme="minorEastAsia"/>
          <w:sz w:val="24"/>
        </w:rPr>
      </w:pPr>
    </w:p>
    <w:p w:rsidR="00F16570" w:rsidRPr="000374FF" w:rsidRDefault="00F16570" w:rsidP="000374FF">
      <w:pPr>
        <w:spacing w:line="360" w:lineRule="auto"/>
        <w:rPr>
          <w:rFonts w:asciiTheme="minorEastAsia" w:hAnsiTheme="minorEastAsia"/>
          <w:sz w:val="24"/>
        </w:rPr>
      </w:pPr>
    </w:p>
    <w:p w:rsidR="00F16570" w:rsidRPr="000374FF" w:rsidRDefault="00411BE3" w:rsidP="000374FF">
      <w:pPr>
        <w:pStyle w:val="1"/>
        <w:numPr>
          <w:ilvl w:val="0"/>
          <w:numId w:val="1"/>
        </w:numPr>
        <w:spacing w:before="156" w:after="468" w:line="360" w:lineRule="auto"/>
        <w:ind w:firstLine="0"/>
        <w:rPr>
          <w:rFonts w:asciiTheme="minorEastAsia" w:hAnsiTheme="minorEastAsia"/>
          <w:sz w:val="24"/>
          <w:szCs w:val="24"/>
        </w:rPr>
      </w:pPr>
      <w:bookmarkStart w:id="29" w:name="_Toc28002"/>
      <w:r w:rsidRPr="000374FF">
        <w:rPr>
          <w:rFonts w:asciiTheme="minorEastAsia" w:hAnsiTheme="minorEastAsia" w:hint="eastAsia"/>
          <w:sz w:val="24"/>
          <w:szCs w:val="24"/>
        </w:rPr>
        <w:t>灯具详细参数</w:t>
      </w:r>
      <w:bookmarkEnd w:id="29"/>
    </w:p>
    <w:p w:rsidR="00F16570" w:rsidRPr="000374FF" w:rsidRDefault="00411BE3" w:rsidP="000374FF">
      <w:pPr>
        <w:pStyle w:val="3"/>
        <w:numPr>
          <w:ilvl w:val="0"/>
          <w:numId w:val="21"/>
        </w:numPr>
        <w:spacing w:line="360" w:lineRule="auto"/>
        <w:ind w:leftChars="0" w:firstLineChars="0"/>
        <w:rPr>
          <w:rFonts w:asciiTheme="minorEastAsia" w:eastAsiaTheme="minorEastAsia" w:hAnsiTheme="minorEastAsia"/>
          <w:sz w:val="24"/>
          <w:szCs w:val="24"/>
        </w:rPr>
      </w:pPr>
      <w:bookmarkStart w:id="30" w:name="_Toc10259"/>
      <w:bookmarkStart w:id="31" w:name="_Toc1294_WPSOffice_Level3"/>
      <w:bookmarkStart w:id="32" w:name="_Toc19541"/>
      <w:bookmarkStart w:id="33" w:name="_Toc5267"/>
      <w:r w:rsidRPr="000374FF">
        <w:rPr>
          <w:rFonts w:asciiTheme="minorEastAsia" w:eastAsiaTheme="minorEastAsia" w:hAnsiTheme="minorEastAsia" w:hint="eastAsia"/>
          <w:sz w:val="24"/>
          <w:szCs w:val="24"/>
        </w:rPr>
        <w:t xml:space="preserve">7W </w:t>
      </w:r>
      <w:r w:rsidRPr="000374FF">
        <w:rPr>
          <w:rFonts w:asciiTheme="minorEastAsia" w:eastAsiaTheme="minorEastAsia" w:hAnsiTheme="minorEastAsia" w:hint="eastAsia"/>
          <w:sz w:val="24"/>
          <w:szCs w:val="24"/>
        </w:rPr>
        <w:t>线形</w:t>
      </w:r>
      <w:r w:rsidRPr="000374FF">
        <w:rPr>
          <w:rFonts w:asciiTheme="minorEastAsia" w:eastAsiaTheme="minorEastAsia" w:hAnsiTheme="minorEastAsia" w:hint="eastAsia"/>
          <w:sz w:val="24"/>
          <w:szCs w:val="24"/>
        </w:rPr>
        <w:t>LED</w:t>
      </w:r>
      <w:r w:rsidRPr="000374FF">
        <w:rPr>
          <w:rFonts w:asciiTheme="minorEastAsia" w:eastAsiaTheme="minorEastAsia" w:hAnsiTheme="minorEastAsia" w:hint="eastAsia"/>
          <w:sz w:val="24"/>
          <w:szCs w:val="24"/>
        </w:rPr>
        <w:t>投光灯</w:t>
      </w:r>
      <w:bookmarkEnd w:id="30"/>
      <w:bookmarkEnd w:id="31"/>
      <w:bookmarkEnd w:id="32"/>
      <w:bookmarkEnd w:id="33"/>
    </w:p>
    <w:p w:rsidR="00F16570" w:rsidRPr="000374FF" w:rsidRDefault="00F16570" w:rsidP="000374FF">
      <w:pPr>
        <w:spacing w:line="360" w:lineRule="auto"/>
        <w:rPr>
          <w:rFonts w:asciiTheme="minorEastAsia" w:hAnsiTheme="minorEastAsia"/>
          <w:sz w:val="24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1425"/>
        <w:gridCol w:w="1815"/>
        <w:gridCol w:w="1022"/>
        <w:gridCol w:w="1010"/>
        <w:gridCol w:w="2217"/>
      </w:tblGrid>
      <w:tr w:rsidR="00F16570" w:rsidRPr="000374FF">
        <w:trPr>
          <w:trHeight w:val="1830"/>
        </w:trPr>
        <w:tc>
          <w:tcPr>
            <w:tcW w:w="506" w:type="pct"/>
            <w:vMerge w:val="restar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灯具</w:t>
            </w:r>
          </w:p>
        </w:tc>
        <w:tc>
          <w:tcPr>
            <w:tcW w:w="1944" w:type="pct"/>
            <w:gridSpan w:val="2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外形</w:t>
            </w: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br/>
            </w: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（仅供参考）</w:t>
            </w:r>
          </w:p>
        </w:tc>
        <w:tc>
          <w:tcPr>
            <w:tcW w:w="2548" w:type="pct"/>
            <w:gridSpan w:val="3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noProof/>
                <w:kern w:val="0"/>
                <w:sz w:val="24"/>
              </w:rPr>
              <w:drawing>
                <wp:inline distT="0" distB="0" distL="114300" distR="114300">
                  <wp:extent cx="2705100" cy="1104900"/>
                  <wp:effectExtent l="0" t="0" r="0" b="0"/>
                  <wp:docPr id="168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70" w:rsidRPr="000374FF">
        <w:trPr>
          <w:trHeight w:val="285"/>
        </w:trPr>
        <w:tc>
          <w:tcPr>
            <w:tcW w:w="506" w:type="pct"/>
            <w:vMerge/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855" w:type="pct"/>
            <w:vMerge w:val="restar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尺寸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长度（</w:t>
            </w: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L</w:t>
            </w: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）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1000mm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允许偏差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±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1mm</w:t>
            </w:r>
          </w:p>
        </w:tc>
      </w:tr>
      <w:tr w:rsidR="00F16570" w:rsidRPr="000374FF">
        <w:trPr>
          <w:trHeight w:val="285"/>
        </w:trPr>
        <w:tc>
          <w:tcPr>
            <w:tcW w:w="506" w:type="pct"/>
            <w:vMerge/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left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宽度（</w:t>
            </w: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W</w:t>
            </w: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）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≤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30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mm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允许偏差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越小越好</w:t>
            </w:r>
          </w:p>
        </w:tc>
      </w:tr>
      <w:tr w:rsidR="00F16570" w:rsidRPr="000374FF">
        <w:trPr>
          <w:trHeight w:val="285"/>
        </w:trPr>
        <w:tc>
          <w:tcPr>
            <w:tcW w:w="506" w:type="pct"/>
            <w:vMerge/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left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高度（</w:t>
            </w: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H</w:t>
            </w: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）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≤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30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mm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允许偏差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越小越好</w:t>
            </w:r>
          </w:p>
        </w:tc>
      </w:tr>
      <w:tr w:rsidR="00F16570" w:rsidRPr="000374FF">
        <w:trPr>
          <w:trHeight w:val="630"/>
        </w:trPr>
        <w:tc>
          <w:tcPr>
            <w:tcW w:w="506" w:type="pct"/>
            <w:vMerge/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855" w:type="pct"/>
            <w:vMerge w:val="restar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材质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灯具外壳</w:t>
            </w:r>
          </w:p>
        </w:tc>
        <w:tc>
          <w:tcPr>
            <w:tcW w:w="2548" w:type="pct"/>
            <w:gridSpan w:val="3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氧化铝型材灯体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,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绝缘阻燃硅胶填充（防水、防火、抗紫外线）一体成形。</w:t>
            </w:r>
          </w:p>
        </w:tc>
      </w:tr>
      <w:tr w:rsidR="00F16570" w:rsidRPr="000374FF">
        <w:trPr>
          <w:trHeight w:val="285"/>
        </w:trPr>
        <w:tc>
          <w:tcPr>
            <w:tcW w:w="506" w:type="pct"/>
            <w:vMerge/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left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出光面</w:t>
            </w:r>
          </w:p>
        </w:tc>
        <w:tc>
          <w:tcPr>
            <w:tcW w:w="2548" w:type="pct"/>
            <w:gridSpan w:val="3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钢化玻璃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（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乳白磨砂，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80%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透光率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）</w:t>
            </w:r>
          </w:p>
        </w:tc>
      </w:tr>
      <w:tr w:rsidR="00F16570" w:rsidRPr="000374FF">
        <w:trPr>
          <w:trHeight w:val="285"/>
        </w:trPr>
        <w:tc>
          <w:tcPr>
            <w:tcW w:w="506" w:type="pct"/>
            <w:vMerge/>
            <w:shd w:val="clear" w:color="auto" w:fill="auto"/>
            <w:vAlign w:val="center"/>
          </w:tcPr>
          <w:p w:rsidR="00F16570" w:rsidRPr="000374FF" w:rsidRDefault="00F16570" w:rsidP="000374F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1944" w:type="pct"/>
            <w:gridSpan w:val="2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外壳颜色</w:t>
            </w:r>
          </w:p>
        </w:tc>
        <w:tc>
          <w:tcPr>
            <w:tcW w:w="2548" w:type="pct"/>
            <w:gridSpan w:val="3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sz w:val="24"/>
              </w:rPr>
              <w:t>与安装位置的周边环境颜色一致</w:t>
            </w:r>
          </w:p>
        </w:tc>
      </w:tr>
      <w:tr w:rsidR="00F16570" w:rsidRPr="000374FF">
        <w:trPr>
          <w:trHeight w:val="285"/>
        </w:trPr>
        <w:tc>
          <w:tcPr>
            <w:tcW w:w="506" w:type="pct"/>
            <w:shd w:val="clear" w:color="auto" w:fill="auto"/>
            <w:vAlign w:val="center"/>
          </w:tcPr>
          <w:p w:rsidR="00F16570" w:rsidRPr="000374FF" w:rsidRDefault="00F16570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kern w:val="0"/>
                <w:sz w:val="24"/>
                <w:lang w:bidi="ar"/>
              </w:rPr>
            </w:pPr>
          </w:p>
          <w:p w:rsidR="00F16570" w:rsidRPr="000374FF" w:rsidRDefault="00F16570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kern w:val="0"/>
                <w:sz w:val="24"/>
                <w:lang w:bidi="ar"/>
              </w:rPr>
            </w:pPr>
          </w:p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kern w:val="0"/>
                <w:sz w:val="24"/>
                <w:lang w:bidi="ar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光学</w:t>
            </w:r>
          </w:p>
          <w:p w:rsidR="00F16570" w:rsidRPr="000374FF" w:rsidRDefault="00F16570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kern w:val="0"/>
                <w:sz w:val="24"/>
                <w:lang w:bidi="ar"/>
              </w:rPr>
            </w:pPr>
          </w:p>
        </w:tc>
        <w:tc>
          <w:tcPr>
            <w:tcW w:w="855" w:type="pct"/>
            <w:shd w:val="clear" w:color="auto" w:fill="auto"/>
          </w:tcPr>
          <w:p w:rsidR="00F16570" w:rsidRPr="000374FF" w:rsidRDefault="00411BE3" w:rsidP="000374FF">
            <w:pPr>
              <w:pStyle w:val="WPSOffice3"/>
              <w:widowControl w:val="0"/>
              <w:tabs>
                <w:tab w:val="right" w:leader="dot" w:pos="9660"/>
              </w:tabs>
              <w:spacing w:line="360" w:lineRule="auto"/>
              <w:ind w:leftChars="0" w:left="0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bidi="ar"/>
              </w:rPr>
            </w:pPr>
            <w:r w:rsidRPr="000374F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bidi="ar"/>
              </w:rPr>
              <w:t>宽度方向</w:t>
            </w:r>
            <w:r w:rsidRPr="000374F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bidi="ar"/>
              </w:rPr>
              <w:t>(V)</w:t>
            </w:r>
            <w:r w:rsidRPr="000374F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bidi="ar"/>
              </w:rPr>
              <w:t>光束角</w:t>
            </w:r>
          </w:p>
          <w:p w:rsidR="00F16570" w:rsidRPr="000374FF" w:rsidRDefault="00411BE3" w:rsidP="000374FF">
            <w:pPr>
              <w:pStyle w:val="WPSOffice3"/>
              <w:widowControl w:val="0"/>
              <w:tabs>
                <w:tab w:val="right" w:leader="dot" w:pos="9660"/>
              </w:tabs>
              <w:spacing w:line="360" w:lineRule="auto"/>
              <w:ind w:leftChars="0" w:left="0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0374F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bidi="ar"/>
              </w:rPr>
              <w:t>（</w:t>
            </w:r>
            <w:r w:rsidRPr="000374F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bidi="ar"/>
              </w:rPr>
              <w:t>50%</w:t>
            </w:r>
            <w:r w:rsidRPr="000374F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bidi="ar"/>
              </w:rPr>
              <w:t>最大光强夹角）</w:t>
            </w:r>
          </w:p>
        </w:tc>
        <w:tc>
          <w:tcPr>
            <w:tcW w:w="1089" w:type="pct"/>
            <w:shd w:val="clear" w:color="auto" w:fill="auto"/>
          </w:tcPr>
          <w:p w:rsidR="00F16570" w:rsidRPr="000374FF" w:rsidRDefault="00411BE3" w:rsidP="000374FF">
            <w:pPr>
              <w:pStyle w:val="WPSOffice3"/>
              <w:widowControl w:val="0"/>
              <w:tabs>
                <w:tab w:val="right" w:leader="dot" w:pos="9660"/>
              </w:tabs>
              <w:spacing w:line="360" w:lineRule="auto"/>
              <w:ind w:leftChars="0" w:left="0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15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°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-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20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°</w:t>
            </w:r>
          </w:p>
        </w:tc>
        <w:tc>
          <w:tcPr>
            <w:tcW w:w="1219" w:type="pct"/>
            <w:gridSpan w:val="2"/>
            <w:shd w:val="clear" w:color="auto" w:fill="auto"/>
          </w:tcPr>
          <w:p w:rsidR="00F16570" w:rsidRPr="000374FF" w:rsidRDefault="00411BE3" w:rsidP="000374FF">
            <w:pPr>
              <w:pStyle w:val="WPSOffice3"/>
              <w:widowControl w:val="0"/>
              <w:tabs>
                <w:tab w:val="right" w:leader="dot" w:pos="9660"/>
              </w:tabs>
              <w:spacing w:line="360" w:lineRule="auto"/>
              <w:ind w:leftChars="0" w:left="0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bidi="ar"/>
              </w:rPr>
            </w:pPr>
            <w:r w:rsidRPr="000374F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bidi="ar"/>
              </w:rPr>
              <w:t>长度方向</w:t>
            </w:r>
            <w:r w:rsidRPr="000374F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bidi="ar"/>
              </w:rPr>
              <w:t>(H)</w:t>
            </w:r>
            <w:r w:rsidRPr="000374F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bidi="ar"/>
              </w:rPr>
              <w:t>光束角</w:t>
            </w:r>
          </w:p>
          <w:p w:rsidR="00F16570" w:rsidRPr="000374FF" w:rsidRDefault="00411BE3" w:rsidP="000374FF">
            <w:pPr>
              <w:pStyle w:val="WPSOffice3"/>
              <w:widowControl w:val="0"/>
              <w:tabs>
                <w:tab w:val="right" w:leader="dot" w:pos="9660"/>
              </w:tabs>
              <w:spacing w:line="360" w:lineRule="auto"/>
              <w:ind w:leftChars="0" w:left="0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0374F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bidi="ar"/>
              </w:rPr>
              <w:t>（</w:t>
            </w:r>
            <w:r w:rsidRPr="000374F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bidi="ar"/>
              </w:rPr>
              <w:t>10%</w:t>
            </w:r>
            <w:r w:rsidRPr="000374F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bidi="ar"/>
              </w:rPr>
              <w:t>最大光强夹角）</w:t>
            </w:r>
          </w:p>
        </w:tc>
        <w:tc>
          <w:tcPr>
            <w:tcW w:w="1329" w:type="pct"/>
            <w:shd w:val="clear" w:color="auto" w:fill="auto"/>
          </w:tcPr>
          <w:p w:rsidR="00F16570" w:rsidRPr="000374FF" w:rsidRDefault="00411BE3" w:rsidP="000374FF">
            <w:pPr>
              <w:pStyle w:val="WPSOffice3"/>
              <w:widowControl w:val="0"/>
              <w:tabs>
                <w:tab w:val="right" w:leader="dot" w:pos="9660"/>
              </w:tabs>
              <w:spacing w:line="360" w:lineRule="auto"/>
              <w:ind w:leftChars="0" w:left="0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＞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46</w:t>
            </w:r>
            <w:r w:rsidRPr="000374FF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°</w:t>
            </w:r>
          </w:p>
        </w:tc>
      </w:tr>
      <w:tr w:rsidR="00F16570" w:rsidRPr="000374FF">
        <w:trPr>
          <w:trHeight w:val="90"/>
        </w:trPr>
        <w:tc>
          <w:tcPr>
            <w:tcW w:w="506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光效</w:t>
            </w:r>
          </w:p>
        </w:tc>
        <w:tc>
          <w:tcPr>
            <w:tcW w:w="4493" w:type="pct"/>
            <w:gridSpan w:val="5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sz w:val="24"/>
              </w:rPr>
            </w:pP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灯具光效≥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5</w:t>
            </w: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0lm/W</w:t>
            </w:r>
          </w:p>
        </w:tc>
      </w:tr>
      <w:tr w:rsidR="00F16570" w:rsidRPr="000374FF">
        <w:trPr>
          <w:trHeight w:val="90"/>
        </w:trPr>
        <w:tc>
          <w:tcPr>
            <w:tcW w:w="506" w:type="pct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kern w:val="0"/>
                <w:sz w:val="24"/>
                <w:lang w:bidi="ar"/>
              </w:rPr>
            </w:pPr>
            <w:r w:rsidRPr="000374FF">
              <w:rPr>
                <w:rFonts w:asciiTheme="minorEastAsia" w:hAnsiTheme="minorEastAsia" w:cs="宋体" w:hint="eastAsia"/>
                <w:b/>
                <w:kern w:val="0"/>
                <w:sz w:val="24"/>
                <w:lang w:bidi="ar"/>
              </w:rPr>
              <w:t>备注</w:t>
            </w:r>
          </w:p>
        </w:tc>
        <w:tc>
          <w:tcPr>
            <w:tcW w:w="4493" w:type="pct"/>
            <w:gridSpan w:val="5"/>
            <w:shd w:val="clear" w:color="auto" w:fill="auto"/>
            <w:vAlign w:val="center"/>
          </w:tcPr>
          <w:p w:rsidR="00F16570" w:rsidRPr="000374FF" w:rsidRDefault="00411BE3" w:rsidP="000374F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0374FF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带可调电源，加挡光板，支架现场深化；中标单位现场试灯，采购单位确认效果后再供货。</w:t>
            </w:r>
          </w:p>
        </w:tc>
      </w:tr>
    </w:tbl>
    <w:p w:rsidR="00F16570" w:rsidRPr="000374FF" w:rsidRDefault="00F16570" w:rsidP="000374FF">
      <w:pPr>
        <w:spacing w:line="360" w:lineRule="auto"/>
        <w:rPr>
          <w:rFonts w:asciiTheme="minorEastAsia" w:hAnsiTheme="minorEastAsia"/>
          <w:sz w:val="24"/>
        </w:rPr>
      </w:pPr>
    </w:p>
    <w:p w:rsidR="00F16570" w:rsidRPr="000374FF" w:rsidRDefault="00F16570" w:rsidP="000374FF">
      <w:pPr>
        <w:pStyle w:val="3"/>
        <w:spacing w:line="360" w:lineRule="auto"/>
        <w:ind w:leftChars="0" w:left="0" w:firstLineChars="0" w:firstLine="0"/>
        <w:rPr>
          <w:rFonts w:asciiTheme="minorEastAsia" w:eastAsiaTheme="minorEastAsia" w:hAnsiTheme="minorEastAsia" w:hint="eastAsia"/>
          <w:sz w:val="24"/>
          <w:szCs w:val="24"/>
        </w:rPr>
      </w:pPr>
      <w:bookmarkStart w:id="34" w:name="_GoBack"/>
      <w:bookmarkEnd w:id="34"/>
    </w:p>
    <w:sectPr w:rsidR="00F16570" w:rsidRPr="00037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991C11"/>
    <w:multiLevelType w:val="singleLevel"/>
    <w:tmpl w:val="90991C1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97300DD1"/>
    <w:multiLevelType w:val="singleLevel"/>
    <w:tmpl w:val="97300DD1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B3441426"/>
    <w:multiLevelType w:val="singleLevel"/>
    <w:tmpl w:val="B344142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B6BDF8EF"/>
    <w:multiLevelType w:val="singleLevel"/>
    <w:tmpl w:val="B6BDF8E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BA34F02C"/>
    <w:multiLevelType w:val="singleLevel"/>
    <w:tmpl w:val="BA34F02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CE8E1EAB"/>
    <w:multiLevelType w:val="singleLevel"/>
    <w:tmpl w:val="CE8E1EA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DDCA1BDB"/>
    <w:multiLevelType w:val="singleLevel"/>
    <w:tmpl w:val="DDCA1BD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 w15:restartNumberingAfterBreak="0">
    <w:nsid w:val="EFC65096"/>
    <w:multiLevelType w:val="singleLevel"/>
    <w:tmpl w:val="EFC6509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 w15:restartNumberingAfterBreak="0">
    <w:nsid w:val="F5E6E09C"/>
    <w:multiLevelType w:val="singleLevel"/>
    <w:tmpl w:val="F5E6E09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FA57E691"/>
    <w:multiLevelType w:val="singleLevel"/>
    <w:tmpl w:val="FA57E6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01929A76"/>
    <w:multiLevelType w:val="singleLevel"/>
    <w:tmpl w:val="01929A7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09FBF72B"/>
    <w:multiLevelType w:val="singleLevel"/>
    <w:tmpl w:val="09FBF72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 w15:restartNumberingAfterBreak="0">
    <w:nsid w:val="212AF3D0"/>
    <w:multiLevelType w:val="singleLevel"/>
    <w:tmpl w:val="212AF3D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" w15:restartNumberingAfterBreak="0">
    <w:nsid w:val="22327651"/>
    <w:multiLevelType w:val="singleLevel"/>
    <w:tmpl w:val="2232765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 w15:restartNumberingAfterBreak="0">
    <w:nsid w:val="2322DBCF"/>
    <w:multiLevelType w:val="singleLevel"/>
    <w:tmpl w:val="2322DBC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 w15:restartNumberingAfterBreak="0">
    <w:nsid w:val="3B394812"/>
    <w:multiLevelType w:val="singleLevel"/>
    <w:tmpl w:val="3B3948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3BA422BB"/>
    <w:multiLevelType w:val="singleLevel"/>
    <w:tmpl w:val="3BA422BB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3D256E98"/>
    <w:multiLevelType w:val="singleLevel"/>
    <w:tmpl w:val="3D256E9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8" w15:restartNumberingAfterBreak="0">
    <w:nsid w:val="49D829ED"/>
    <w:multiLevelType w:val="singleLevel"/>
    <w:tmpl w:val="49D829E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9" w15:restartNumberingAfterBreak="0">
    <w:nsid w:val="7360EED9"/>
    <w:multiLevelType w:val="singleLevel"/>
    <w:tmpl w:val="7360EED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0" w15:restartNumberingAfterBreak="0">
    <w:nsid w:val="78690582"/>
    <w:multiLevelType w:val="singleLevel"/>
    <w:tmpl w:val="786905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8"/>
  </w:num>
  <w:num w:numId="5">
    <w:abstractNumId w:val="6"/>
  </w:num>
  <w:num w:numId="6">
    <w:abstractNumId w:val="15"/>
  </w:num>
  <w:num w:numId="7">
    <w:abstractNumId w:val="20"/>
  </w:num>
  <w:num w:numId="8">
    <w:abstractNumId w:val="7"/>
  </w:num>
  <w:num w:numId="9">
    <w:abstractNumId w:val="3"/>
  </w:num>
  <w:num w:numId="10">
    <w:abstractNumId w:val="17"/>
  </w:num>
  <w:num w:numId="11">
    <w:abstractNumId w:val="13"/>
  </w:num>
  <w:num w:numId="12">
    <w:abstractNumId w:val="0"/>
  </w:num>
  <w:num w:numId="13">
    <w:abstractNumId w:val="12"/>
  </w:num>
  <w:num w:numId="14">
    <w:abstractNumId w:val="14"/>
  </w:num>
  <w:num w:numId="15">
    <w:abstractNumId w:val="2"/>
  </w:num>
  <w:num w:numId="16">
    <w:abstractNumId w:val="19"/>
  </w:num>
  <w:num w:numId="17">
    <w:abstractNumId w:val="11"/>
  </w:num>
  <w:num w:numId="18">
    <w:abstractNumId w:val="8"/>
  </w:num>
  <w:num w:numId="19">
    <w:abstractNumId w:val="16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70"/>
    <w:rsid w:val="000374FF"/>
    <w:rsid w:val="00411BE3"/>
    <w:rsid w:val="00F16570"/>
    <w:rsid w:val="09583DB1"/>
    <w:rsid w:val="0C1D7C24"/>
    <w:rsid w:val="0C7D068E"/>
    <w:rsid w:val="0CE02640"/>
    <w:rsid w:val="0F3D251E"/>
    <w:rsid w:val="13E52B3C"/>
    <w:rsid w:val="15AD2FF2"/>
    <w:rsid w:val="166E049E"/>
    <w:rsid w:val="1DB72404"/>
    <w:rsid w:val="1EE52791"/>
    <w:rsid w:val="26A118F4"/>
    <w:rsid w:val="2D6E0C88"/>
    <w:rsid w:val="2DD61789"/>
    <w:rsid w:val="32CC6E3F"/>
    <w:rsid w:val="34D83EE8"/>
    <w:rsid w:val="360A0E8C"/>
    <w:rsid w:val="384D1F0E"/>
    <w:rsid w:val="42143AFC"/>
    <w:rsid w:val="444B0887"/>
    <w:rsid w:val="511C2B02"/>
    <w:rsid w:val="5C7C48C0"/>
    <w:rsid w:val="614E7ED7"/>
    <w:rsid w:val="675F1B96"/>
    <w:rsid w:val="6ABE17F8"/>
    <w:rsid w:val="71123D5E"/>
    <w:rsid w:val="76596BEC"/>
    <w:rsid w:val="77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A2BD83-B419-4F6C-A5A4-EF0859FC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Lines="150" w:after="150"/>
      <w:jc w:val="center"/>
      <w:outlineLvl w:val="0"/>
    </w:pPr>
    <w:rPr>
      <w:rFonts w:ascii="Times New Roman" w:hAnsi="Times New Roman" w:cs="Times New Roman"/>
      <w:b/>
      <w:kern w:val="44"/>
      <w:sz w:val="48"/>
      <w:szCs w:val="20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/>
      <w:jc w:val="center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ind w:leftChars="200" w:left="420" w:firstLineChars="200" w:firstLine="880"/>
      <w:jc w:val="left"/>
      <w:outlineLvl w:val="2"/>
    </w:pPr>
    <w:rPr>
      <w:rFonts w:ascii="Calibri" w:eastAsia="黑体" w:hAnsi="Calibri"/>
      <w:b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10">
    <w:name w:val="列出段落1"/>
    <w:basedOn w:val="a"/>
    <w:qFormat/>
    <w:pPr>
      <w:adjustRightInd w:val="0"/>
      <w:spacing w:line="312" w:lineRule="atLeast"/>
      <w:ind w:firstLineChars="200" w:firstLine="420"/>
    </w:pPr>
    <w:rPr>
      <w:rFonts w:ascii="等线" w:eastAsia="等线" w:hAnsi="等线" w:cs="Times New Roman"/>
      <w:szCs w:val="22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16</Pages>
  <Words>1084</Words>
  <Characters>6184</Characters>
  <Application>Microsoft Office Word</Application>
  <DocSecurity>0</DocSecurity>
  <Lines>51</Lines>
  <Paragraphs>14</Paragraphs>
  <ScaleCrop>false</ScaleCrop>
  <Company>aa</Company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wangyuan</dc:creator>
  <cp:lastModifiedBy>NTKO</cp:lastModifiedBy>
  <cp:revision>3</cp:revision>
  <cp:lastPrinted>2020-07-17T05:39:00Z</cp:lastPrinted>
  <dcterms:created xsi:type="dcterms:W3CDTF">2020-04-12T11:01:00Z</dcterms:created>
  <dcterms:modified xsi:type="dcterms:W3CDTF">2020-07-22T01:01:00Z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