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B7" w:rsidRPr="00B4359C" w:rsidRDefault="00B4359C" w:rsidP="00B4359C">
      <w:pPr>
        <w:pStyle w:val="1"/>
        <w:spacing w:before="156" w:after="468" w:line="360" w:lineRule="auto"/>
        <w:ind w:left="420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B4359C">
        <w:rPr>
          <w:rFonts w:ascii="方正小标宋简体" w:eastAsia="方正小标宋简体" w:hint="eastAsia"/>
          <w:color w:val="000000" w:themeColor="text1"/>
          <w:sz w:val="44"/>
          <w:szCs w:val="44"/>
        </w:rPr>
        <w:t>采购内容及要求</w:t>
      </w:r>
    </w:p>
    <w:tbl>
      <w:tblPr>
        <w:tblStyle w:val="a4"/>
        <w:tblW w:w="8519" w:type="dxa"/>
        <w:tblLayout w:type="fixed"/>
        <w:tblLook w:val="04A0"/>
      </w:tblPr>
      <w:tblGrid>
        <w:gridCol w:w="934"/>
        <w:gridCol w:w="5748"/>
        <w:gridCol w:w="1034"/>
        <w:gridCol w:w="803"/>
      </w:tblGrid>
      <w:tr w:rsidR="00AE68B7">
        <w:tc>
          <w:tcPr>
            <w:tcW w:w="934" w:type="dxa"/>
            <w:shd w:val="clear" w:color="auto" w:fill="D8D8D8" w:themeFill="background1" w:themeFillShade="D8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5748" w:type="dxa"/>
            <w:shd w:val="clear" w:color="auto" w:fill="D8D8D8" w:themeFill="background1" w:themeFillShade="D8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034" w:type="dxa"/>
            <w:shd w:val="clear" w:color="auto" w:fill="D8D8D8" w:themeFill="background1" w:themeFillShade="D8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803" w:type="dxa"/>
            <w:shd w:val="clear" w:color="auto" w:fill="D8D8D8" w:themeFill="background1" w:themeFillShade="D8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单位</w:t>
            </w:r>
          </w:p>
        </w:tc>
      </w:tr>
      <w:tr w:rsidR="00AE68B7">
        <w:trPr>
          <w:trHeight w:val="774"/>
        </w:trPr>
        <w:tc>
          <w:tcPr>
            <w:tcW w:w="934" w:type="dxa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48" w:type="dxa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2W  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地砖灯（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2200K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034" w:type="dxa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803" w:type="dxa"/>
          </w:tcPr>
          <w:p w:rsidR="00AE68B7" w:rsidRDefault="00B4359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</w:tbl>
    <w:p w:rsidR="00AE68B7" w:rsidRDefault="00B4359C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AE68B7" w:rsidRDefault="00B4359C" w:rsidP="00B4359C">
      <w:pPr>
        <w:pStyle w:val="1"/>
        <w:numPr>
          <w:ilvl w:val="0"/>
          <w:numId w:val="2"/>
        </w:numPr>
        <w:spacing w:before="156" w:after="468" w:line="360" w:lineRule="auto"/>
      </w:pPr>
      <w:bookmarkStart w:id="0" w:name="_Toc14980"/>
      <w:bookmarkStart w:id="1" w:name="_Toc23859_WPSOffice_Level1"/>
      <w:bookmarkStart w:id="2" w:name="_Toc14812"/>
      <w:r>
        <w:rPr>
          <w:rFonts w:hint="eastAsia"/>
        </w:rPr>
        <w:lastRenderedPageBreak/>
        <w:t>通则要求</w:t>
      </w:r>
      <w:bookmarkEnd w:id="2"/>
    </w:p>
    <w:p w:rsidR="00AE68B7" w:rsidRDefault="00B4359C">
      <w:pPr>
        <w:pStyle w:val="2"/>
        <w:numPr>
          <w:ilvl w:val="0"/>
          <w:numId w:val="3"/>
        </w:numPr>
        <w:spacing w:line="360" w:lineRule="auto"/>
      </w:pPr>
      <w:bookmarkStart w:id="3" w:name="_Toc25860"/>
      <w:r>
        <w:rPr>
          <w:rFonts w:hint="eastAsia"/>
        </w:rPr>
        <w:t>灯具应符合的技术标准</w:t>
      </w:r>
      <w:bookmarkEnd w:id="3"/>
    </w:p>
    <w:p w:rsidR="00AE68B7" w:rsidRDefault="00B4359C">
      <w:pPr>
        <w:spacing w:line="360" w:lineRule="auto"/>
        <w:ind w:firstLineChars="200" w:firstLine="420"/>
      </w:pPr>
      <w:r>
        <w:rPr>
          <w:rFonts w:hint="eastAsia"/>
        </w:rPr>
        <w:t>凡是不注日期的引用文件，其最新版本（包括所有的修改单）适用于本文件。同时包括</w:t>
      </w:r>
      <w:r>
        <w:rPr>
          <w:rFonts w:hint="eastAsia"/>
        </w:rPr>
        <w:t>其他国家及江苏省现行标准规范、图集等；以及相关的灯具的现行的国家规范和标准。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</w:pPr>
      <w:r>
        <w:rPr>
          <w:rFonts w:hint="eastAsia"/>
        </w:rPr>
        <w:t>GB7000.1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</w:rPr>
        <w:t>GB7000.203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2-3</w:t>
      </w:r>
      <w:r>
        <w:rPr>
          <w:rFonts w:hint="eastAsia"/>
        </w:rPr>
        <w:t>部</w:t>
      </w:r>
      <w:r>
        <w:rPr>
          <w:rFonts w:hint="eastAsia"/>
          <w:color w:val="000000" w:themeColor="text1"/>
        </w:rPr>
        <w:t>分：特殊要求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道路与街路照明灯具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GB7000.7</w:t>
      </w:r>
      <w:r>
        <w:rPr>
          <w:rFonts w:hint="eastAsia"/>
          <w:color w:val="000000" w:themeColor="text1"/>
        </w:rPr>
        <w:t>投光灯具安全要求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GB7000.10</w:t>
      </w:r>
      <w:r>
        <w:rPr>
          <w:rFonts w:hint="eastAsia"/>
          <w:color w:val="000000" w:themeColor="text1"/>
        </w:rPr>
        <w:t>固定式通用灯具安全要求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GB </w:t>
      </w:r>
      <w:r>
        <w:rPr>
          <w:rFonts w:hint="eastAsia"/>
          <w:color w:val="000000" w:themeColor="text1"/>
        </w:rPr>
        <w:t>4208</w:t>
      </w:r>
      <w:r>
        <w:rPr>
          <w:rFonts w:hint="eastAsia"/>
          <w:color w:val="000000" w:themeColor="text1"/>
        </w:rPr>
        <w:t>外壳防护等级（</w:t>
      </w:r>
      <w:r>
        <w:rPr>
          <w:rFonts w:hint="eastAsia"/>
          <w:color w:val="000000" w:themeColor="text1"/>
        </w:rPr>
        <w:t>IP</w:t>
      </w:r>
      <w:r>
        <w:rPr>
          <w:rFonts w:hint="eastAsia"/>
          <w:color w:val="000000" w:themeColor="text1"/>
        </w:rPr>
        <w:t>代码）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GB17743</w:t>
      </w:r>
      <w:r>
        <w:rPr>
          <w:rFonts w:hint="eastAsia"/>
          <w:color w:val="000000" w:themeColor="text1"/>
        </w:rPr>
        <w:t>电气照明和类似设备的无线电骚扰特性的限值和测量方法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GB17625.1</w:t>
      </w:r>
      <w:r>
        <w:rPr>
          <w:rFonts w:hint="eastAsia"/>
          <w:color w:val="000000" w:themeColor="text1"/>
        </w:rPr>
        <w:t>电磁兼限值谐波电流发射限值容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GB/T18595</w:t>
      </w:r>
      <w:r>
        <w:rPr>
          <w:rFonts w:hint="eastAsia"/>
          <w:color w:val="000000" w:themeColor="text1"/>
        </w:rPr>
        <w:t>一般照明用设备电磁兼容抗扰度要求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 l7625.1</w:t>
      </w:r>
      <w:r>
        <w:rPr>
          <w:rFonts w:hint="eastAsia"/>
          <w:color w:val="000000" w:themeColor="text1"/>
        </w:rPr>
        <w:t>电磁兼容限值谐波电流发射限值</w:t>
      </w:r>
      <w:r>
        <w:rPr>
          <w:rFonts w:hint="eastAsia"/>
          <w:color w:val="000000" w:themeColor="text1"/>
        </w:rPr>
        <w:t>(</w:t>
      </w:r>
      <w:proofErr w:type="gramStart"/>
      <w:r>
        <w:rPr>
          <w:rFonts w:hint="eastAsia"/>
          <w:color w:val="000000" w:themeColor="text1"/>
        </w:rPr>
        <w:t>设备每相输入</w:t>
      </w:r>
      <w:proofErr w:type="gramEnd"/>
      <w:r>
        <w:rPr>
          <w:rFonts w:hint="eastAsia"/>
          <w:color w:val="000000" w:themeColor="text1"/>
        </w:rPr>
        <w:t>电流≤</w:t>
      </w:r>
      <w:r>
        <w:rPr>
          <w:rFonts w:hint="eastAsia"/>
          <w:color w:val="000000" w:themeColor="text1"/>
        </w:rPr>
        <w:t>16A)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QB/T1551</w:t>
      </w:r>
      <w:r>
        <w:rPr>
          <w:rFonts w:hint="eastAsia"/>
          <w:color w:val="000000" w:themeColor="text1"/>
        </w:rPr>
        <w:t>灯具油漆涂层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灯具电镀、化学覆盖层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GB/T33721 LED</w:t>
      </w:r>
      <w:r>
        <w:rPr>
          <w:rFonts w:hint="eastAsia"/>
          <w:color w:val="000000" w:themeColor="text1"/>
        </w:rPr>
        <w:t>灯具可靠性试验方法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CJJ45 </w:t>
      </w:r>
      <w:r>
        <w:rPr>
          <w:rFonts w:hint="eastAsia"/>
          <w:color w:val="000000" w:themeColor="text1"/>
        </w:rPr>
        <w:t>城市道路照明设计标准</w:t>
      </w:r>
    </w:p>
    <w:p w:rsidR="00AE68B7" w:rsidRDefault="00B4359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JGJ/T 163 </w:t>
      </w:r>
      <w:r>
        <w:rPr>
          <w:rFonts w:hint="eastAsia"/>
          <w:color w:val="000000" w:themeColor="text1"/>
        </w:rPr>
        <w:t>城市夜景照明设计规范</w:t>
      </w:r>
    </w:p>
    <w:p w:rsidR="00AE68B7" w:rsidRDefault="00B4359C">
      <w:pPr>
        <w:pStyle w:val="2"/>
        <w:numPr>
          <w:ilvl w:val="0"/>
          <w:numId w:val="3"/>
        </w:numPr>
        <w:spacing w:line="360" w:lineRule="auto"/>
        <w:rPr>
          <w:color w:val="000000" w:themeColor="text1"/>
        </w:rPr>
      </w:pPr>
      <w:bookmarkStart w:id="4" w:name="_Toc1793"/>
      <w:r>
        <w:rPr>
          <w:rFonts w:hint="eastAsia"/>
          <w:color w:val="000000" w:themeColor="text1"/>
        </w:rPr>
        <w:t>灯具通则要求</w:t>
      </w:r>
      <w:bookmarkEnd w:id="4"/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5" w:name="_Toc2014"/>
      <w:r>
        <w:rPr>
          <w:rFonts w:hint="eastAsia"/>
          <w:color w:val="000000" w:themeColor="text1"/>
        </w:rPr>
        <w:t>一般要求</w:t>
      </w:r>
      <w:bookmarkEnd w:id="5"/>
    </w:p>
    <w:p w:rsidR="00AE68B7" w:rsidRDefault="00B4359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执行，没有详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的，按照本通则执行。</w:t>
      </w:r>
    </w:p>
    <w:p w:rsidR="00AE68B7" w:rsidRDefault="00B4359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免受可能存在的抵押权、担保权在内的物</w:t>
      </w:r>
      <w:proofErr w:type="gramStart"/>
      <w:r>
        <w:rPr>
          <w:rFonts w:hint="eastAsia"/>
          <w:color w:val="000000" w:themeColor="text1"/>
        </w:rPr>
        <w:t>权权利</w:t>
      </w:r>
      <w:proofErr w:type="gramEnd"/>
      <w:r>
        <w:rPr>
          <w:rFonts w:hint="eastAsia"/>
          <w:color w:val="000000" w:themeColor="text1"/>
        </w:rPr>
        <w:t>瑕疵的起诉。</w:t>
      </w:r>
    </w:p>
    <w:p w:rsidR="00AE68B7" w:rsidRDefault="00B4359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本次投标报价包含本技术文件所要求的所有配件及附件。</w:t>
      </w:r>
      <w:r>
        <w:rPr>
          <w:rFonts w:hint="eastAsia"/>
          <w:color w:val="000000" w:themeColor="text1"/>
        </w:rPr>
        <w:t>室外的螺杆、螺栓、垫片必须使用</w:t>
      </w:r>
      <w:r>
        <w:rPr>
          <w:rFonts w:hint="eastAsia"/>
          <w:color w:val="000000" w:themeColor="text1"/>
        </w:rPr>
        <w:t>304</w:t>
      </w:r>
      <w:r>
        <w:rPr>
          <w:rFonts w:hint="eastAsia"/>
          <w:color w:val="000000" w:themeColor="text1"/>
        </w:rPr>
        <w:t>不锈钢材质。</w:t>
      </w:r>
    </w:p>
    <w:p w:rsidR="00AE68B7" w:rsidRDefault="00B4359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中标后，中</w:t>
      </w:r>
      <w:r>
        <w:rPr>
          <w:rFonts w:hint="eastAsia"/>
          <w:color w:val="000000" w:themeColor="text1"/>
        </w:rPr>
        <w:t>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AE68B7" w:rsidRDefault="00B4359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中标后灯具供应阶段，投标人确定的灯具抽样送国家权威机构检测。</w:t>
      </w:r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6" w:name="_Toc15096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光源要求</w:t>
      </w:r>
      <w:bookmarkEnd w:id="6"/>
    </w:p>
    <w:p w:rsidR="00AE68B7" w:rsidRDefault="00B4359C">
      <w:pPr>
        <w:numPr>
          <w:ilvl w:val="0"/>
          <w:numId w:val="7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该类灯具的主要原材料光源封装颗粒品牌应限定在科锐（</w:t>
      </w:r>
      <w:r>
        <w:rPr>
          <w:rFonts w:hint="eastAsia"/>
          <w:b/>
          <w:bCs/>
          <w:color w:val="000000" w:themeColor="text1"/>
        </w:rPr>
        <w:t>CREE</w:t>
      </w:r>
      <w:r>
        <w:rPr>
          <w:rFonts w:hint="eastAsia"/>
          <w:b/>
          <w:bCs/>
          <w:color w:val="000000" w:themeColor="text1"/>
        </w:rPr>
        <w:t>）、飞利浦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0"/>
          <w:szCs w:val="20"/>
          <w:lang/>
        </w:rPr>
        <w:t>LUMILEDS</w:t>
      </w:r>
      <w:r>
        <w:rPr>
          <w:rFonts w:hint="eastAsia"/>
          <w:b/>
          <w:bCs/>
          <w:color w:val="000000" w:themeColor="text1"/>
        </w:rPr>
        <w:t>）、欧司朗（</w:t>
      </w:r>
      <w:r>
        <w:rPr>
          <w:rFonts w:hint="eastAsia"/>
          <w:b/>
          <w:bCs/>
          <w:color w:val="000000" w:themeColor="text1"/>
        </w:rPr>
        <w:t>OSRAM</w:t>
      </w:r>
      <w:r>
        <w:rPr>
          <w:rFonts w:hint="eastAsia"/>
          <w:b/>
          <w:bCs/>
          <w:color w:val="000000" w:themeColor="text1"/>
        </w:rPr>
        <w:t>）、日亚（</w:t>
      </w:r>
      <w:r>
        <w:rPr>
          <w:rFonts w:hint="eastAsia"/>
          <w:b/>
          <w:bCs/>
          <w:color w:val="000000" w:themeColor="text1"/>
        </w:rPr>
        <w:t>NICHIA</w:t>
      </w:r>
      <w:r>
        <w:rPr>
          <w:rFonts w:hint="eastAsia"/>
          <w:b/>
          <w:bCs/>
          <w:color w:val="000000" w:themeColor="text1"/>
        </w:rPr>
        <w:t>）范围内。</w:t>
      </w:r>
    </w:p>
    <w:p w:rsidR="00AE68B7" w:rsidRDefault="00B4359C">
      <w:pPr>
        <w:numPr>
          <w:ilvl w:val="0"/>
          <w:numId w:val="7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4369"/>
        <w:gridCol w:w="3872"/>
      </w:tblGrid>
      <w:tr w:rsidR="00AE68B7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AE68B7" w:rsidRDefault="00B4359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AE68B7" w:rsidRDefault="00B4359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色温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AE68B7" w:rsidRDefault="00B4359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偏差</w:t>
            </w:r>
          </w:p>
        </w:tc>
      </w:tr>
      <w:tr w:rsidR="00AE68B7">
        <w:trPr>
          <w:jc w:val="center"/>
        </w:trPr>
        <w:tc>
          <w:tcPr>
            <w:tcW w:w="1001" w:type="dxa"/>
            <w:vAlign w:val="center"/>
          </w:tcPr>
          <w:p w:rsidR="00AE68B7" w:rsidRDefault="00B4359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69" w:type="dxa"/>
            <w:vAlign w:val="center"/>
          </w:tcPr>
          <w:p w:rsidR="00AE68B7" w:rsidRDefault="00B4359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2200K</w:t>
            </w:r>
          </w:p>
        </w:tc>
        <w:tc>
          <w:tcPr>
            <w:tcW w:w="3872" w:type="dxa"/>
            <w:vAlign w:val="center"/>
          </w:tcPr>
          <w:p w:rsidR="00AE68B7" w:rsidRDefault="00B4359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±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00K</w:t>
            </w:r>
          </w:p>
        </w:tc>
      </w:tr>
    </w:tbl>
    <w:p w:rsidR="00AE68B7" w:rsidRDefault="00B4359C">
      <w:pPr>
        <w:numPr>
          <w:ilvl w:val="0"/>
          <w:numId w:val="7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灯具的色容差应符合以下规定：同型号白光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灯具，色容差不应大于</w:t>
      </w:r>
      <w:r>
        <w:rPr>
          <w:rFonts w:hint="eastAsia"/>
          <w:color w:val="000000" w:themeColor="text1"/>
        </w:rPr>
        <w:t>7SDCM</w:t>
      </w:r>
      <w:r>
        <w:rPr>
          <w:rFonts w:hint="eastAsia"/>
          <w:color w:val="000000" w:themeColor="text1"/>
        </w:rPr>
        <w:t>。</w:t>
      </w:r>
    </w:p>
    <w:p w:rsidR="00AE68B7" w:rsidRDefault="00B4359C">
      <w:pPr>
        <w:numPr>
          <w:ilvl w:val="0"/>
          <w:numId w:val="7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颗粒应满足拥有</w:t>
      </w:r>
      <w:r>
        <w:rPr>
          <w:rFonts w:hint="eastAsia"/>
          <w:color w:val="000000" w:themeColor="text1"/>
        </w:rPr>
        <w:t>LM-80</w:t>
      </w:r>
      <w:r>
        <w:rPr>
          <w:rFonts w:hint="eastAsia"/>
          <w:color w:val="000000" w:themeColor="text1"/>
        </w:rPr>
        <w:t>认证，颗粒寿命不低于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万小时。</w:t>
      </w:r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7" w:name="_Toc517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灯具输入电压要求</w:t>
      </w:r>
      <w:bookmarkEnd w:id="7"/>
    </w:p>
    <w:p w:rsidR="00AE68B7" w:rsidRDefault="00B4359C">
      <w:pPr>
        <w:numPr>
          <w:ilvl w:val="0"/>
          <w:numId w:val="8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输入电压为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DC24V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。</w:t>
      </w:r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8" w:name="_Toc13353"/>
      <w:r>
        <w:rPr>
          <w:rFonts w:hint="eastAsia"/>
          <w:color w:val="000000" w:themeColor="text1"/>
        </w:rPr>
        <w:t>外观及结构要求</w:t>
      </w:r>
      <w:bookmarkEnd w:id="8"/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外观质量：灯具的表面应光滑，以防污物堆积和便于清洗</w:t>
      </w:r>
      <w:r>
        <w:rPr>
          <w:rFonts w:hint="eastAsia"/>
          <w:color w:val="000000" w:themeColor="text1"/>
        </w:rPr>
        <w:t>;</w:t>
      </w:r>
      <w:r>
        <w:rPr>
          <w:rFonts w:hint="eastAsia"/>
          <w:color w:val="000000" w:themeColor="text1"/>
        </w:rPr>
        <w:t>无损伤、变形、涂层剥落，玻璃罩应无气泡、明显划痕和裂纹等缺陷。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420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</w:rPr>
        <w:t>外形尺寸：允许偏差范围标明区间的（例如：有≥、≤、±、</w:t>
      </w:r>
      <w:r>
        <w:rPr>
          <w:rFonts w:hint="eastAsia"/>
          <w:color w:val="000000" w:themeColor="text1"/>
        </w:rPr>
        <w:t>~</w:t>
      </w:r>
      <w:r>
        <w:rPr>
          <w:rFonts w:hint="eastAsia"/>
          <w:color w:val="000000" w:themeColor="text1"/>
        </w:rPr>
        <w:t>符号）灯具尺寸在要求范围内为满足要求；未标明尺寸允许偏差范围的灯具尺寸上下浮动</w:t>
      </w:r>
      <w:r>
        <w:rPr>
          <w:rFonts w:hint="eastAsia"/>
          <w:color w:val="000000" w:themeColor="text1"/>
        </w:rPr>
        <w:t>10%</w:t>
      </w:r>
      <w:r>
        <w:rPr>
          <w:rFonts w:hint="eastAsia"/>
          <w:color w:val="000000" w:themeColor="text1"/>
        </w:rPr>
        <w:t>为满足要求。</w:t>
      </w:r>
      <w:r>
        <w:rPr>
          <w:rFonts w:hint="eastAsia"/>
          <w:color w:val="000000" w:themeColor="text1"/>
        </w:rPr>
        <w:t>线性投光灯长度</w:t>
      </w:r>
      <w:r>
        <w:rPr>
          <w:rFonts w:hint="eastAsia"/>
          <w:color w:val="000000" w:themeColor="text1"/>
        </w:rPr>
        <w:t>尺寸上下浮动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为满足要求。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安装和位置尺寸：未标明尺寸允许偏差范围的按照</w:t>
      </w:r>
      <w:r>
        <w:rPr>
          <w:rFonts w:hint="eastAsia"/>
          <w:color w:val="000000" w:themeColor="text1"/>
        </w:rPr>
        <w:t>GB-T1804</w:t>
      </w:r>
      <w:r>
        <w:rPr>
          <w:rFonts w:hint="eastAsia"/>
          <w:color w:val="000000" w:themeColor="text1"/>
        </w:rPr>
        <w:t>的精度</w:t>
      </w:r>
      <w:r>
        <w:rPr>
          <w:rFonts w:hint="eastAsia"/>
          <w:color w:val="000000" w:themeColor="text1"/>
        </w:rPr>
        <w:t>M</w:t>
      </w:r>
      <w:r>
        <w:rPr>
          <w:rFonts w:hint="eastAsia"/>
          <w:color w:val="000000" w:themeColor="text1"/>
        </w:rPr>
        <w:t>级别标准执行。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灯具应安装方便，</w:t>
      </w:r>
      <w:proofErr w:type="gramStart"/>
      <w:r>
        <w:rPr>
          <w:rFonts w:hint="eastAsia"/>
          <w:color w:val="000000" w:themeColor="text1"/>
        </w:rPr>
        <w:t>灯具出线</w:t>
      </w:r>
      <w:proofErr w:type="gramEnd"/>
      <w:r>
        <w:rPr>
          <w:rFonts w:hint="eastAsia"/>
          <w:color w:val="000000" w:themeColor="text1"/>
        </w:rPr>
        <w:t>方式不能影响现场安装。灯具应有特设的导线出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入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口密封装置。灯具内应有电源接线端子，外部接线和内部接线穿过硬质材料时应有保护措施。</w:t>
      </w:r>
      <w:r>
        <w:rPr>
          <w:rFonts w:hint="eastAsia"/>
          <w:color w:val="000000" w:themeColor="text1"/>
        </w:rPr>
        <w:lastRenderedPageBreak/>
        <w:t>灯具应配备一个耐温度骤变、废气、烟雾和其他化学物质的钢化玻璃罩。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</w:t>
      </w:r>
      <w:r>
        <w:rPr>
          <w:rFonts w:hint="eastAsia"/>
          <w:color w:val="000000" w:themeColor="text1"/>
        </w:rPr>
        <w:t>具引出线线径应符合</w:t>
      </w:r>
      <w:r>
        <w:rPr>
          <w:rFonts w:hint="eastAsia"/>
          <w:color w:val="000000" w:themeColor="text1"/>
        </w:rPr>
        <w:t>GB7000.1</w:t>
      </w:r>
      <w:r>
        <w:rPr>
          <w:rFonts w:hint="eastAsia"/>
          <w:color w:val="000000" w:themeColor="text1"/>
        </w:rPr>
        <w:t>（灯具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部分：一般要求与试验）的要求，引出线长度按照现场安装情况提供，确保灯与灯之间连线符合最优化。一个回路的灯具可成串提供，灯具引出</w:t>
      </w:r>
      <w:proofErr w:type="gramStart"/>
      <w:r>
        <w:rPr>
          <w:rFonts w:hint="eastAsia"/>
          <w:color w:val="000000" w:themeColor="text1"/>
        </w:rPr>
        <w:t>线满足</w:t>
      </w:r>
      <w:proofErr w:type="gramEnd"/>
      <w:r>
        <w:rPr>
          <w:rFonts w:hint="eastAsia"/>
          <w:color w:val="000000" w:themeColor="text1"/>
        </w:rPr>
        <w:t>现场安装要求。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芯线颜色必须符合国标要求，且有明显区别。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控制线采用专用</w:t>
      </w:r>
      <w:r>
        <w:rPr>
          <w:rFonts w:hint="eastAsia"/>
          <w:color w:val="000000" w:themeColor="text1"/>
        </w:rPr>
        <w:t>RS485</w:t>
      </w:r>
      <w:r>
        <w:rPr>
          <w:rFonts w:hint="eastAsia"/>
          <w:color w:val="000000" w:themeColor="text1"/>
        </w:rPr>
        <w:t>超五类屏蔽总线。接头必须具有防水措施、连接方便易操作。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有针对感应雷击及静电的专用防护元件，器件性能符合</w:t>
      </w:r>
      <w:r>
        <w:rPr>
          <w:rFonts w:hint="eastAsia"/>
          <w:color w:val="000000" w:themeColor="text1"/>
        </w:rPr>
        <w:t>IEC61000-4-4</w:t>
      </w:r>
      <w:r>
        <w:rPr>
          <w:rFonts w:hint="eastAsia"/>
          <w:color w:val="000000" w:themeColor="text1"/>
        </w:rPr>
        <w:t>（电磁兼容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4-4</w:t>
      </w:r>
      <w:r>
        <w:rPr>
          <w:rFonts w:hint="eastAsia"/>
          <w:color w:val="000000" w:themeColor="text1"/>
        </w:rPr>
        <w:t>部分</w:t>
      </w:r>
      <w:r>
        <w:rPr>
          <w:rFonts w:hint="eastAsia"/>
          <w:color w:val="000000" w:themeColor="text1"/>
        </w:rPr>
        <w:t>:</w:t>
      </w:r>
      <w:r>
        <w:rPr>
          <w:rFonts w:hint="eastAsia"/>
          <w:color w:val="000000" w:themeColor="text1"/>
        </w:rPr>
        <w:t>试验和测量技术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电快速瞬变脉冲群抗扰度试验）的检测标准。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地埋灯具防护等级不小于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IP67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。</w:t>
      </w:r>
    </w:p>
    <w:p w:rsidR="00AE68B7" w:rsidRDefault="00B4359C">
      <w:pPr>
        <w:numPr>
          <w:ilvl w:val="0"/>
          <w:numId w:val="9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安全电</w:t>
      </w:r>
      <w:r>
        <w:rPr>
          <w:rFonts w:hint="eastAsia"/>
          <w:b/>
          <w:bCs/>
          <w:sz w:val="30"/>
          <w:szCs w:val="30"/>
          <w:u w:val="single"/>
        </w:rPr>
        <w:t>压灯具可用</w:t>
      </w:r>
      <w:r>
        <w:rPr>
          <w:rFonts w:hint="eastAsia"/>
          <w:b/>
          <w:bCs/>
          <w:sz w:val="30"/>
          <w:szCs w:val="30"/>
          <w:u w:val="single"/>
        </w:rPr>
        <w:t>电箱式调压电源</w:t>
      </w:r>
      <w:r>
        <w:rPr>
          <w:rFonts w:hint="eastAsia"/>
          <w:b/>
          <w:bCs/>
          <w:sz w:val="30"/>
          <w:szCs w:val="30"/>
          <w:u w:val="single"/>
        </w:rPr>
        <w:t>无极调节亮度</w:t>
      </w:r>
      <w:bookmarkStart w:id="9" w:name="_GoBack"/>
      <w:bookmarkEnd w:id="9"/>
      <w:r>
        <w:rPr>
          <w:rFonts w:hint="eastAsia"/>
          <w:b/>
          <w:bCs/>
          <w:sz w:val="30"/>
          <w:szCs w:val="30"/>
          <w:u w:val="single"/>
        </w:rPr>
        <w:t>。</w:t>
      </w:r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0" w:name="_Toc20504"/>
      <w:r>
        <w:rPr>
          <w:rFonts w:hint="eastAsia"/>
          <w:color w:val="000000" w:themeColor="text1"/>
        </w:rPr>
        <w:t>材料要求</w:t>
      </w:r>
      <w:bookmarkEnd w:id="10"/>
    </w:p>
    <w:p w:rsidR="00AE68B7" w:rsidRDefault="00B4359C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所有要求为不锈钢的材质，必须采用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不锈钢标号；所有要求为铝材的，必须采用高镁防锈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标号或同等、优于该材料。灯具所采用的电线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缆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和其他电子部件均应符合相应的国家标准或行业标准的规定要求。</w:t>
      </w:r>
    </w:p>
    <w:p w:rsidR="00AE68B7" w:rsidRDefault="00B4359C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灯具密封圈需采用抗老化硅橡胶圈或同等、优于上标准。应耐温、耐老化和</w:t>
      </w:r>
      <w:proofErr w:type="gramStart"/>
      <w:r>
        <w:rPr>
          <w:rFonts w:hint="eastAsia"/>
          <w:color w:val="000000" w:themeColor="text1"/>
        </w:rPr>
        <w:t>耐道路</w:t>
      </w:r>
      <w:proofErr w:type="gramEnd"/>
      <w:r>
        <w:rPr>
          <w:rFonts w:hint="eastAsia"/>
          <w:color w:val="000000" w:themeColor="text1"/>
        </w:rPr>
        <w:t>上可能出现的腐蚀性气体，并应方便更换。灯具密封若</w:t>
      </w:r>
      <w:proofErr w:type="gramStart"/>
      <w:r>
        <w:rPr>
          <w:rFonts w:hint="eastAsia"/>
          <w:color w:val="000000" w:themeColor="text1"/>
        </w:rPr>
        <w:t>采用灌胶形式</w:t>
      </w:r>
      <w:proofErr w:type="gramEnd"/>
      <w:r>
        <w:rPr>
          <w:rFonts w:hint="eastAsia"/>
          <w:color w:val="000000" w:themeColor="text1"/>
        </w:rPr>
        <w:t>，</w:t>
      </w:r>
      <w:proofErr w:type="gramStart"/>
      <w:r>
        <w:rPr>
          <w:rFonts w:hint="eastAsia"/>
          <w:color w:val="000000" w:themeColor="text1"/>
        </w:rPr>
        <w:t>灌胶材料</w:t>
      </w:r>
      <w:proofErr w:type="gramEnd"/>
      <w:r>
        <w:rPr>
          <w:rFonts w:hint="eastAsia"/>
          <w:color w:val="000000" w:themeColor="text1"/>
        </w:rPr>
        <w:t>必须采用有机硅胶或同等、优于以上标准。</w:t>
      </w:r>
      <w:r>
        <w:rPr>
          <w:rFonts w:hint="eastAsia"/>
          <w:color w:val="000000" w:themeColor="text1"/>
        </w:rPr>
        <w:t xml:space="preserve"> </w:t>
      </w:r>
    </w:p>
    <w:p w:rsidR="00AE68B7" w:rsidRDefault="00B4359C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灯具的插销、铰链、螺钉和其他外部构件应用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不锈钢或高镁防</w:t>
      </w:r>
      <w:r>
        <w:rPr>
          <w:rFonts w:hint="eastAsia"/>
          <w:color w:val="000000" w:themeColor="text1"/>
        </w:rPr>
        <w:t>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铝合金，其安装构件应不受混凝土的化学反应腐蚀。膨胀管、膨胀螺栓（含螺栓、胀管、平垫圈、弹簧垫和六角螺母等）必须采用不锈钢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材料，且不受混凝土的化学反应腐蚀。</w:t>
      </w:r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1" w:name="_Toc19172"/>
      <w:r>
        <w:rPr>
          <w:rFonts w:hint="eastAsia"/>
          <w:color w:val="000000" w:themeColor="text1"/>
        </w:rPr>
        <w:t>耐腐蚀性要求</w:t>
      </w:r>
      <w:bookmarkEnd w:id="11"/>
    </w:p>
    <w:p w:rsidR="00AE68B7" w:rsidRDefault="00B4359C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灯具应具有良好的耐腐蚀性能；灯具上的涂层部件，涂层应符合</w:t>
      </w:r>
      <w:r>
        <w:rPr>
          <w:rFonts w:hint="eastAsia"/>
          <w:color w:val="000000" w:themeColor="text1"/>
        </w:rPr>
        <w:t xml:space="preserve">QB/T </w:t>
      </w:r>
      <w:r>
        <w:rPr>
          <w:rFonts w:hint="eastAsia"/>
          <w:color w:val="000000" w:themeColor="text1"/>
        </w:rPr>
        <w:t>1551</w:t>
      </w:r>
      <w:r>
        <w:rPr>
          <w:rFonts w:hint="eastAsia"/>
          <w:color w:val="000000" w:themeColor="text1"/>
        </w:rPr>
        <w:t>（《灯具油漆涂层》国家标准）中</w:t>
      </w:r>
      <w:r>
        <w:rPr>
          <w:rFonts w:hint="eastAsia"/>
          <w:color w:val="000000" w:themeColor="text1"/>
        </w:rPr>
        <w:t>II</w:t>
      </w:r>
      <w:r>
        <w:rPr>
          <w:rFonts w:hint="eastAsia"/>
          <w:color w:val="000000" w:themeColor="text1"/>
        </w:rPr>
        <w:t>类（恶劣的使用环境，如含有工业废气或盐分，潮湿的使用场所）使用条件的要求；灯具上的电镀或化学覆盖件，覆盖层应符合</w:t>
      </w: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（《灯具电镀、化学覆盖层》轻工行业标准）中Ⅲ类（严酷的使用条件，如空气中含有工业废气或盐分潮湿的环境）使用条件的要求。灯具灯</w:t>
      </w:r>
      <w:proofErr w:type="gramStart"/>
      <w:r>
        <w:rPr>
          <w:rFonts w:hint="eastAsia"/>
          <w:color w:val="000000" w:themeColor="text1"/>
        </w:rPr>
        <w:t>体材</w:t>
      </w:r>
      <w:proofErr w:type="gramEnd"/>
      <w:r>
        <w:rPr>
          <w:rFonts w:hint="eastAsia"/>
          <w:color w:val="000000" w:themeColor="text1"/>
        </w:rPr>
        <w:t>质表面应有耐腐蚀、</w:t>
      </w:r>
      <w:proofErr w:type="gramStart"/>
      <w:r>
        <w:rPr>
          <w:rFonts w:hint="eastAsia"/>
          <w:color w:val="000000" w:themeColor="text1"/>
        </w:rPr>
        <w:t>抗破坏</w:t>
      </w:r>
      <w:proofErr w:type="gramEnd"/>
      <w:r>
        <w:rPr>
          <w:rFonts w:hint="eastAsia"/>
          <w:color w:val="000000" w:themeColor="text1"/>
        </w:rPr>
        <w:t>处理手段，处理工艺需达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年使用寿命。压克力材料部分保证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年</w:t>
      </w:r>
      <w:proofErr w:type="gramStart"/>
      <w:r>
        <w:rPr>
          <w:rFonts w:hint="eastAsia"/>
          <w:color w:val="000000" w:themeColor="text1"/>
        </w:rPr>
        <w:t>不</w:t>
      </w:r>
      <w:proofErr w:type="gramEnd"/>
      <w:r>
        <w:rPr>
          <w:rFonts w:hint="eastAsia"/>
          <w:color w:val="000000" w:themeColor="text1"/>
        </w:rPr>
        <w:t>发黄。</w:t>
      </w:r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2" w:name="_Toc6693"/>
      <w:bookmarkStart w:id="13" w:name="_Toc4937"/>
      <w:bookmarkStart w:id="14" w:name="_Toc9926"/>
      <w:bookmarkStart w:id="15" w:name="_Toc2295"/>
      <w:bookmarkStart w:id="16" w:name="_Toc20838"/>
      <w:r>
        <w:rPr>
          <w:rFonts w:hint="eastAsia"/>
          <w:color w:val="000000" w:themeColor="text1"/>
        </w:rPr>
        <w:lastRenderedPageBreak/>
        <w:t>电磁兼容</w:t>
      </w:r>
      <w:bookmarkEnd w:id="12"/>
      <w:bookmarkEnd w:id="13"/>
      <w:bookmarkEnd w:id="14"/>
      <w:bookmarkEnd w:id="15"/>
      <w:r>
        <w:rPr>
          <w:rFonts w:hint="eastAsia"/>
          <w:color w:val="000000" w:themeColor="text1"/>
        </w:rPr>
        <w:t>要求</w:t>
      </w:r>
      <w:bookmarkEnd w:id="16"/>
    </w:p>
    <w:p w:rsidR="00AE68B7" w:rsidRDefault="00B4359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灯具的无线电骚扰特性应符合</w:t>
      </w:r>
      <w:r>
        <w:rPr>
          <w:rFonts w:hint="eastAsia"/>
          <w:color w:val="000000" w:themeColor="text1"/>
        </w:rPr>
        <w:t>GB 17743</w:t>
      </w:r>
      <w:r>
        <w:rPr>
          <w:rFonts w:hint="eastAsia"/>
          <w:color w:val="000000" w:themeColor="text1"/>
        </w:rPr>
        <w:t>的要求。</w:t>
      </w:r>
    </w:p>
    <w:p w:rsidR="00AE68B7" w:rsidRDefault="00B4359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灯具电磁兼容抗扰度应符合</w:t>
      </w:r>
      <w:r>
        <w:rPr>
          <w:rFonts w:hint="eastAsia"/>
          <w:color w:val="000000" w:themeColor="text1"/>
        </w:rPr>
        <w:t xml:space="preserve">GB/T 18595 </w:t>
      </w:r>
      <w:r>
        <w:rPr>
          <w:rFonts w:hint="eastAsia"/>
          <w:color w:val="000000" w:themeColor="text1"/>
        </w:rPr>
        <w:t>的要求。</w:t>
      </w:r>
    </w:p>
    <w:p w:rsidR="00AE68B7" w:rsidRDefault="00B4359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灯具的输入电流谐波应符合</w:t>
      </w:r>
      <w:r>
        <w:rPr>
          <w:rFonts w:hint="eastAsia"/>
          <w:color w:val="000000" w:themeColor="text1"/>
        </w:rPr>
        <w:t>GB l7625.1</w:t>
      </w:r>
      <w:r>
        <w:rPr>
          <w:rFonts w:hint="eastAsia"/>
          <w:color w:val="000000" w:themeColor="text1"/>
        </w:rPr>
        <w:t>的要求。</w:t>
      </w:r>
    </w:p>
    <w:p w:rsidR="00AE68B7" w:rsidRDefault="00B4359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电子控制装置应采用高压输出的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电子控制装置，输出电流不超过</w:t>
      </w:r>
      <w:r>
        <w:rPr>
          <w:rFonts w:hint="eastAsia"/>
          <w:color w:val="000000" w:themeColor="text1"/>
        </w:rPr>
        <w:t>1.5A</w:t>
      </w:r>
      <w:r>
        <w:rPr>
          <w:rFonts w:hint="eastAsia"/>
          <w:color w:val="000000" w:themeColor="text1"/>
        </w:rPr>
        <w:t>。并应符合</w:t>
      </w:r>
      <w:r>
        <w:rPr>
          <w:rFonts w:hint="eastAsia"/>
          <w:color w:val="000000" w:themeColor="text1"/>
        </w:rPr>
        <w:t>GB 19510.14</w:t>
      </w:r>
      <w:r>
        <w:rPr>
          <w:rFonts w:hint="eastAsia"/>
          <w:color w:val="000000" w:themeColor="text1"/>
        </w:rPr>
        <w:t>的规定。</w:t>
      </w:r>
    </w:p>
    <w:p w:rsidR="00AE68B7" w:rsidRDefault="00B4359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灯具的蓝光控制应符合</w:t>
      </w:r>
      <w:r>
        <w:rPr>
          <w:rFonts w:hint="eastAsia"/>
          <w:color w:val="000000" w:themeColor="text1"/>
        </w:rPr>
        <w:t>GB 7000.1</w:t>
      </w:r>
      <w:r>
        <w:rPr>
          <w:rFonts w:hint="eastAsia"/>
          <w:color w:val="000000" w:themeColor="text1"/>
        </w:rPr>
        <w:t>的规定。</w:t>
      </w:r>
    </w:p>
    <w:p w:rsidR="00AE68B7" w:rsidRDefault="00B4359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7" w:name="_Toc28959"/>
      <w:r>
        <w:rPr>
          <w:rFonts w:hint="eastAsia"/>
          <w:color w:val="000000" w:themeColor="text1"/>
        </w:rPr>
        <w:t>灯具寿命、光衰、散热等要求</w:t>
      </w:r>
      <w:bookmarkEnd w:id="17"/>
    </w:p>
    <w:p w:rsidR="00AE68B7" w:rsidRDefault="00B4359C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灯的光源寿命不低于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万小时。灯具的平均寿命应不低于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万小时。</w:t>
      </w:r>
    </w:p>
    <w:p w:rsidR="00AE68B7" w:rsidRDefault="00B4359C">
      <w:pPr>
        <w:numPr>
          <w:ilvl w:val="0"/>
          <w:numId w:val="12"/>
        </w:numPr>
        <w:spacing w:line="360" w:lineRule="auto"/>
        <w:ind w:firstLineChars="131" w:firstLine="421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灯在燃点</w:t>
      </w:r>
      <w:r>
        <w:rPr>
          <w:rFonts w:hint="eastAsia"/>
          <w:b/>
          <w:bCs/>
          <w:color w:val="000000" w:themeColor="text1"/>
          <w:sz w:val="32"/>
          <w:szCs w:val="32"/>
        </w:rPr>
        <w:t>3</w:t>
      </w:r>
      <w:r>
        <w:rPr>
          <w:rFonts w:hint="eastAsia"/>
          <w:b/>
          <w:bCs/>
          <w:color w:val="000000" w:themeColor="text1"/>
          <w:sz w:val="32"/>
          <w:szCs w:val="32"/>
        </w:rPr>
        <w:t>千小时时，其光</w:t>
      </w:r>
      <w:proofErr w:type="gramStart"/>
      <w:r>
        <w:rPr>
          <w:rFonts w:hint="eastAsia"/>
          <w:b/>
          <w:bCs/>
          <w:color w:val="000000" w:themeColor="text1"/>
          <w:sz w:val="32"/>
          <w:szCs w:val="32"/>
        </w:rPr>
        <w:t>通维持</w:t>
      </w:r>
      <w:proofErr w:type="gramEnd"/>
      <w:r>
        <w:rPr>
          <w:rFonts w:hint="eastAsia"/>
          <w:b/>
          <w:bCs/>
          <w:color w:val="000000" w:themeColor="text1"/>
          <w:sz w:val="32"/>
          <w:szCs w:val="32"/>
        </w:rPr>
        <w:t>率应不低于</w:t>
      </w:r>
      <w:r>
        <w:rPr>
          <w:rFonts w:hint="eastAsia"/>
          <w:b/>
          <w:bCs/>
          <w:color w:val="000000" w:themeColor="text1"/>
          <w:sz w:val="32"/>
          <w:szCs w:val="32"/>
        </w:rPr>
        <w:t>9</w:t>
      </w:r>
      <w:r>
        <w:rPr>
          <w:rFonts w:hint="eastAsia"/>
          <w:b/>
          <w:bCs/>
          <w:color w:val="000000" w:themeColor="text1"/>
          <w:sz w:val="32"/>
          <w:szCs w:val="32"/>
        </w:rPr>
        <w:t>6</w:t>
      </w:r>
      <w:r>
        <w:rPr>
          <w:rFonts w:hint="eastAsia"/>
          <w:b/>
          <w:bCs/>
          <w:color w:val="000000" w:themeColor="text1"/>
          <w:sz w:val="32"/>
          <w:szCs w:val="32"/>
        </w:rPr>
        <w:t>%</w:t>
      </w:r>
      <w:r>
        <w:rPr>
          <w:rFonts w:hint="eastAsia"/>
          <w:b/>
          <w:bCs/>
          <w:color w:val="000000" w:themeColor="text1"/>
          <w:sz w:val="32"/>
          <w:szCs w:val="32"/>
        </w:rPr>
        <w:t>；在燃点</w:t>
      </w:r>
      <w:r>
        <w:rPr>
          <w:rFonts w:hint="eastAsia"/>
          <w:b/>
          <w:bCs/>
          <w:color w:val="000000" w:themeColor="text1"/>
          <w:sz w:val="32"/>
          <w:szCs w:val="32"/>
        </w:rPr>
        <w:t>6</w:t>
      </w:r>
      <w:r>
        <w:rPr>
          <w:rFonts w:hint="eastAsia"/>
          <w:b/>
          <w:bCs/>
          <w:color w:val="000000" w:themeColor="text1"/>
          <w:sz w:val="32"/>
          <w:szCs w:val="32"/>
        </w:rPr>
        <w:t>千小时时，其光</w:t>
      </w:r>
      <w:proofErr w:type="gramStart"/>
      <w:r>
        <w:rPr>
          <w:rFonts w:hint="eastAsia"/>
          <w:b/>
          <w:bCs/>
          <w:color w:val="000000" w:themeColor="text1"/>
          <w:sz w:val="32"/>
          <w:szCs w:val="32"/>
        </w:rPr>
        <w:t>通维持</w:t>
      </w:r>
      <w:proofErr w:type="gramEnd"/>
      <w:r>
        <w:rPr>
          <w:rFonts w:hint="eastAsia"/>
          <w:b/>
          <w:bCs/>
          <w:color w:val="000000" w:themeColor="text1"/>
          <w:sz w:val="32"/>
          <w:szCs w:val="32"/>
        </w:rPr>
        <w:t>率应不低于</w:t>
      </w:r>
      <w:r>
        <w:rPr>
          <w:rFonts w:hint="eastAsia"/>
          <w:b/>
          <w:bCs/>
          <w:color w:val="000000" w:themeColor="text1"/>
          <w:sz w:val="32"/>
          <w:szCs w:val="32"/>
        </w:rPr>
        <w:t>92</w:t>
      </w:r>
      <w:r>
        <w:rPr>
          <w:rFonts w:hint="eastAsia"/>
          <w:b/>
          <w:bCs/>
          <w:color w:val="000000" w:themeColor="text1"/>
          <w:sz w:val="32"/>
          <w:szCs w:val="32"/>
        </w:rPr>
        <w:t>%</w:t>
      </w:r>
      <w:r>
        <w:rPr>
          <w:rFonts w:hint="eastAsia"/>
          <w:b/>
          <w:bCs/>
          <w:color w:val="000000" w:themeColor="text1"/>
          <w:sz w:val="32"/>
          <w:szCs w:val="32"/>
        </w:rPr>
        <w:t>。</w:t>
      </w:r>
    </w:p>
    <w:p w:rsidR="00AE68B7" w:rsidRDefault="00B4359C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灯的初始光通量（灯具入库或到达安装现场的时间点）可由制造商或销售商标称，但其实测值不得低于标称值的</w:t>
      </w:r>
      <w:r>
        <w:rPr>
          <w:rFonts w:hint="eastAsia"/>
          <w:color w:val="000000" w:themeColor="text1"/>
        </w:rPr>
        <w:t>95%</w:t>
      </w:r>
      <w:r>
        <w:rPr>
          <w:rFonts w:hint="eastAsia"/>
          <w:color w:val="000000" w:themeColor="text1"/>
        </w:rPr>
        <w:t>，不得高于标称值的</w:t>
      </w:r>
      <w:r>
        <w:rPr>
          <w:rFonts w:hint="eastAsia"/>
          <w:color w:val="000000" w:themeColor="text1"/>
        </w:rPr>
        <w:t>105%</w:t>
      </w:r>
      <w:r>
        <w:rPr>
          <w:rFonts w:hint="eastAsia"/>
          <w:color w:val="000000" w:themeColor="text1"/>
        </w:rPr>
        <w:t>。</w:t>
      </w:r>
    </w:p>
    <w:p w:rsidR="00AE68B7" w:rsidRDefault="00B4359C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灯具外壳温度满载负荷两小时候后，温度升高不大于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℃。现场安装后抽检灯具的外壳温度。芯片引脚满载两小时后，温度升高不大于</w:t>
      </w:r>
      <w:r>
        <w:rPr>
          <w:rFonts w:hint="eastAsia"/>
          <w:color w:val="000000" w:themeColor="text1"/>
        </w:rPr>
        <w:t>60</w:t>
      </w:r>
      <w:r>
        <w:rPr>
          <w:rFonts w:hint="eastAsia"/>
          <w:color w:val="000000" w:themeColor="text1"/>
        </w:rPr>
        <w:t>℃。</w:t>
      </w:r>
    </w:p>
    <w:p w:rsidR="00AE68B7" w:rsidRDefault="00B4359C">
      <w:pPr>
        <w:pStyle w:val="2"/>
        <w:numPr>
          <w:ilvl w:val="0"/>
          <w:numId w:val="3"/>
        </w:numPr>
        <w:spacing w:line="360" w:lineRule="auto"/>
        <w:rPr>
          <w:color w:val="000000" w:themeColor="text1"/>
        </w:rPr>
      </w:pPr>
      <w:bookmarkStart w:id="18" w:name="_Toc13459"/>
      <w:r>
        <w:rPr>
          <w:rFonts w:hint="eastAsia"/>
          <w:color w:val="000000" w:themeColor="text1"/>
        </w:rPr>
        <w:t>景观</w:t>
      </w:r>
      <w:r>
        <w:rPr>
          <w:rFonts w:hint="eastAsia"/>
          <w:color w:val="000000" w:themeColor="text1"/>
        </w:rPr>
        <w:t>灯具检测要求</w:t>
      </w:r>
      <w:bookmarkEnd w:id="18"/>
    </w:p>
    <w:p w:rsidR="00AE68B7" w:rsidRDefault="00B4359C">
      <w:pPr>
        <w:pStyle w:val="3"/>
        <w:numPr>
          <w:ilvl w:val="0"/>
          <w:numId w:val="13"/>
        </w:numPr>
        <w:spacing w:line="360" w:lineRule="auto"/>
        <w:ind w:leftChars="0" w:firstLineChars="0" w:hanging="5"/>
        <w:rPr>
          <w:color w:val="000000" w:themeColor="text1"/>
        </w:rPr>
      </w:pPr>
      <w:bookmarkStart w:id="19" w:name="_Toc30365"/>
      <w:r>
        <w:rPr>
          <w:rFonts w:hint="eastAsia"/>
          <w:color w:val="000000" w:themeColor="text1"/>
        </w:rPr>
        <w:t>说明</w:t>
      </w:r>
      <w:bookmarkEnd w:id="19"/>
    </w:p>
    <w:p w:rsidR="00AE68B7" w:rsidRDefault="00B4359C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执行，没有详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的，按照本通则执行。</w:t>
      </w:r>
    </w:p>
    <w:p w:rsidR="00AE68B7" w:rsidRDefault="00B4359C">
      <w:pPr>
        <w:spacing w:line="360" w:lineRule="auto"/>
        <w:ind w:firstLineChars="131" w:firstLine="421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所有检测机构均必须为“国家级权威检测机构”。</w:t>
      </w:r>
    </w:p>
    <w:p w:rsidR="00AE68B7" w:rsidRDefault="00B4359C">
      <w:pPr>
        <w:pStyle w:val="3"/>
        <w:numPr>
          <w:ilvl w:val="0"/>
          <w:numId w:val="13"/>
        </w:numPr>
        <w:spacing w:line="360" w:lineRule="auto"/>
        <w:ind w:leftChars="0" w:firstLineChars="0" w:hanging="5"/>
        <w:rPr>
          <w:color w:val="000000" w:themeColor="text1"/>
        </w:rPr>
      </w:pPr>
      <w:bookmarkStart w:id="20" w:name="_Toc6588"/>
      <w:r>
        <w:rPr>
          <w:rFonts w:hint="eastAsia"/>
          <w:color w:val="000000" w:themeColor="text1"/>
        </w:rPr>
        <w:t>灯具不同阶段检测项目</w:t>
      </w:r>
      <w:bookmarkEnd w:id="20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5805"/>
        <w:gridCol w:w="1465"/>
      </w:tblGrid>
      <w:tr w:rsidR="00AE68B7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质保期期间</w:t>
            </w:r>
          </w:p>
          <w:p w:rsidR="00AE68B7" w:rsidRDefault="00B4359C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全部灯具</w:t>
            </w:r>
          </w:p>
          <w:p w:rsidR="00AE68B7" w:rsidRDefault="00B4359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抽检项目</w:t>
            </w:r>
          </w:p>
        </w:tc>
      </w:tr>
      <w:tr w:rsidR="00AE68B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68B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电参数：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68B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光度参数：配光曲线、光强、光束角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/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半峰发散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角、光通量、整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灯光效、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√</w:t>
            </w:r>
          </w:p>
        </w:tc>
      </w:tr>
      <w:tr w:rsidR="00AE68B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68B7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防尘、防固体异物和防水：</w:t>
            </w:r>
          </w:p>
          <w:p w:rsidR="00AE68B7" w:rsidRDefault="00B4359C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地埋式灯具≥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IP67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68B7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68B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</w:tbl>
    <w:p w:rsidR="00AE68B7" w:rsidRDefault="00B4359C">
      <w:pPr>
        <w:pStyle w:val="3"/>
        <w:numPr>
          <w:ilvl w:val="0"/>
          <w:numId w:val="13"/>
        </w:numPr>
        <w:spacing w:line="360" w:lineRule="auto"/>
        <w:ind w:leftChars="0" w:firstLineChars="0" w:hanging="5"/>
        <w:rPr>
          <w:color w:val="000000" w:themeColor="text1"/>
        </w:rPr>
      </w:pPr>
      <w:bookmarkStart w:id="21" w:name="_Toc12436"/>
      <w:r>
        <w:rPr>
          <w:rFonts w:hint="eastAsia"/>
          <w:color w:val="000000" w:themeColor="text1"/>
        </w:rPr>
        <w:t>质保期期间灯具其他抽检项目</w:t>
      </w:r>
      <w:bookmarkEnd w:id="21"/>
    </w:p>
    <w:tbl>
      <w:tblPr>
        <w:tblW w:w="93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429"/>
        <w:gridCol w:w="7329"/>
      </w:tblGrid>
      <w:tr w:rsidR="00AE68B7">
        <w:trPr>
          <w:trHeight w:val="653"/>
          <w:tblHeader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E68B7" w:rsidRDefault="00B4359C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检测对象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</w:tr>
      <w:tr w:rsidR="00AE68B7">
        <w:trPr>
          <w:trHeight w:val="1424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外壳、外露安装支架、螺丝螺帽等附件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、必须采用高压铸铝合金、拉伸铝合金、以及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304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不锈钢等材质。</w:t>
            </w:r>
          </w:p>
        </w:tc>
      </w:tr>
      <w:tr w:rsidR="00AE68B7">
        <w:trPr>
          <w:trHeight w:val="479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电气安全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、外部接线和内部接线</w:t>
            </w:r>
          </w:p>
        </w:tc>
      </w:tr>
      <w:tr w:rsidR="00AE68B7">
        <w:trPr>
          <w:trHeight w:val="32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、潮湿后的绝缘电阻和电气强度</w:t>
            </w:r>
          </w:p>
        </w:tc>
      </w:tr>
      <w:tr w:rsidR="00AE68B7">
        <w:trPr>
          <w:trHeight w:val="148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、其他：防雷击、防静电能力、电磁干扰、灯具外壳温升等</w:t>
            </w:r>
          </w:p>
        </w:tc>
      </w:tr>
      <w:tr w:rsidR="00AE68B7">
        <w:trPr>
          <w:trHeight w:val="572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4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防护等级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numPr>
                <w:ilvl w:val="0"/>
                <w:numId w:val="14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地埋灯具防护等级不小于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IP67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。</w:t>
            </w:r>
          </w:p>
        </w:tc>
      </w:tr>
      <w:tr w:rsidR="00AE68B7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灯具寿命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及光衰</w:t>
            </w:r>
            <w:proofErr w:type="gramEnd"/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、颗粒寿命不低于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万小时；</w:t>
            </w:r>
          </w:p>
        </w:tc>
      </w:tr>
      <w:tr w:rsidR="00AE68B7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、灯具寿命不低于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万小时。</w:t>
            </w:r>
          </w:p>
        </w:tc>
      </w:tr>
      <w:tr w:rsidR="00AE68B7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AE68B7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、灯具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光衰符合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国标要求。</w:t>
            </w:r>
          </w:p>
        </w:tc>
      </w:tr>
      <w:tr w:rsidR="00AE68B7">
        <w:trPr>
          <w:trHeight w:val="159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驱动电源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、普通恒压恒流源驱动电源、小于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150W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可调节电压的驱动电源品牌限定使用“台湾明纬”、“茂硕”、“英飞特”、“欧司朗（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OSRAM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）”、“飞利浦（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PHILIPS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）”；</w:t>
            </w:r>
          </w:p>
        </w:tc>
      </w:tr>
      <w:tr w:rsidR="00AE68B7">
        <w:trPr>
          <w:trHeight w:val="38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配光曲线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8B7" w:rsidRDefault="00B4359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光强、光通量、出光角度、色漂移、色容差、色一致性</w:t>
            </w:r>
          </w:p>
        </w:tc>
      </w:tr>
    </w:tbl>
    <w:p w:rsidR="00AE68B7" w:rsidRDefault="00B4359C">
      <w:pPr>
        <w:pStyle w:val="2"/>
        <w:numPr>
          <w:ilvl w:val="0"/>
          <w:numId w:val="3"/>
        </w:numPr>
        <w:spacing w:line="360" w:lineRule="auto"/>
        <w:rPr>
          <w:color w:val="000000" w:themeColor="text1"/>
        </w:rPr>
      </w:pPr>
      <w:bookmarkStart w:id="22" w:name="_Toc694"/>
      <w:r>
        <w:rPr>
          <w:rFonts w:hint="eastAsia"/>
          <w:color w:val="000000" w:themeColor="text1"/>
        </w:rPr>
        <w:lastRenderedPageBreak/>
        <w:t>所有设施运输要求</w:t>
      </w:r>
      <w:bookmarkEnd w:id="22"/>
    </w:p>
    <w:p w:rsidR="00AE68B7" w:rsidRDefault="00B4359C">
      <w:pPr>
        <w:pStyle w:val="3"/>
        <w:numPr>
          <w:ilvl w:val="0"/>
          <w:numId w:val="15"/>
        </w:numPr>
        <w:spacing w:line="360" w:lineRule="auto"/>
        <w:ind w:leftChars="0" w:firstLineChars="0" w:hanging="5"/>
        <w:rPr>
          <w:color w:val="000000" w:themeColor="text1"/>
        </w:rPr>
      </w:pPr>
      <w:bookmarkStart w:id="23" w:name="_Toc28100"/>
      <w:r>
        <w:rPr>
          <w:rFonts w:hint="eastAsia"/>
          <w:color w:val="000000" w:themeColor="text1"/>
        </w:rPr>
        <w:t>说明</w:t>
      </w:r>
      <w:bookmarkEnd w:id="23"/>
    </w:p>
    <w:p w:rsidR="00AE68B7" w:rsidRDefault="00B4359C">
      <w:pPr>
        <w:pStyle w:val="Style2"/>
        <w:snapToGrid w:val="0"/>
        <w:spacing w:line="360" w:lineRule="auto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技术文件详参有规定的，按详</w:t>
      </w:r>
      <w:proofErr w:type="gramStart"/>
      <w:r>
        <w:rPr>
          <w:rFonts w:ascii="宋体" w:hAnsi="宋体" w:cs="宋体" w:hint="eastAsia"/>
          <w:color w:val="000000" w:themeColor="text1"/>
          <w:szCs w:val="21"/>
        </w:rPr>
        <w:t>参规定</w:t>
      </w:r>
      <w:proofErr w:type="gramEnd"/>
      <w:r>
        <w:rPr>
          <w:rFonts w:ascii="宋体" w:hAnsi="宋体" w:cs="宋体" w:hint="eastAsia"/>
          <w:color w:val="000000" w:themeColor="text1"/>
          <w:szCs w:val="21"/>
        </w:rPr>
        <w:t>执行，没有详</w:t>
      </w:r>
      <w:proofErr w:type="gramStart"/>
      <w:r>
        <w:rPr>
          <w:rFonts w:ascii="宋体" w:hAnsi="宋体" w:cs="宋体" w:hint="eastAsia"/>
          <w:color w:val="000000" w:themeColor="text1"/>
          <w:szCs w:val="21"/>
        </w:rPr>
        <w:t>参规定</w:t>
      </w:r>
      <w:proofErr w:type="gramEnd"/>
      <w:r>
        <w:rPr>
          <w:rFonts w:ascii="宋体" w:hAnsi="宋体" w:cs="宋体" w:hint="eastAsia"/>
          <w:color w:val="000000" w:themeColor="text1"/>
          <w:szCs w:val="21"/>
        </w:rPr>
        <w:t>的，按照本通则执行。</w:t>
      </w:r>
    </w:p>
    <w:p w:rsidR="00AE68B7" w:rsidRDefault="00B4359C">
      <w:pPr>
        <w:pStyle w:val="Style2"/>
        <w:snapToGrid w:val="0"/>
        <w:spacing w:line="360" w:lineRule="auto"/>
        <w:ind w:firstLine="480"/>
        <w:rPr>
          <w:rFonts w:ascii="宋体" w:eastAsiaTheme="minorEastAsia" w:hAnsi="宋体" w:cs="宋体"/>
          <w:szCs w:val="21"/>
        </w:rPr>
      </w:pPr>
      <w:r>
        <w:rPr>
          <w:rFonts w:ascii="宋体" w:hAnsi="宋体" w:cs="宋体" w:hint="eastAsia"/>
          <w:color w:val="000000" w:themeColor="text1"/>
          <w:sz w:val="24"/>
        </w:rPr>
        <w:t>包装应牢固，保证在运输过程中包捆不松动，避免构件之间、构件与包装物之间相互磨擦，损坏表面处理层。钢管管体的突出部分，如法兰、节点板等，采</w:t>
      </w:r>
      <w:r>
        <w:rPr>
          <w:rFonts w:ascii="宋体" w:hAnsi="宋体" w:cs="宋体" w:hint="eastAsia"/>
          <w:sz w:val="24"/>
        </w:rPr>
        <w:t>用有弹性、牢固的包装物包装。包装应采用合理的包装材料（草包、垫木、晴纶带、支架、打包带、打包扣、胶带等），采用合理的包装方式保证钢杆镀锌层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喷塑层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黑杆在储存、运输过程中不会因为颠簸、碰撞而表面划伤和变形。</w:t>
      </w:r>
    </w:p>
    <w:p w:rsidR="00AE68B7" w:rsidRDefault="00B4359C">
      <w:pPr>
        <w:pStyle w:val="3"/>
        <w:numPr>
          <w:ilvl w:val="0"/>
          <w:numId w:val="15"/>
        </w:numPr>
        <w:spacing w:line="360" w:lineRule="auto"/>
        <w:ind w:leftChars="0" w:firstLineChars="0" w:hanging="5"/>
      </w:pPr>
      <w:bookmarkStart w:id="24" w:name="_Toc5657"/>
      <w:r>
        <w:rPr>
          <w:rFonts w:hint="eastAsia"/>
        </w:rPr>
        <w:t>运输用基本设备及常用材料</w:t>
      </w:r>
      <w:bookmarkEnd w:id="24"/>
    </w:p>
    <w:p w:rsidR="00AE68B7" w:rsidRDefault="00B4359C">
      <w:pPr>
        <w:spacing w:line="360" w:lineRule="auto"/>
        <w:ind w:firstLineChars="200" w:firstLine="420"/>
      </w:pPr>
      <w:r>
        <w:t>a.</w:t>
      </w:r>
      <w:r>
        <w:rPr>
          <w:rFonts w:hint="eastAsia"/>
        </w:rPr>
        <w:t>行车；</w:t>
      </w:r>
      <w:r>
        <w:t>b.</w:t>
      </w:r>
      <w:r>
        <w:rPr>
          <w:rFonts w:hint="eastAsia"/>
        </w:rPr>
        <w:t>叉车；</w:t>
      </w:r>
      <w:r>
        <w:t>c.</w:t>
      </w:r>
      <w:r>
        <w:rPr>
          <w:rFonts w:hint="eastAsia"/>
        </w:rPr>
        <w:t>各种规格的胶合板垫木；</w:t>
      </w:r>
      <w:r>
        <w:t>d.</w:t>
      </w:r>
      <w:r>
        <w:rPr>
          <w:rFonts w:hint="eastAsia"/>
        </w:rPr>
        <w:t>带塑料保护套的钢丝绳、紧固拉钩套件、</w:t>
      </w:r>
      <w:proofErr w:type="gramStart"/>
      <w:r>
        <w:rPr>
          <w:rFonts w:hint="eastAsia"/>
        </w:rPr>
        <w:t>花兰</w:t>
      </w:r>
      <w:proofErr w:type="gramEnd"/>
      <w:r>
        <w:rPr>
          <w:rFonts w:hint="eastAsia"/>
        </w:rPr>
        <w:t>螺丝、捆绑器、钢钉；</w:t>
      </w:r>
      <w:r>
        <w:t>e.</w:t>
      </w:r>
      <w:r>
        <w:rPr>
          <w:rFonts w:hint="eastAsia"/>
        </w:rPr>
        <w:t>晴纶卷、橡胶板、稻草绳；</w:t>
      </w:r>
      <w:r>
        <w:t>f.</w:t>
      </w:r>
      <w:r>
        <w:rPr>
          <w:rFonts w:hint="eastAsia"/>
        </w:rPr>
        <w:t>钢制打包带；</w:t>
      </w:r>
      <w:r>
        <w:t>g.</w:t>
      </w:r>
      <w:r>
        <w:rPr>
          <w:rFonts w:hint="eastAsia"/>
        </w:rPr>
        <w:t>发泡塑料（喷塑杆专用）；</w:t>
      </w:r>
      <w:r>
        <w:t>h.</w:t>
      </w:r>
      <w:r>
        <w:rPr>
          <w:rFonts w:hint="eastAsia"/>
        </w:rPr>
        <w:t>尼龙绳（用于替代目前喷塑杆包装中使用的草绳）；</w:t>
      </w:r>
      <w:proofErr w:type="spellStart"/>
      <w:r>
        <w:t>i</w:t>
      </w:r>
      <w:proofErr w:type="spellEnd"/>
      <w:r>
        <w:t>.</w:t>
      </w:r>
      <w:r>
        <w:rPr>
          <w:rFonts w:hint="eastAsia"/>
        </w:rPr>
        <w:t>胶合板配件箱；</w:t>
      </w:r>
      <w:r>
        <w:t>j.</w:t>
      </w:r>
      <w:r>
        <w:rPr>
          <w:rFonts w:hint="eastAsia"/>
        </w:rPr>
        <w:t>木料切割机；</w:t>
      </w:r>
      <w:r>
        <w:t>k.</w:t>
      </w:r>
      <w:r>
        <w:rPr>
          <w:rFonts w:hint="eastAsia"/>
        </w:rPr>
        <w:t>镀锌螺丝及螺母（用于小部件固定）。</w:t>
      </w:r>
    </w:p>
    <w:p w:rsidR="00AE68B7" w:rsidRDefault="00AE68B7"/>
    <w:bookmarkEnd w:id="0"/>
    <w:bookmarkEnd w:id="1"/>
    <w:p w:rsidR="00AE68B7" w:rsidRDefault="00B4359C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AE68B7" w:rsidRDefault="00B4359C" w:rsidP="00B4359C">
      <w:pPr>
        <w:pStyle w:val="1"/>
        <w:spacing w:before="156" w:after="468" w:line="360" w:lineRule="auto"/>
        <w:ind w:left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三、灯具详参</w:t>
      </w:r>
    </w:p>
    <w:p w:rsidR="00AE68B7" w:rsidRDefault="00B4359C">
      <w:pPr>
        <w:pStyle w:val="3"/>
        <w:ind w:leftChars="0" w:left="0" w:firstLineChars="0" w:firstLine="0"/>
      </w:pPr>
      <w:r>
        <w:rPr>
          <w:rFonts w:hint="eastAsia"/>
        </w:rPr>
        <w:t>2</w:t>
      </w:r>
      <w:r>
        <w:rPr>
          <w:rFonts w:hint="eastAsia"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LED</w:t>
      </w:r>
      <w:r>
        <w:rPr>
          <w:rFonts w:hint="eastAsia"/>
        </w:rPr>
        <w:t>地</w:t>
      </w:r>
      <w:r>
        <w:rPr>
          <w:rFonts w:hint="eastAsia"/>
        </w:rPr>
        <w:t>砖</w:t>
      </w:r>
      <w:r>
        <w:rPr>
          <w:rFonts w:hint="eastAsia"/>
        </w:rPr>
        <w:t>灯</w:t>
      </w:r>
      <w:r>
        <w:rPr>
          <w:rFonts w:hint="eastAsia"/>
        </w:rPr>
        <w:t>（自发光，</w:t>
      </w:r>
      <w:r>
        <w:rPr>
          <w:rFonts w:hint="eastAsia"/>
        </w:rPr>
        <w:t>2200K</w:t>
      </w:r>
      <w:r>
        <w:rPr>
          <w:rFonts w:hint="eastAsia"/>
        </w:rPr>
        <w:t>，静态</w:t>
      </w:r>
      <w:r>
        <w:rPr>
          <w:rFonts w:hint="eastAsia"/>
        </w:rPr>
        <w:t>）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1214"/>
        <w:gridCol w:w="2058"/>
        <w:gridCol w:w="1181"/>
        <w:gridCol w:w="1015"/>
        <w:gridCol w:w="118"/>
        <w:gridCol w:w="1798"/>
      </w:tblGrid>
      <w:tr w:rsidR="00AE68B7">
        <w:trPr>
          <w:trHeight w:val="1800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:rsidR="00AE68B7" w:rsidRDefault="00B43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2999105" cy="1475105"/>
                  <wp:effectExtent l="0" t="0" r="10795" b="10795"/>
                  <wp:docPr id="11" name="图片 11" descr="QQ截图20200630104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QQ截图2020063010442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105" cy="147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B7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AE68B7" w:rsidRDefault="00B4359C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L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AE68B7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宽度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W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AE68B7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高度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H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AE68B7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不锈钢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灯体</w:t>
            </w:r>
          </w:p>
        </w:tc>
      </w:tr>
      <w:tr w:rsidR="00AE68B7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AE68B7" w:rsidRDefault="00AE68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厚度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磨砂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钢化玻璃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防滑、防眩光</w:t>
            </w:r>
          </w:p>
        </w:tc>
      </w:tr>
      <w:tr w:rsidR="00AE68B7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AE68B7" w:rsidRDefault="00AE68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AE68B7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AE68B7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384" w:type="dxa"/>
            <w:gridSpan w:val="6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  <w:tr w:rsidR="00AE68B7">
        <w:trPr>
          <w:trHeight w:val="90"/>
        </w:trPr>
        <w:tc>
          <w:tcPr>
            <w:tcW w:w="1259" w:type="dxa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控制系统</w:t>
            </w:r>
          </w:p>
        </w:tc>
        <w:tc>
          <w:tcPr>
            <w:tcW w:w="7384" w:type="dxa"/>
            <w:gridSpan w:val="6"/>
            <w:shd w:val="clear" w:color="auto" w:fill="auto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无控制，静态</w:t>
            </w:r>
          </w:p>
        </w:tc>
      </w:tr>
      <w:tr w:rsidR="00AE68B7">
        <w:trPr>
          <w:trHeight w:val="90"/>
        </w:trPr>
        <w:tc>
          <w:tcPr>
            <w:tcW w:w="1259" w:type="dxa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备注</w:t>
            </w:r>
          </w:p>
        </w:tc>
        <w:tc>
          <w:tcPr>
            <w:tcW w:w="7384" w:type="dxa"/>
            <w:gridSpan w:val="6"/>
            <w:vAlign w:val="center"/>
          </w:tcPr>
          <w:p w:rsidR="00AE68B7" w:rsidRDefault="00B43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灯具为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无边框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设计，灯具表面纹理、颜色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可按业主方要求调整。</w:t>
            </w:r>
          </w:p>
        </w:tc>
      </w:tr>
    </w:tbl>
    <w:p w:rsidR="00AE68B7" w:rsidRDefault="00AE68B7">
      <w:pPr>
        <w:rPr>
          <w:color w:val="000000" w:themeColor="text1"/>
        </w:rPr>
      </w:pPr>
    </w:p>
    <w:sectPr w:rsidR="00AE68B7" w:rsidSect="00AE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2A64AE1E"/>
    <w:multiLevelType w:val="singleLevel"/>
    <w:tmpl w:val="2A64AE1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2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13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3"/>
  </w:num>
  <w:num w:numId="5">
    <w:abstractNumId w:val="11"/>
  </w:num>
  <w:num w:numId="6">
    <w:abstractNumId w:val="14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AE68B7"/>
    <w:rsid w:val="00B4359C"/>
    <w:rsid w:val="014B74C7"/>
    <w:rsid w:val="02BA4C6C"/>
    <w:rsid w:val="03CD13DA"/>
    <w:rsid w:val="042C5579"/>
    <w:rsid w:val="04A84BD9"/>
    <w:rsid w:val="05AF0FCF"/>
    <w:rsid w:val="08797FD6"/>
    <w:rsid w:val="09937165"/>
    <w:rsid w:val="0A510430"/>
    <w:rsid w:val="0A781F85"/>
    <w:rsid w:val="0B613AB0"/>
    <w:rsid w:val="0D2E168D"/>
    <w:rsid w:val="0DEF7F63"/>
    <w:rsid w:val="0E4973BC"/>
    <w:rsid w:val="103A1F29"/>
    <w:rsid w:val="109814D9"/>
    <w:rsid w:val="111400D4"/>
    <w:rsid w:val="11E43159"/>
    <w:rsid w:val="150F5927"/>
    <w:rsid w:val="15DA07E7"/>
    <w:rsid w:val="17D10FA2"/>
    <w:rsid w:val="19D65259"/>
    <w:rsid w:val="1BA11235"/>
    <w:rsid w:val="1BE11748"/>
    <w:rsid w:val="1C4D22F6"/>
    <w:rsid w:val="1F642BEB"/>
    <w:rsid w:val="20603666"/>
    <w:rsid w:val="20BC1EB4"/>
    <w:rsid w:val="22EF0956"/>
    <w:rsid w:val="25635821"/>
    <w:rsid w:val="28E22150"/>
    <w:rsid w:val="2B953093"/>
    <w:rsid w:val="2C0B0621"/>
    <w:rsid w:val="2EAA5355"/>
    <w:rsid w:val="2EF343C6"/>
    <w:rsid w:val="2F505F4F"/>
    <w:rsid w:val="2F654711"/>
    <w:rsid w:val="31FC3E53"/>
    <w:rsid w:val="32D66860"/>
    <w:rsid w:val="34932E78"/>
    <w:rsid w:val="3759097C"/>
    <w:rsid w:val="395C23ED"/>
    <w:rsid w:val="3A6F02F5"/>
    <w:rsid w:val="3A7B5444"/>
    <w:rsid w:val="3B132F39"/>
    <w:rsid w:val="3B6A445F"/>
    <w:rsid w:val="3D4946EC"/>
    <w:rsid w:val="3E2F627E"/>
    <w:rsid w:val="401D1BEB"/>
    <w:rsid w:val="401E28B5"/>
    <w:rsid w:val="40DD0224"/>
    <w:rsid w:val="4290784E"/>
    <w:rsid w:val="42F37511"/>
    <w:rsid w:val="451B39D6"/>
    <w:rsid w:val="473153F2"/>
    <w:rsid w:val="49C850B7"/>
    <w:rsid w:val="4B53222C"/>
    <w:rsid w:val="4BC77245"/>
    <w:rsid w:val="4D4829BD"/>
    <w:rsid w:val="4E360D52"/>
    <w:rsid w:val="52654ACB"/>
    <w:rsid w:val="52945B7E"/>
    <w:rsid w:val="56BD46A2"/>
    <w:rsid w:val="570F2B5E"/>
    <w:rsid w:val="575212F5"/>
    <w:rsid w:val="57627C85"/>
    <w:rsid w:val="579B048A"/>
    <w:rsid w:val="579F7F3B"/>
    <w:rsid w:val="58147942"/>
    <w:rsid w:val="589E3461"/>
    <w:rsid w:val="5A1A1178"/>
    <w:rsid w:val="5A6F0679"/>
    <w:rsid w:val="5B433504"/>
    <w:rsid w:val="5BCD43AF"/>
    <w:rsid w:val="5BDB6051"/>
    <w:rsid w:val="5C7A5698"/>
    <w:rsid w:val="5ED807CD"/>
    <w:rsid w:val="60AC7673"/>
    <w:rsid w:val="619D78E6"/>
    <w:rsid w:val="61B55DFE"/>
    <w:rsid w:val="61CB26FF"/>
    <w:rsid w:val="62C75006"/>
    <w:rsid w:val="6412433C"/>
    <w:rsid w:val="642F5FD1"/>
    <w:rsid w:val="64CB354D"/>
    <w:rsid w:val="667607F7"/>
    <w:rsid w:val="679F5049"/>
    <w:rsid w:val="682313FD"/>
    <w:rsid w:val="685C516A"/>
    <w:rsid w:val="6A9441D6"/>
    <w:rsid w:val="6C6961FE"/>
    <w:rsid w:val="6C914507"/>
    <w:rsid w:val="6DF94BFC"/>
    <w:rsid w:val="6E3B04A3"/>
    <w:rsid w:val="6E5A0C05"/>
    <w:rsid w:val="6E8F34B7"/>
    <w:rsid w:val="6EF05F17"/>
    <w:rsid w:val="709134A6"/>
    <w:rsid w:val="73CA0D6B"/>
    <w:rsid w:val="74A44CE2"/>
    <w:rsid w:val="789D7749"/>
    <w:rsid w:val="79163FF8"/>
    <w:rsid w:val="7A8E048C"/>
    <w:rsid w:val="7E42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8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E68B7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unhideWhenUsed/>
    <w:qFormat/>
    <w:rsid w:val="00AE68B7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AE68B7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E68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AE68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3">
    <w:name w:val="WPSOffice手动目录 3"/>
    <w:qFormat/>
    <w:rsid w:val="00AE68B7"/>
    <w:pPr>
      <w:ind w:leftChars="400" w:left="400"/>
    </w:pPr>
    <w:rPr>
      <w:rFonts w:ascii="Times New Roman" w:hAnsi="Times New Roman"/>
    </w:rPr>
  </w:style>
  <w:style w:type="paragraph" w:customStyle="1" w:styleId="Style2">
    <w:name w:val="_Style 2"/>
    <w:basedOn w:val="a"/>
    <w:qFormat/>
    <w:rsid w:val="00AE68B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列出段落1"/>
    <w:basedOn w:val="a"/>
    <w:qFormat/>
    <w:rsid w:val="00AE68B7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3">
    <w:name w:val="_Style 3"/>
    <w:basedOn w:val="a"/>
    <w:qFormat/>
    <w:rsid w:val="00AE68B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3429</Words>
  <Characters>541</Characters>
  <Application>Microsoft Office Word</Application>
  <DocSecurity>0</DocSecurity>
  <Lines>4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邹文斌</cp:lastModifiedBy>
  <cp:revision>2</cp:revision>
  <dcterms:created xsi:type="dcterms:W3CDTF">2019-12-18T07:53:00Z</dcterms:created>
  <dcterms:modified xsi:type="dcterms:W3CDTF">2020-07-30T07:31:00Z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