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项目需求及服务要求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第一条 服务范围与内容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一、服务范围：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（1）市体育馆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体育馆项目占地面积26640平米，总建筑面积是1.6万平米，主场馆约2000平米，座位数3005座，二楼篮排馆和乒羽馆分别为960平米，一楼公共区域卫生及5个卫生间，二楼公共区域及平台，地下一层停车场79个停车位，外围停车场及行车道路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（2）市体育场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体育场总占地面积120亩，总建筑面积16000平方米，健身广场约10000平米、停车位约350个、田径训练场约7000平米、沥青道路19000平米、儿童乐园及小型足球场1100平米等。一楼外圈未出租房屋及功能性用房。二楼平台及看台 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（3）定西市体育公园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定西市体育公园占地面积26000平方米，其中运动场地8400平米，内设笼式足球场一块、室外篮球场4块、乒乓球台案12块，健身卵石路、健身步道等体育场地设施。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（4）定西市田径场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属全塑胶、天然草坪足球场的标准400米田径场，包括一块160平米电子显示屏1块。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（5）定西市全民健身中心二楼乒羽馆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建筑面积1600平方米。二层乒乓球和羽毛球训练场地，主要有22张乒乓球台案，11块羽毛球场地。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（6）定西露天灯光球场建筑总面积约1248.92平米，总占地面积3100平方米，可容纳观众5000人。场内布置篮球标准比赛场地，四周为水泥看台。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（7）体育馆周边5000平方米的绿化。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二、服务内容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（一）场馆营业人员管理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1、检查区域内设施设备及场地的完整性，如发现设施设备有损坏情况应及时汇报场地部。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2、上班人员应时刻坚守值班处，对入场健身会员及时刷卡，不能随意擅离职守。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3、上班期间时刻保持场馆的整洁有序。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明服务，热情待人，言语和气，礼貌周到；严禁与健身会员发生口角冲突。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5、工作时间内禁止参与任何体育活动。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6、发现异常情况应及时向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场地部汇报。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8、场馆内设备器材摆放应在交接班或下班时摆放整齐。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9、闭馆时关闭场馆内所有电源，防止安全隐患。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10、爱护公共财产，爱护清洁工具，爱岗敬业。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11、场馆内保持环境整洁，保洁及卫生参照日常保洁服务标准。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12、会员卡及电脑收费系统由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管理，日常保洁及养护、维护由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负责管理。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（二）保洁服务内容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1、负责各场馆日常运营的卫生清洁及消杀消毒工作，具体时间以各场馆运营时间为准，保洁区域包括外围道路。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2、负责项目建筑物每层层高6米以下位置（除外墙无平台区域）的清洁及乱涂写、乱张贴的清除。</w:t>
      </w:r>
      <w:bookmarkStart w:id="0" w:name="_Hlk33541077"/>
      <w:r>
        <w:rPr>
          <w:rFonts w:hint="eastAsia" w:ascii="仿宋" w:hAnsi="仿宋" w:eastAsia="仿宋" w:cs="仿宋"/>
          <w:sz w:val="28"/>
          <w:szCs w:val="28"/>
        </w:rPr>
        <w:t>商业街外墙玻璃每年需清洗一次。</w:t>
      </w:r>
      <w:bookmarkEnd w:id="0"/>
      <w:r>
        <w:rPr>
          <w:rFonts w:hint="eastAsia" w:ascii="仿宋" w:hAnsi="仿宋" w:eastAsia="仿宋" w:cs="仿宋"/>
          <w:sz w:val="28"/>
          <w:szCs w:val="28"/>
        </w:rPr>
        <w:t>超过以上范围外墙区域如需清洗，将另行进行核算。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3、保洁范围内垃圾桶及果皮箱按位摆放、定期清洗、垃圾及时清理。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4、保洁范围内乱丢(倒)的生活垃圾、无主的建筑垃圾及黄土滴洒漏等污染应及时负责清理。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5、花园、广场、硬化路面有专人负责循环清洁，及时清除地面油污渍、粘附物。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6、负责项目内雨水井沟清扫。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7、配合做好各级环卫主管部门、监督部门及业主单位的检查评比工作。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8、如发生冬雪季，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要在第一时间组织人员清除积雪，迅速恢复现场环境。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9、其它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委托的事项和临时安排的工作。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（三）绿化养护内容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1、乔灌木生长较好，生长季节黄叶株在3％以下。  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2、树木留枝均匀，树形美观。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3、绿篱、花篱生长较好，死株、缺株率在2％以下。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4、草坪叶色正常，坪面平整，修剪高度6—8cm，斑秃柏黄翠在5％以下。     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5、花坛整体观赏效果好，保持二季有花。 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6、树木花草病虫危害率在8％以下。 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7、树木花草无明显人为损害，无张贴，无乱刻乱画，无乱折乱摘，乱踩乱踏现象。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8、绿地杂草率在8％以下，卫生状况好。 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9、新植树成活率在95%以上，原有树木保存率在98％以上，老树保存率在99%以上。     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10、园林设施无明显损坏。 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11、公园绿地内无乱设商业服务摊点现象。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12、现有树木签订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后由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养护，如出现因养护原因死亡，由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进行补植补造。如出现人力不可抗拒原因死亡（地震、冰雹、地面塌陷等），双方本着友好协商的原则，共同商议所产生费用的承担方式，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采购苗木及树木，人员成本由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承担费用，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提供发票，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在每季度支付物业服务费时一并支付。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（四）维护维修内容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1、负责物业范围内机电设备、给排水、外装饰、办公电器设备的管理、维护和保养。其中，关键办公区域的设施设备管理、维护和保养应在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 xml:space="preserve">指定专业技术人员的指导下实施。 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2、负责高、低压变配电设施、设备的日常管理、使用、保养和一 般性维修。按照变压器、配电柜管理规范和值班巡查，并做好记录。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3、负责场馆备用发电机组的日常管理、使用和保养，要求每月开机运转一次（30 分钟/次）。电工必须熟练掌握备用发电机组供电与市电之间的转换。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4、物业主体及内外装饰的日常管理以及配套设施的日常管理、养护和一般性维修。包括各层办公室、会议室、地下室（车库、人防工程）、屋顶、内外墙面、地面、楼梯走道、走廊、层间大厅（中庭）、 天花、洗手间、茶水间、阳台、门窗门锁，防火门、光棚、围栏等。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5、物业共用设施和附属建筑物、构筑物的一般性维修、养护和管理，包括道路、院墙、室外上下水管道、沟渠、池（化粪池隔油池）井。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6、除高压电房以外的所有水、电设备设施，全部机电设备设施的日常管理、保养和一般性维修工作。包括：给排水系统、照明及动力电系统、监控防盗系统、会议设备系统、通信设备系统、外墙灯饰等等。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7、给排水系统：雨水管、排污管、给水管、天面水池（消防、生活）、地下生活水池、集水池、集水泵、进水泵房、进定西市体育运动中心物业管理方案 54 水阀门等全部水系统的日常管理、保养、一般性维修和急修。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8、照明及动力等电力系统：包括低压配电房末级开关后的电力系统。各层室内外照明、开关插座、所有配电房，母线排及各线路的一般性保养、检查、维修和更换工作。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 xml:space="preserve">、安全监视控制系统：监控主机系统、每层监控摄像点、每层红外线防盗点、录像设备、电脑抓拍即时打印设备的日常管理和使用， 并负责与安全监视控制系统维修保养公司的协调配合、联系及监督工作。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、通信设备系统：负责对物业范围内的通信设备系统的日常管理，维护保养，监督配合专业公司维修工作。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 xml:space="preserve">、外饰：夜饰照明系统的日常管理、使用和一般性维修。四大节日期间的装饰工作（含单项 500 元以下的装饰所用材料）。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、设立24小时工程技术人员值班备勤岗1个，随时接受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报修，满足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各部门的工作需要（属专业保养公司维修范畴的由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 xml:space="preserve">联系并监督）。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、与物业相关的工程图纸、竣工验收资料、设备说明书、使用手册等由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管理，物业管理公司可借阅。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、在满足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使用要求的前提下，合理控制机电设备和照明的开关时间，尽量节省能源。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、所有小型维修，由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罗列所需材料，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负责采购，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负责所需人员的配备。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、单次维修需要5人（含5人）的为小型维修；单次维修需要6人（含6人）的为大型维修，大型维修双方本着友好协商的原则，共同商议所产生费用的承担方式。人员成本比较高需要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承担的费用，由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提供发票，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在每季度支付物业服务费时一并支付。</w:t>
      </w:r>
    </w:p>
    <w:p>
      <w:pPr>
        <w:pStyle w:val="2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人员配置汇总表：</w:t>
      </w:r>
    </w:p>
    <w:tbl>
      <w:tblPr>
        <w:tblStyle w:val="5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359"/>
        <w:gridCol w:w="1314"/>
        <w:gridCol w:w="2302"/>
        <w:gridCol w:w="1781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85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场馆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岗位数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服务范围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费用单价（月）</w:t>
            </w: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费用单价（年）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定西市体育运动中心</w:t>
            </w: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体育馆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体育场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体育公园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田径场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灯光球场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环境维护、LED屏幕播放、治安管理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全民健身中心二楼乒羽馆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环境维护、会员卡管理、治安管理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体育馆二楼乒羽馆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环境维护、会员卡管理、治安管理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体育馆二楼篮排馆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环境维护、会员卡管理、治安管理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体育馆周边绿化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绿植养护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公共区域 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环境维护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085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所有区域内水电暖维修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范围内维修</w:t>
            </w: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85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管理员</w:t>
            </w: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顾问</w:t>
            </w: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085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计</w:t>
            </w:r>
          </w:p>
        </w:tc>
        <w:tc>
          <w:tcPr>
            <w:tcW w:w="1359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2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pacing w:after="180" w:afterLine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在赛事活动及演艺活动期间应全力配合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做好保洁人员调整部署及增加。在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提出需求时，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必须无条件配合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费用结算方式：临时增加人员和原有人员安排加班时按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时薪（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单价/月除以30天除以8小时）结算。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第二条  服务期限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1、服务期限：服务期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一年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每月实行评分考核制，具体评分方式在本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</w:t>
      </w:r>
      <w:bookmarkStart w:id="41" w:name="_GoBack"/>
      <w:bookmarkEnd w:id="41"/>
      <w:r>
        <w:rPr>
          <w:rFonts w:hint="eastAsia" w:ascii="仿宋" w:hAnsi="仿宋" w:eastAsia="仿宋" w:cs="仿宋"/>
          <w:sz w:val="28"/>
          <w:szCs w:val="28"/>
        </w:rPr>
        <w:t>附件二，若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连续三个月评分为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80</w:t>
      </w:r>
      <w:r>
        <w:rPr>
          <w:rFonts w:hint="eastAsia" w:ascii="仿宋" w:hAnsi="仿宋" w:eastAsia="仿宋" w:cs="仿宋"/>
          <w:sz w:val="28"/>
          <w:szCs w:val="28"/>
        </w:rPr>
        <w:t>分以下，则自行解除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第三条  服务标准与考核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按本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</w:t>
      </w:r>
      <w:r>
        <w:rPr>
          <w:rFonts w:hint="eastAsia" w:ascii="仿宋" w:hAnsi="仿宋" w:eastAsia="仿宋" w:cs="仿宋"/>
          <w:sz w:val="28"/>
          <w:szCs w:val="28"/>
        </w:rPr>
        <w:t>附件一《日常保洁服务标准》列明标准提供保洁服务。如有附件未明确事项，应按不低于通常保洁要求的标准执行。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按照本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</w:t>
      </w:r>
      <w:r>
        <w:rPr>
          <w:rFonts w:hint="eastAsia" w:ascii="仿宋" w:hAnsi="仿宋" w:eastAsia="仿宋" w:cs="仿宋"/>
          <w:sz w:val="28"/>
          <w:szCs w:val="28"/>
        </w:rPr>
        <w:t>附件二《日常保洁考核表》，对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 xml:space="preserve">服务质量进行检查考核。   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第四条  服务费用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服务费支付方式：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" w:name="_Toc443491048"/>
      <w:bookmarkStart w:id="2" w:name="_Toc444712810"/>
      <w:bookmarkStart w:id="3" w:name="_Toc441151316"/>
      <w:bookmarkStart w:id="4" w:name="_Toc441247481"/>
      <w:bookmarkStart w:id="5" w:name="_Toc446496572"/>
      <w:r>
        <w:rPr>
          <w:rFonts w:hint="eastAsia" w:ascii="仿宋" w:hAnsi="仿宋" w:eastAsia="仿宋" w:cs="仿宋"/>
          <w:sz w:val="28"/>
          <w:szCs w:val="28"/>
        </w:rPr>
        <w:t>1、结算方式采取按季度转帐付款方式，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根据每人每月中标服务费*实际配置岗位人员数量+中标垃圾清运费（元/月），结合月考核评分情况核算后按每季度支付。</w:t>
      </w:r>
      <w:bookmarkEnd w:id="1"/>
      <w:bookmarkEnd w:id="2"/>
      <w:bookmarkEnd w:id="3"/>
      <w:bookmarkEnd w:id="4"/>
      <w:bookmarkEnd w:id="5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6" w:name="_Toc441247482"/>
      <w:bookmarkStart w:id="7" w:name="_Toc443491049"/>
      <w:bookmarkStart w:id="8" w:name="_Toc446496573"/>
      <w:bookmarkStart w:id="9" w:name="_Toc441151317"/>
      <w:bookmarkStart w:id="10" w:name="_Toc444712811"/>
      <w:r>
        <w:rPr>
          <w:rFonts w:hint="eastAsia" w:ascii="仿宋" w:hAnsi="仿宋" w:eastAsia="仿宋" w:cs="仿宋"/>
          <w:sz w:val="28"/>
          <w:szCs w:val="28"/>
        </w:rPr>
        <w:t>2、实行绩效考核制进行付款：根据考核情况，按照不同等级进行付款，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在次季度以转帐方式按季度结算支付前一个季度服务费(经考核扣除相应服务费后的剩余服务费)。</w:t>
      </w:r>
      <w:bookmarkEnd w:id="6"/>
      <w:r>
        <w:rPr>
          <w:rFonts w:hint="eastAsia" w:ascii="仿宋" w:hAnsi="仿宋" w:eastAsia="仿宋" w:cs="仿宋"/>
          <w:sz w:val="28"/>
          <w:szCs w:val="28"/>
        </w:rPr>
        <w:t>(考评方法见附件《保洁月度考核表》)</w:t>
      </w:r>
      <w:bookmarkEnd w:id="7"/>
      <w:bookmarkEnd w:id="8"/>
      <w:bookmarkEnd w:id="9"/>
      <w:bookmarkEnd w:id="10"/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1" w:name="_Toc446496574"/>
      <w:bookmarkStart w:id="12" w:name="_Toc444712812"/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每次支付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款前，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应提供合法有效的增值税普通发票，否则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有权拒绝付款且不构成违约。</w:t>
      </w:r>
      <w:bookmarkEnd w:id="11"/>
      <w:bookmarkEnd w:id="12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3" w:name="_Toc441247483"/>
      <w:bookmarkStart w:id="14" w:name="_Toc446496575"/>
      <w:bookmarkStart w:id="15" w:name="_Toc444712813"/>
      <w:bookmarkStart w:id="16" w:name="_Toc443491050"/>
      <w:bookmarkStart w:id="17" w:name="_Toc441151318"/>
      <w:r>
        <w:rPr>
          <w:rFonts w:hint="eastAsia" w:ascii="仿宋" w:hAnsi="仿宋" w:eastAsia="仿宋" w:cs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、支付标准：</w:t>
      </w:r>
      <w:bookmarkEnd w:id="13"/>
      <w:bookmarkEnd w:id="14"/>
      <w:bookmarkEnd w:id="15"/>
      <w:bookmarkEnd w:id="16"/>
      <w:bookmarkEnd w:id="17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8" w:name="_Toc443491051"/>
      <w:bookmarkStart w:id="19" w:name="_Toc441247484"/>
      <w:bookmarkStart w:id="20" w:name="_Toc441151319"/>
      <w:bookmarkStart w:id="21" w:name="_Toc446496576"/>
      <w:bookmarkStart w:id="22" w:name="_Toc444712814"/>
      <w:r>
        <w:rPr>
          <w:rFonts w:hint="eastAsia" w:ascii="仿宋" w:hAnsi="仿宋" w:eastAsia="仿宋" w:cs="仿宋"/>
          <w:sz w:val="28"/>
          <w:szCs w:val="28"/>
        </w:rPr>
        <w:t>(1)考核得分≥90分，全额拨付当月实际服务费；</w:t>
      </w:r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23" w:name="_Toc443491052"/>
      <w:bookmarkStart w:id="24" w:name="_Toc444712815"/>
      <w:bookmarkStart w:id="25" w:name="_Toc446496577"/>
      <w:bookmarkStart w:id="26" w:name="_Toc441247485"/>
      <w:bookmarkStart w:id="27" w:name="_Toc441151320"/>
      <w:r>
        <w:rPr>
          <w:rFonts w:hint="eastAsia" w:ascii="仿宋" w:hAnsi="仿宋" w:eastAsia="仿宋" w:cs="仿宋"/>
          <w:sz w:val="28"/>
          <w:szCs w:val="28"/>
        </w:rPr>
        <w:t>(2)80分到90分的，每低于90分，1分扣1000元，拨付扣除相应服务费后的剩余服务费；</w:t>
      </w:r>
      <w:bookmarkEnd w:id="23"/>
      <w:bookmarkEnd w:id="24"/>
      <w:bookmarkEnd w:id="25"/>
      <w:bookmarkEnd w:id="26"/>
      <w:bookmarkEnd w:id="27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28" w:name="_Toc441151321"/>
      <w:bookmarkStart w:id="29" w:name="_Toc444712816"/>
      <w:bookmarkStart w:id="30" w:name="_Toc443491053"/>
      <w:bookmarkStart w:id="31" w:name="_Toc441247486"/>
      <w:bookmarkStart w:id="32" w:name="_Toc446496578"/>
      <w:r>
        <w:rPr>
          <w:rFonts w:hint="eastAsia" w:ascii="仿宋" w:hAnsi="仿宋" w:eastAsia="仿宋" w:cs="仿宋"/>
          <w:sz w:val="28"/>
          <w:szCs w:val="28"/>
        </w:rPr>
        <w:t>(3)考核得分＜80分的，在第二点扣款的基础上，每低于80分，1分扣2000元，拨付扣除相应服务费后的剩余服务费；</w:t>
      </w:r>
      <w:bookmarkEnd w:id="28"/>
      <w:bookmarkEnd w:id="29"/>
      <w:bookmarkEnd w:id="30"/>
      <w:bookmarkEnd w:id="31"/>
      <w:bookmarkEnd w:id="32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33" w:name="_Toc441151322"/>
      <w:bookmarkStart w:id="34" w:name="_Toc441247487"/>
      <w:bookmarkStart w:id="35" w:name="_Toc444712817"/>
      <w:bookmarkStart w:id="36" w:name="_Toc446496579"/>
      <w:bookmarkStart w:id="37" w:name="_Toc443491054"/>
      <w:r>
        <w:rPr>
          <w:rFonts w:hint="eastAsia" w:ascii="仿宋" w:hAnsi="仿宋" w:eastAsia="仿宋" w:cs="仿宋"/>
          <w:sz w:val="28"/>
          <w:szCs w:val="28"/>
        </w:rPr>
        <w:t>(4)对累计三个月考评得分＜80分的，终止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，责令退出。</w:t>
      </w:r>
      <w:bookmarkEnd w:id="33"/>
      <w:bookmarkEnd w:id="34"/>
      <w:bookmarkEnd w:id="35"/>
      <w:bookmarkEnd w:id="36"/>
      <w:bookmarkEnd w:id="37"/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第五条  履约保证金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甲、乙双方在签订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后5个工作日内，向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缴纳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年金额的5%,作为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完全履行本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义务的担保。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如发生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违约，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有权从履约保证金中扣除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应承担的赔偿金或违约金, 该扣除金额将视为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向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支付的赔偿金或违约金。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应在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扣款后2个工作日内补足履约保证金。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服务期限届满，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确认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已妥善履行本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项下各项工作义务且与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结算付清保洁服务费后30个自然日内，退还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履约保证金余额（不计息）；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应同时退还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履约保证金收据原件。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38" w:name="_Toc446496567"/>
      <w:r>
        <w:rPr>
          <w:rFonts w:hint="eastAsia" w:ascii="仿宋" w:hAnsi="仿宋" w:eastAsia="仿宋" w:cs="仿宋"/>
          <w:b/>
          <w:bCs/>
          <w:sz w:val="28"/>
          <w:szCs w:val="28"/>
        </w:rPr>
        <w:t>第六条  管理员及人员要求</w:t>
      </w:r>
      <w:bookmarkEnd w:id="38"/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一、管理员要求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(1)做好员工培训工作。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(2)做好现场检查记录。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(3)落实作业标准，对各种问题及时整改到位。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(4)制定工作流程及计划。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(5)熟悉电脑基本操作，会使用办公软件。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二、保洁员要求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(1)保洁员通过培训上岗。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(2)保洁员上岗着装尺寸合适，干净；长头发的女员工正确的使用头花，男性员工着装整齐，不留胡须。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(3)遵守劳动纪律按时交接班。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(4)确保作业安全。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(5)保洁员定岗、定职、定责，明确任务。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(6)保洁员年龄：男员工年龄在60岁（含60岁）以下，女员工年龄在58岁（含58岁）以下。其中男员工年龄55岁（含55岁）以下，女员工年龄50岁（含50岁）以下，不低于员工总数20%。 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(7)所聘用的保洁人员均须五官端正、身体健康、无残疾，不能有影响正常工作的疾病，需持有健康证，在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履行期间，若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所聘用的保洁人员未按要求100%持健康证上岗，每人次从当月总服务费中扣500元。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(8)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承诺配备的保洁人员为无犯罪记录的人员，在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履行期间，如发生此类事件，将扣除当月总服务费5000元/次，情节严重的，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可无条件终止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，责令退出。</w:t>
      </w:r>
    </w:p>
    <w:p>
      <w:pPr>
        <w:pStyle w:val="2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接受并服从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采购方</w:t>
      </w:r>
      <w:r>
        <w:rPr>
          <w:rFonts w:hint="eastAsia" w:ascii="仿宋" w:hAnsi="仿宋" w:eastAsia="仿宋" w:cs="仿宋"/>
          <w:sz w:val="28"/>
          <w:szCs w:val="28"/>
        </w:rPr>
        <w:t>管理部门工作人员的督察，日常工作中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如出现违规行为则按处罚制度予以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相应的处罚。</w:t>
      </w:r>
    </w:p>
    <w:p>
      <w:pPr>
        <w:pStyle w:val="2"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第七条  保洁清洁设备及车辆数量配置要求</w:t>
      </w:r>
    </w:p>
    <w:tbl>
      <w:tblPr>
        <w:tblStyle w:val="5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925"/>
        <w:gridCol w:w="1597"/>
        <w:gridCol w:w="1091"/>
        <w:gridCol w:w="3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39" w:name="_Toc441247475"/>
            <w:bookmarkStart w:id="40" w:name="_Toc441151310"/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 途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 量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告示牌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公共区域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小心地滑牌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保洁工具车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卫生清洁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辆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保洁工具车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线盘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接电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100米以上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铝梯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高位清洁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部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3m折合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高压清洗机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路面冲洗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洗地机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地面清洁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充电式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吸尘吸水机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地面清洁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高压清洗车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地面清洁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1925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电动保洁车</w:t>
            </w:r>
          </w:p>
        </w:tc>
        <w:tc>
          <w:tcPr>
            <w:tcW w:w="1597" w:type="dxa"/>
          </w:tcPr>
          <w:p>
            <w:pPr>
              <w:pStyle w:val="2"/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巡视清洁</w:t>
            </w:r>
          </w:p>
        </w:tc>
        <w:tc>
          <w:tcPr>
            <w:tcW w:w="1091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台</w:t>
            </w:r>
          </w:p>
        </w:tc>
        <w:tc>
          <w:tcPr>
            <w:tcW w:w="3648" w:type="dxa"/>
          </w:tcPr>
          <w:p>
            <w:pPr>
              <w:pStyle w:val="2"/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三轮，电动</w:t>
            </w:r>
          </w:p>
        </w:tc>
      </w:tr>
      <w:bookmarkEnd w:id="39"/>
      <w:bookmarkEnd w:id="40"/>
    </w:tbl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kern w:val="2"/>
          <w:sz w:val="28"/>
          <w:szCs w:val="28"/>
        </w:rPr>
        <w:t>附件一：日常保洁服务标准</w:t>
      </w:r>
    </w:p>
    <w:p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(一)场馆</w:t>
      </w:r>
    </w:p>
    <w:tbl>
      <w:tblPr>
        <w:tblStyle w:val="5"/>
        <w:tblW w:w="98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605"/>
        <w:gridCol w:w="772"/>
        <w:gridCol w:w="1413"/>
        <w:gridCol w:w="1431"/>
        <w:gridCol w:w="844"/>
        <w:gridCol w:w="3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376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清洁项目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每常清洁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定期作业</w:t>
            </w:r>
          </w:p>
        </w:tc>
        <w:tc>
          <w:tcPr>
            <w:tcW w:w="301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质量控制标准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2376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每日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每周</w:t>
            </w: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每月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每季度</w:t>
            </w:r>
          </w:p>
        </w:tc>
        <w:tc>
          <w:tcPr>
            <w:tcW w:w="301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</w:trPr>
        <w:tc>
          <w:tcPr>
            <w:tcW w:w="77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通道地面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巡回保洁3次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洗地机清洗/2周(或举办活动前)</w:t>
            </w: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无污渍、水渍、尘渍、痰渍、杂物、纸屑、烟蒂、保持光洁、明亮(材料自身原因除外)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墙面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墙面、铝塑板等(6.0M以下)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维护清洁1次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使用清洁剂清抹</w:t>
            </w: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地脚线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维护清洁1次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77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天花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灯具、排气扇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除尘、擦拭2次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玻璃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走廊玻璃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使用玻璃清洁剂清刮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无积尘，无垃圾、通透性好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功能房玻璃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使用玻璃清洁剂清刮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无积尘，无污渍、通透性好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门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窗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门、门框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使用清洁剂彻底清抹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铝合金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使用清洁剂彻底清抹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玻璃门、拉手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使用玻璃清洁剂清刮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无灰尘、无污渍、无手印、光洁透明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消防楼梯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</w:t>
            </w: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湿拖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无灰尘、无痰渍、无污迹、无烟头、无杂物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墙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无浮尘、无污迹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防火门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拉手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窗框及玻璃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光洁、明亮、无污迹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电梯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电梯间灯饰、箱项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电梯内天花、灯饰、防护罩彻底清洁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无灰尘、无油污、无手印、无蜘蛛网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771" w:type="dxa"/>
            <w:vMerge w:val="continue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按钮及面板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不锈钢油清洁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光洁、明亮、无油污、无手印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771" w:type="dxa"/>
            <w:vMerge w:val="continue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电梯轿箱内不锈钢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维护保洁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不锈钢油清洁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无污渍、无手印、保持均匀不锈钢金属光泽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771" w:type="dxa"/>
            <w:vMerge w:val="continue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电梯沟槽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维护保洁</w:t>
            </w: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彻底清洁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无泥沙、无杂物、无污迹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比赛场训练场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看台座椅及通道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全面清洁/月(或举办活动前)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无灰尘、无痰渍、无污迹、无烟头、无杂物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771" w:type="dxa"/>
            <w:vMerge w:val="continue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全面清洁/2周</w:t>
            </w: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exact"/>
        </w:trPr>
        <w:tc>
          <w:tcPr>
            <w:tcW w:w="77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其他</w:t>
            </w: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功能房(除工程设备机房)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全面清洁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</w:trPr>
        <w:tc>
          <w:tcPr>
            <w:tcW w:w="77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消防设施、器材、开关盒、指引牌</w:t>
            </w:r>
          </w:p>
        </w:tc>
        <w:tc>
          <w:tcPr>
            <w:tcW w:w="77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84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</w:t>
            </w:r>
          </w:p>
        </w:tc>
      </w:tr>
    </w:tbl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（二）外围</w:t>
      </w:r>
    </w:p>
    <w:tbl>
      <w:tblPr>
        <w:tblStyle w:val="5"/>
        <w:tblpPr w:leftFromText="180" w:rightFromText="180" w:vertAnchor="text" w:horzAnchor="margin" w:tblpY="17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494"/>
        <w:gridCol w:w="1602"/>
        <w:gridCol w:w="748"/>
        <w:gridCol w:w="1709"/>
        <w:gridCol w:w="962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24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清洁项目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日常清洁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定期作业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质量控制标准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4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每天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每周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每月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每季度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4" w:hRule="exact"/>
        </w:trPr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公共区域部分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人行道地面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高压水枪冲洗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无沙灰、杂物、纸屑、烟蒂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悬挂指示标牌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清抹一次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烟灰筒、垃圾筒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巡回保洁，及时清倒垃圾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垃圾筒内胆清洗，表面除渍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垃圾容量不要超桶身2/3，并无污渍、无痰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空调风口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清洁一次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灯饰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清洁一次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天井围栏(护栏玻璃)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维护清洁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使用清洁剂清刮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护栏扶手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不锈钢油清洁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地沟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清扫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消防设施、器材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无灰尘、无污渍、无杂物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停车场(含地下停场)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无垃圾、无落叶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绿化带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无垃圾、无落叶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</w:trPr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柏油路面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巡回保洁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高压水车冲洗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无沙灰、无积泥、无杂物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9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垃圾清运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及时清运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无垃圾积压</w:t>
            </w:r>
          </w:p>
        </w:tc>
      </w:tr>
    </w:tbl>
    <w:p>
      <w:pPr>
        <w:pStyle w:val="3"/>
        <w:spacing w:line="500" w:lineRule="exact"/>
        <w:ind w:left="0" w:leftChars="0"/>
        <w:rPr>
          <w:rFonts w:hint="eastAsia" w:ascii="仿宋" w:hAnsi="仿宋" w:eastAsia="仿宋" w:cs="仿宋"/>
          <w:snapToGrid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000000"/>
          <w:sz w:val="28"/>
          <w:szCs w:val="28"/>
        </w:rPr>
        <w:t xml:space="preserve"> </w:t>
      </w:r>
    </w:p>
    <w:p>
      <w:pPr>
        <w:pStyle w:val="3"/>
        <w:spacing w:line="500" w:lineRule="exact"/>
        <w:ind w:left="0" w:leftChars="0"/>
        <w:rPr>
          <w:rFonts w:hint="eastAsia" w:ascii="仿宋" w:hAnsi="仿宋" w:eastAsia="仿宋" w:cs="仿宋"/>
          <w:snapToGrid/>
          <w:color w:val="000000"/>
          <w:sz w:val="28"/>
          <w:szCs w:val="28"/>
        </w:rPr>
      </w:pPr>
    </w:p>
    <w:p>
      <w:pPr>
        <w:pStyle w:val="3"/>
        <w:spacing w:line="500" w:lineRule="exact"/>
        <w:ind w:left="0" w:leftChars="0"/>
        <w:rPr>
          <w:rFonts w:hint="eastAsia" w:ascii="仿宋" w:hAnsi="仿宋" w:eastAsia="仿宋" w:cs="仿宋"/>
          <w:snapToGrid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</w:rPr>
        <w:t>(三)洗手间</w:t>
      </w:r>
    </w:p>
    <w:tbl>
      <w:tblPr>
        <w:tblStyle w:val="5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416"/>
        <w:gridCol w:w="3170"/>
        <w:gridCol w:w="523"/>
        <w:gridCol w:w="1026"/>
        <w:gridCol w:w="621"/>
        <w:gridCol w:w="2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037" w:type="dxa"/>
            <w:gridSpan w:val="2"/>
            <w:vMerge w:val="restart"/>
            <w:vAlign w:val="center"/>
          </w:tcPr>
          <w:p>
            <w:pPr>
              <w:spacing w:line="500" w:lineRule="exact"/>
              <w:ind w:left="-152" w:leftChars="-69" w:firstLine="168" w:firstLineChars="6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清洁项目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日常清洁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定期作业</w:t>
            </w: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质量控制标准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2037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每天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每周</w:t>
            </w: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每月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每季度</w:t>
            </w: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exact"/>
          <w:jc w:val="center"/>
        </w:trPr>
        <w:tc>
          <w:tcPr>
            <w:tcW w:w="62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</w:t>
            </w: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墙身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全面清洗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无灰尘、无污渍、保持瓷砖光亮、洁净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3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循环保洁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无灰尘、无纸屑、无水渍、保持瓷砖光亮、洁净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洗手间大门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循环保洁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无手印、无污渍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洗手台玻璃镜面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循环保洁，玻璃清洁剂清刮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无灰尘、无污渍、无水渍、无手印、保持镜面明净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洗手间台面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循环保洁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清洁、无水迹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小便器、坐厕、洗手盆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循环保洁，使用清洁剂清洗并消毒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彻底去除污垢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保持无污渍、无污垢、无异味、无水渍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洗手间隔板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维护保洁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全面擦拭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无污渍、痰渍、保持洁净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洗手间风口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天花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除尘、擦拭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无污渍、无灰尘、无蜘蛛网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洗手间垃圾筒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及时清倒垃圾、垃圾容量不要超桶身2/3并随时保洁、消毒一次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无异味、无污迹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龙头等小五金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清洁剂清洁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无污迹、光亮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exact"/>
          <w:jc w:val="center"/>
        </w:trPr>
        <w:tc>
          <w:tcPr>
            <w:tcW w:w="621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排风口</w:t>
            </w:r>
          </w:p>
        </w:tc>
        <w:tc>
          <w:tcPr>
            <w:tcW w:w="317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除尘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擦拭</w:t>
            </w:r>
          </w:p>
        </w:tc>
        <w:tc>
          <w:tcPr>
            <w:tcW w:w="62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无灰尘</w:t>
            </w:r>
          </w:p>
        </w:tc>
      </w:tr>
    </w:tbl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pStyle w:val="2"/>
        <w:spacing w:line="50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附件二：日常保洁考核表</w:t>
      </w:r>
    </w:p>
    <w:tbl>
      <w:tblPr>
        <w:tblStyle w:val="5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1064"/>
        <w:gridCol w:w="5107"/>
        <w:gridCol w:w="1292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1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考核项目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要   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标准分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16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保洁质量60%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外围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地面干净无杂物，无明显污迹、油渍,各种标示标牌表面干净无积尘、无污迹。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走廊通道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地面无污渍、无垃圾，不锈钢表面无灰尘、无污渍；走道玻璃干净，无明显印迹，墙面无污渍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观众席、看台内通道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地面干净，无污渍；座椅整洁；不锈钢表面无灰尘、无污渍；走道玻璃干净，无明显印迹；门把手干净、无印迹；通风口干净，无污迹。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比赛场、训练场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地面、墙面、门面干净，无灰尘、污渍；天花板、风口目视无灰尘、污渍。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功能房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地面无污渍、无垃圾，桌椅干净，家具，电器表面无灰尘；门窗玻璃干净无尘，无明显印迹，开关、插座、无积尘、无明显污迹。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公共卫生间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面干净，无污渍、大小便器表面干净，无污渍；各种隔断表面干净，无乱写乱画；金属饰件表面干净，无污迹；墙壁表面干净，天花板无污渍、蜘蛛网；风口或换气扇表面干净无积尘；玻璃干净无印渍；面盆无污垢；垃圾不超过2/3，卫生间内无明显异味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楼梯及楼梯间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走梯表面干净无污渍，扶手栏杆表面干净无灰尘，防火门及闭门器表面干净无污渍，墙面、天花板无积尘、蜘蛛网。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垃圾桶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桶身表面干净、无污渍、无痰迹，垃圾不超过2/3。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2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消防栓、公共设施</w:t>
            </w: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持表面干净，无灰尘、无污渍。报警器、火警通讯电话插座、灭火器表面无积尘、无污迹；喷淋盖、烟感器、扬声器无积尘、无污渍。门警器表面无积尘、无斑点；消防栓外表面无印迹、无积尘，内侧无积尘、无污迹。灯泡、灯管、灯罩无积尘、无污迹。装饰件无积尘、无污迹；开关、插座、配电箱无积尘、无明显污迹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6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管理控制40%</w:t>
            </w:r>
          </w:p>
        </w:tc>
        <w:tc>
          <w:tcPr>
            <w:tcW w:w="106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员工工服尺寸合适，干净；长头发的女员工正确的使用头花， 男性员工着装整齐，不留胡须。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员工工作专注，和客户交流时行为举止得体、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合同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明礼貌，不在工作区域抽烟。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管理人员着装是否适宜、现场检查、沟通协调、处理问题速度，部门员工不出现违规事件。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6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保洁工作满意度。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11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附加奖励分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51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嘉奖（加  分）   小功（加  分）  大功（加    分）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333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1、良好（分值的90%）：达到常规标准要求；</w:t>
            </w:r>
          </w:p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2、合格（分值的80%）：在指导下绩效达到标准要求；</w:t>
            </w:r>
          </w:p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3、待改进（分值的70%）：在指导下基本达到标准要求，有时效的落差；</w:t>
            </w:r>
          </w:p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4、差（分值的70%以下）：绩效显著低于常规标准。</w:t>
            </w:r>
          </w:p>
        </w:tc>
        <w:tc>
          <w:tcPr>
            <w:tcW w:w="12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合计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分数</w:t>
            </w:r>
          </w:p>
        </w:tc>
        <w:tc>
          <w:tcPr>
            <w:tcW w:w="11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考核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33" w:type="dxa"/>
            <w:gridSpan w:val="3"/>
            <w:vMerge w:val="continue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51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333" w:type="dxa"/>
            <w:gridSpan w:val="3"/>
            <w:vMerge w:val="continue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vMerge w:val="continue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51" w:type="dxa"/>
            <w:vMerge w:val="continue"/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47548"/>
    <w:rsid w:val="11F52148"/>
    <w:rsid w:val="3FB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/>
      <w:kern w:val="2"/>
      <w:sz w:val="21"/>
    </w:rPr>
  </w:style>
  <w:style w:type="paragraph" w:styleId="3">
    <w:name w:val="Date"/>
    <w:basedOn w:val="1"/>
    <w:next w:val="1"/>
    <w:qFormat/>
    <w:uiPriority w:val="0"/>
    <w:pPr>
      <w:widowControl w:val="0"/>
      <w:adjustRightInd/>
      <w:snapToGrid/>
      <w:spacing w:after="0"/>
      <w:ind w:left="100" w:leftChars="2500"/>
      <w:jc w:val="both"/>
    </w:pPr>
    <w:rPr>
      <w:rFonts w:ascii="宋体" w:eastAsia="宋体" w:hAnsiTheme="minorHAnsi"/>
      <w:snapToGrid w:val="0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2020-07-29T08:56:00Z</dcterms:created>
  <dc:creator>Administrator</dc:creator>
  <cp:lastModifiedBy>Administrator</cp:lastModifiedBy>
  <dcterms:modified xsi:type="dcterms:W3CDTF">2020-07-29T09:17:33Z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