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8F0" w:rsidRDefault="00CA1F88">
      <w:pPr>
        <w:pStyle w:val="1"/>
        <w:spacing w:before="156" w:after="468" w:line="360" w:lineRule="auto"/>
      </w:pPr>
      <w:bookmarkStart w:id="0" w:name="_GoBack"/>
      <w:bookmarkEnd w:id="0"/>
      <w:r>
        <w:rPr>
          <w:rFonts w:hint="eastAsia"/>
        </w:rPr>
        <w:t>一、灯具清单</w:t>
      </w: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249"/>
        <w:gridCol w:w="1313"/>
        <w:gridCol w:w="1011"/>
        <w:gridCol w:w="986"/>
        <w:gridCol w:w="585"/>
        <w:gridCol w:w="472"/>
        <w:gridCol w:w="2414"/>
      </w:tblGrid>
      <w:tr w:rsidR="00AC58F0">
        <w:trPr>
          <w:trHeight w:val="23"/>
          <w:tblHeader/>
        </w:trPr>
        <w:tc>
          <w:tcPr>
            <w:tcW w:w="496" w:type="dxa"/>
            <w:shd w:val="clear" w:color="auto" w:fill="D8D8D8" w:themeFill="background1" w:themeFillShade="D8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249" w:type="dxa"/>
            <w:shd w:val="clear" w:color="auto" w:fill="D8D8D8" w:themeFill="background1" w:themeFillShade="D8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灯具名称</w:t>
            </w:r>
          </w:p>
        </w:tc>
        <w:tc>
          <w:tcPr>
            <w:tcW w:w="1313" w:type="dxa"/>
            <w:shd w:val="clear" w:color="auto" w:fill="D8D8D8" w:themeFill="background1" w:themeFillShade="D8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色温</w:t>
            </w:r>
          </w:p>
        </w:tc>
        <w:tc>
          <w:tcPr>
            <w:tcW w:w="1011" w:type="dxa"/>
            <w:shd w:val="clear" w:color="auto" w:fill="D8D8D8" w:themeFill="background1" w:themeFillShade="D8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电压</w:t>
            </w:r>
          </w:p>
        </w:tc>
        <w:tc>
          <w:tcPr>
            <w:tcW w:w="986" w:type="dxa"/>
            <w:shd w:val="clear" w:color="auto" w:fill="D8D8D8" w:themeFill="background1" w:themeFillShade="D8"/>
            <w:vAlign w:val="center"/>
          </w:tcPr>
          <w:p w:rsidR="00AC58F0" w:rsidRDefault="00CA1F88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功率（W）</w:t>
            </w:r>
          </w:p>
        </w:tc>
        <w:tc>
          <w:tcPr>
            <w:tcW w:w="585" w:type="dxa"/>
            <w:shd w:val="clear" w:color="auto" w:fill="D8D8D8" w:themeFill="background1" w:themeFillShade="D8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数量</w:t>
            </w:r>
          </w:p>
        </w:tc>
        <w:tc>
          <w:tcPr>
            <w:tcW w:w="472" w:type="dxa"/>
            <w:shd w:val="clear" w:color="auto" w:fill="D8D8D8" w:themeFill="background1" w:themeFillShade="D8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单位</w:t>
            </w:r>
          </w:p>
        </w:tc>
        <w:tc>
          <w:tcPr>
            <w:tcW w:w="2414" w:type="dxa"/>
            <w:shd w:val="clear" w:color="auto" w:fill="D8D8D8" w:themeFill="background1" w:themeFillShade="D8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备注</w:t>
            </w:r>
          </w:p>
        </w:tc>
      </w:tr>
      <w:tr w:rsidR="00AC58F0">
        <w:trPr>
          <w:trHeight w:val="1206"/>
        </w:trPr>
        <w:tc>
          <w:tcPr>
            <w:tcW w:w="496" w:type="dxa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249" w:type="dxa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T1立杆投光灯（仅灯具）</w:t>
            </w:r>
          </w:p>
        </w:tc>
        <w:tc>
          <w:tcPr>
            <w:tcW w:w="1313" w:type="dxa"/>
            <w:vAlign w:val="center"/>
          </w:tcPr>
          <w:p w:rsidR="00AC58F0" w:rsidRDefault="00AC58F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4000K</w:t>
            </w:r>
          </w:p>
          <w:p w:rsidR="00AC58F0" w:rsidRDefault="00AC58F0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AC220V</w:t>
            </w:r>
          </w:p>
        </w:tc>
        <w:tc>
          <w:tcPr>
            <w:tcW w:w="986" w:type="dxa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  <w:r>
              <w:rPr>
                <w:rFonts w:asciiTheme="minorEastAsia" w:eastAsiaTheme="minorEastAsia" w:hAnsiTheme="minorEastAsia" w:cstheme="minorEastAsia"/>
                <w:szCs w:val="21"/>
              </w:rPr>
              <w:t>W</w:t>
            </w:r>
          </w:p>
        </w:tc>
        <w:tc>
          <w:tcPr>
            <w:tcW w:w="585" w:type="dxa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66</w:t>
            </w:r>
          </w:p>
        </w:tc>
        <w:tc>
          <w:tcPr>
            <w:tcW w:w="472" w:type="dxa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套</w:t>
            </w:r>
          </w:p>
        </w:tc>
        <w:tc>
          <w:tcPr>
            <w:tcW w:w="2414" w:type="dxa"/>
            <w:vAlign w:val="center"/>
          </w:tcPr>
          <w:p w:rsidR="00AC58F0" w:rsidRDefault="00CA1F88">
            <w:pPr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具体配置根据所投灯具的属性深化设计。</w:t>
            </w:r>
          </w:p>
        </w:tc>
      </w:tr>
    </w:tbl>
    <w:p w:rsidR="00AC58F0" w:rsidRDefault="00AC58F0">
      <w:pPr>
        <w:pStyle w:val="1"/>
        <w:spacing w:before="156" w:after="468" w:line="360" w:lineRule="auto"/>
      </w:pPr>
    </w:p>
    <w:p w:rsidR="00AC58F0" w:rsidRDefault="00AC58F0">
      <w:pPr>
        <w:pStyle w:val="1"/>
        <w:spacing w:before="156" w:after="468" w:line="360" w:lineRule="auto"/>
      </w:pPr>
    </w:p>
    <w:p w:rsidR="00AC58F0" w:rsidRDefault="00AC58F0">
      <w:pPr>
        <w:pStyle w:val="1"/>
        <w:spacing w:before="156" w:after="468" w:line="360" w:lineRule="auto"/>
      </w:pPr>
    </w:p>
    <w:p w:rsidR="00AC58F0" w:rsidRDefault="00CA1F88">
      <w:pPr>
        <w:pStyle w:val="1"/>
        <w:spacing w:before="156" w:after="468" w:line="360" w:lineRule="auto"/>
      </w:pPr>
      <w:r>
        <w:rPr>
          <w:rFonts w:hint="eastAsia"/>
        </w:rPr>
        <w:t>二、投标前检测</w:t>
      </w:r>
    </w:p>
    <w:p w:rsidR="00AC58F0" w:rsidRDefault="00CA1F88">
      <w:pPr>
        <w:spacing w:line="360" w:lineRule="auto"/>
        <w:ind w:left="420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>投标报价含国家权威检测机构出具的投光灯（任意光束角）光学和效果检测报告。</w:t>
      </w:r>
    </w:p>
    <w:p w:rsidR="00AC58F0" w:rsidRDefault="00CA1F88">
      <w:pPr>
        <w:numPr>
          <w:ilvl w:val="0"/>
          <w:numId w:val="1"/>
        </w:numPr>
        <w:spacing w:line="360" w:lineRule="auto"/>
        <w:ind w:hanging="5"/>
        <w:rPr>
          <w:szCs w:val="21"/>
        </w:rPr>
      </w:pPr>
      <w:r>
        <w:rPr>
          <w:rFonts w:hint="eastAsia"/>
          <w:szCs w:val="21"/>
        </w:rPr>
        <w:t>投标单位在投标前，深化设计所投标灯具的光束角，提供针对“</w:t>
      </w:r>
      <w:r>
        <w:rPr>
          <w:rFonts w:hint="eastAsia"/>
          <w:szCs w:val="21"/>
        </w:rPr>
        <w:t>T1</w:t>
      </w:r>
      <w:r>
        <w:rPr>
          <w:rFonts w:hint="eastAsia"/>
          <w:szCs w:val="21"/>
        </w:rPr>
        <w:t>立杆投光灯”的照明效果计算报告书。</w:t>
      </w:r>
    </w:p>
    <w:p w:rsidR="00AC58F0" w:rsidRDefault="00CA1F88">
      <w:pPr>
        <w:numPr>
          <w:ilvl w:val="0"/>
          <w:numId w:val="1"/>
        </w:numPr>
        <w:spacing w:line="360" w:lineRule="auto"/>
        <w:ind w:hanging="5"/>
        <w:rPr>
          <w:szCs w:val="21"/>
        </w:rPr>
      </w:pPr>
      <w:r>
        <w:rPr>
          <w:rFonts w:hint="eastAsia"/>
          <w:szCs w:val="21"/>
        </w:rPr>
        <w:t>提供所投标的投光灯（任意光束角）的安规及光学检测报告。</w:t>
      </w:r>
    </w:p>
    <w:tbl>
      <w:tblPr>
        <w:tblW w:w="499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635"/>
        <w:gridCol w:w="6835"/>
      </w:tblGrid>
      <w:tr w:rsidR="00AC58F0">
        <w:trPr>
          <w:trHeight w:val="91"/>
          <w:tblHeader/>
          <w:jc w:val="center"/>
        </w:trPr>
        <w:tc>
          <w:tcPr>
            <w:tcW w:w="5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D7D7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7D7D7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7D7D7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检测项目</w:t>
            </w:r>
          </w:p>
        </w:tc>
      </w:tr>
      <w:tr w:rsidR="00AC58F0">
        <w:trPr>
          <w:trHeight w:val="90"/>
          <w:jc w:val="center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光学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色度参数：相关色温、色容差</w:t>
            </w:r>
          </w:p>
        </w:tc>
      </w:tr>
      <w:tr w:rsidR="00AC58F0">
        <w:trPr>
          <w:trHeight w:val="90"/>
          <w:jc w:val="center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电参数： 电压、电流、功率、功率因数（如果为交流供电）</w:t>
            </w:r>
          </w:p>
        </w:tc>
      </w:tr>
      <w:tr w:rsidR="00AC58F0">
        <w:trPr>
          <w:trHeight w:val="90"/>
          <w:jc w:val="center"/>
        </w:trPr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光度参数：配光曲线、光强、光束角/半峰发散角、光通量、整灯光效、R9</w:t>
            </w:r>
          </w:p>
        </w:tc>
      </w:tr>
      <w:tr w:rsidR="00AC58F0">
        <w:trPr>
          <w:trHeight w:val="90"/>
          <w:jc w:val="center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安规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外部接线和内部接线</w:t>
            </w:r>
          </w:p>
        </w:tc>
      </w:tr>
      <w:tr w:rsidR="00AC58F0">
        <w:trPr>
          <w:trHeight w:val="90"/>
          <w:jc w:val="center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接地</w:t>
            </w:r>
          </w:p>
        </w:tc>
      </w:tr>
      <w:tr w:rsidR="00AC58F0">
        <w:trPr>
          <w:trHeight w:val="494"/>
          <w:jc w:val="center"/>
        </w:trPr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rPr>
                <w:rFonts w:ascii="宋体" w:hAnsi="宋体" w:cs="宋体"/>
                <w:b/>
                <w:bCs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防尘、防固体异物和防水：≥IP66；</w:t>
            </w:r>
          </w:p>
        </w:tc>
      </w:tr>
      <w:tr w:rsidR="00AC58F0">
        <w:trPr>
          <w:trHeight w:val="267"/>
          <w:jc w:val="center"/>
        </w:trPr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潮湿后的绝缘电阻和电气强度</w:t>
            </w:r>
          </w:p>
        </w:tc>
      </w:tr>
    </w:tbl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AC58F0">
      <w:pPr>
        <w:pStyle w:val="Default"/>
      </w:pPr>
    </w:p>
    <w:tbl>
      <w:tblPr>
        <w:tblStyle w:val="a6"/>
        <w:tblW w:w="8650" w:type="dxa"/>
        <w:tblLayout w:type="fixed"/>
        <w:tblLook w:val="04A0" w:firstRow="1" w:lastRow="0" w:firstColumn="1" w:lastColumn="0" w:noHBand="0" w:noVBand="1"/>
      </w:tblPr>
      <w:tblGrid>
        <w:gridCol w:w="885"/>
        <w:gridCol w:w="538"/>
        <w:gridCol w:w="5381"/>
        <w:gridCol w:w="1257"/>
        <w:gridCol w:w="589"/>
      </w:tblGrid>
      <w:tr w:rsidR="00AC58F0">
        <w:trPr>
          <w:trHeight w:val="656"/>
        </w:trPr>
        <w:tc>
          <w:tcPr>
            <w:tcW w:w="885" w:type="dxa"/>
            <w:vAlign w:val="center"/>
          </w:tcPr>
          <w:p w:rsidR="00AC58F0" w:rsidRDefault="00AC58F0">
            <w:pPr>
              <w:rPr>
                <w:rFonts w:cs="Calibri"/>
                <w:szCs w:val="21"/>
              </w:rPr>
            </w:pPr>
          </w:p>
        </w:tc>
        <w:tc>
          <w:tcPr>
            <w:tcW w:w="538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序号</w:t>
            </w:r>
          </w:p>
        </w:tc>
        <w:tc>
          <w:tcPr>
            <w:tcW w:w="5381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测试项目</w:t>
            </w:r>
          </w:p>
        </w:tc>
        <w:tc>
          <w:tcPr>
            <w:tcW w:w="1257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分类</w:t>
            </w:r>
          </w:p>
        </w:tc>
        <w:tc>
          <w:tcPr>
            <w:tcW w:w="589" w:type="dxa"/>
            <w:vAlign w:val="center"/>
          </w:tcPr>
          <w:p w:rsidR="00AC58F0" w:rsidRDefault="00CA1F88">
            <w:pPr>
              <w:rPr>
                <w:rFonts w:ascii="宋体" w:hAnsi="宋体" w:cs="Courier New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要求</w:t>
            </w:r>
          </w:p>
        </w:tc>
      </w:tr>
      <w:tr w:rsidR="00AC58F0">
        <w:trPr>
          <w:trHeight w:val="1249"/>
        </w:trPr>
        <w:tc>
          <w:tcPr>
            <w:tcW w:w="885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整套灯具</w:t>
            </w:r>
          </w:p>
        </w:tc>
        <w:tc>
          <w:tcPr>
            <w:tcW w:w="538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1</w:t>
            </w:r>
          </w:p>
        </w:tc>
        <w:tc>
          <w:tcPr>
            <w:tcW w:w="5381" w:type="dxa"/>
            <w:vAlign w:val="center"/>
          </w:tcPr>
          <w:p w:rsidR="00AC58F0" w:rsidRDefault="00CA1F88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T1</w:t>
            </w:r>
            <w:r>
              <w:rPr>
                <w:rFonts w:hint="eastAsia"/>
                <w:kern w:val="0"/>
                <w:sz w:val="20"/>
                <w:szCs w:val="21"/>
              </w:rPr>
              <w:t>立杆照明效果计算报告书</w:t>
            </w:r>
          </w:p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noProof/>
                <w:kern w:val="0"/>
                <w:sz w:val="20"/>
                <w:szCs w:val="21"/>
              </w:rPr>
              <w:drawing>
                <wp:inline distT="0" distB="0" distL="0" distR="0">
                  <wp:extent cx="3287395" cy="1314450"/>
                  <wp:effectExtent l="0" t="0" r="1905" b="635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6519" cy="1318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平均亮度</w:t>
            </w:r>
          </w:p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≥</w:t>
            </w:r>
            <w:r>
              <w:rPr>
                <w:rFonts w:cs="Calibri" w:hint="eastAsia"/>
                <w:szCs w:val="21"/>
              </w:rPr>
              <w:t>10cd/m</w:t>
            </w:r>
            <w:r>
              <w:rPr>
                <w:rFonts w:cs="Calibri" w:hint="eastAsia"/>
                <w:szCs w:val="21"/>
              </w:rPr>
              <w:t>²</w:t>
            </w:r>
          </w:p>
        </w:tc>
        <w:tc>
          <w:tcPr>
            <w:tcW w:w="589" w:type="dxa"/>
            <w:vAlign w:val="center"/>
          </w:tcPr>
          <w:p w:rsidR="00AC58F0" w:rsidRDefault="00CA1F88">
            <w:pPr>
              <w:rPr>
                <w:rFonts w:ascii="宋体" w:hAnsi="宋体" w:cs="Courier New"/>
                <w:color w:val="000000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符合</w:t>
            </w:r>
          </w:p>
        </w:tc>
      </w:tr>
      <w:tr w:rsidR="00AC58F0">
        <w:trPr>
          <w:trHeight w:val="496"/>
        </w:trPr>
        <w:tc>
          <w:tcPr>
            <w:tcW w:w="885" w:type="dxa"/>
            <w:vMerge w:val="restart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单个投光灯</w:t>
            </w:r>
          </w:p>
        </w:tc>
        <w:tc>
          <w:tcPr>
            <w:tcW w:w="538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2</w:t>
            </w:r>
          </w:p>
        </w:tc>
        <w:tc>
          <w:tcPr>
            <w:tcW w:w="5381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色温</w:t>
            </w:r>
          </w:p>
        </w:tc>
        <w:tc>
          <w:tcPr>
            <w:tcW w:w="1257" w:type="dxa"/>
            <w:vAlign w:val="center"/>
          </w:tcPr>
          <w:p w:rsidR="00AC58F0" w:rsidRDefault="00CA1F88">
            <w:pPr>
              <w:jc w:val="left"/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4000K</w:t>
            </w:r>
            <w:r>
              <w:rPr>
                <w:rFonts w:cs="Calibri" w:hint="eastAsia"/>
                <w:szCs w:val="21"/>
              </w:rPr>
              <w:t>±</w:t>
            </w:r>
            <w:r>
              <w:rPr>
                <w:rFonts w:cs="Calibri" w:hint="eastAsia"/>
                <w:szCs w:val="21"/>
              </w:rPr>
              <w:t>100K</w:t>
            </w:r>
          </w:p>
        </w:tc>
        <w:tc>
          <w:tcPr>
            <w:tcW w:w="589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符合</w:t>
            </w:r>
          </w:p>
        </w:tc>
      </w:tr>
      <w:tr w:rsidR="00AC58F0">
        <w:trPr>
          <w:trHeight w:val="496"/>
        </w:trPr>
        <w:tc>
          <w:tcPr>
            <w:tcW w:w="885" w:type="dxa"/>
            <w:vMerge/>
            <w:vAlign w:val="center"/>
          </w:tcPr>
          <w:p w:rsidR="00AC58F0" w:rsidRDefault="00AC58F0">
            <w:pPr>
              <w:rPr>
                <w:rFonts w:cs="Calibri"/>
                <w:szCs w:val="21"/>
              </w:rPr>
            </w:pPr>
          </w:p>
        </w:tc>
        <w:tc>
          <w:tcPr>
            <w:tcW w:w="538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3</w:t>
            </w:r>
          </w:p>
        </w:tc>
        <w:tc>
          <w:tcPr>
            <w:tcW w:w="5381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色容差</w:t>
            </w:r>
          </w:p>
        </w:tc>
        <w:tc>
          <w:tcPr>
            <w:tcW w:w="1257" w:type="dxa"/>
            <w:vAlign w:val="center"/>
          </w:tcPr>
          <w:p w:rsidR="00AC58F0" w:rsidRDefault="00CA1F88">
            <w:pPr>
              <w:jc w:val="left"/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≤</w:t>
            </w:r>
            <w:r>
              <w:rPr>
                <w:rFonts w:cs="Calibri" w:hint="eastAsia"/>
                <w:szCs w:val="21"/>
              </w:rPr>
              <w:t>5</w:t>
            </w:r>
          </w:p>
        </w:tc>
        <w:tc>
          <w:tcPr>
            <w:tcW w:w="589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符合</w:t>
            </w:r>
          </w:p>
        </w:tc>
      </w:tr>
      <w:tr w:rsidR="00AC58F0">
        <w:trPr>
          <w:trHeight w:val="90"/>
        </w:trPr>
        <w:tc>
          <w:tcPr>
            <w:tcW w:w="885" w:type="dxa"/>
            <w:vMerge/>
            <w:vAlign w:val="center"/>
          </w:tcPr>
          <w:p w:rsidR="00AC58F0" w:rsidRDefault="00AC58F0">
            <w:pPr>
              <w:rPr>
                <w:rFonts w:cs="Calibri"/>
                <w:szCs w:val="21"/>
              </w:rPr>
            </w:pPr>
          </w:p>
        </w:tc>
        <w:tc>
          <w:tcPr>
            <w:tcW w:w="538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4</w:t>
            </w:r>
          </w:p>
        </w:tc>
        <w:tc>
          <w:tcPr>
            <w:tcW w:w="5381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灯具功率</w:t>
            </w:r>
          </w:p>
        </w:tc>
        <w:tc>
          <w:tcPr>
            <w:tcW w:w="1257" w:type="dxa"/>
            <w:vAlign w:val="center"/>
          </w:tcPr>
          <w:p w:rsidR="00AC58F0" w:rsidRDefault="00CA1F88">
            <w:pPr>
              <w:jc w:val="left"/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≤</w:t>
            </w:r>
            <w:r>
              <w:rPr>
                <w:rFonts w:cs="Calibri" w:hint="eastAsia"/>
                <w:szCs w:val="21"/>
              </w:rPr>
              <w:t>150W</w:t>
            </w:r>
          </w:p>
        </w:tc>
        <w:tc>
          <w:tcPr>
            <w:tcW w:w="589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符合</w:t>
            </w:r>
          </w:p>
        </w:tc>
      </w:tr>
      <w:tr w:rsidR="00AC58F0">
        <w:trPr>
          <w:trHeight w:val="363"/>
        </w:trPr>
        <w:tc>
          <w:tcPr>
            <w:tcW w:w="885" w:type="dxa"/>
            <w:vMerge/>
            <w:vAlign w:val="center"/>
          </w:tcPr>
          <w:p w:rsidR="00AC58F0" w:rsidRDefault="00AC58F0">
            <w:pPr>
              <w:rPr>
                <w:rFonts w:cs="Calibri"/>
                <w:szCs w:val="21"/>
              </w:rPr>
            </w:pPr>
          </w:p>
        </w:tc>
        <w:tc>
          <w:tcPr>
            <w:tcW w:w="538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5</w:t>
            </w:r>
          </w:p>
        </w:tc>
        <w:tc>
          <w:tcPr>
            <w:tcW w:w="5381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灯具直径（不含遮光罩、支架）</w:t>
            </w:r>
          </w:p>
        </w:tc>
        <w:tc>
          <w:tcPr>
            <w:tcW w:w="1257" w:type="dxa"/>
            <w:vAlign w:val="center"/>
          </w:tcPr>
          <w:p w:rsidR="00AC58F0" w:rsidRDefault="00CA1F88">
            <w:pPr>
              <w:jc w:val="left"/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280mm</w:t>
            </w:r>
            <w:r>
              <w:rPr>
                <w:rFonts w:cs="Calibri" w:hint="eastAsia"/>
                <w:szCs w:val="21"/>
              </w:rPr>
              <w:t>±</w:t>
            </w:r>
            <w:r>
              <w:rPr>
                <w:rFonts w:cs="Calibri" w:hint="eastAsia"/>
                <w:szCs w:val="21"/>
              </w:rPr>
              <w:t>15mm</w:t>
            </w:r>
          </w:p>
        </w:tc>
        <w:tc>
          <w:tcPr>
            <w:tcW w:w="589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符合</w:t>
            </w:r>
          </w:p>
        </w:tc>
      </w:tr>
      <w:tr w:rsidR="00AC58F0">
        <w:trPr>
          <w:trHeight w:val="474"/>
        </w:trPr>
        <w:tc>
          <w:tcPr>
            <w:tcW w:w="885" w:type="dxa"/>
            <w:vMerge/>
            <w:vAlign w:val="center"/>
          </w:tcPr>
          <w:p w:rsidR="00AC58F0" w:rsidRDefault="00AC58F0">
            <w:pPr>
              <w:rPr>
                <w:rFonts w:cs="Calibri"/>
                <w:szCs w:val="21"/>
              </w:rPr>
            </w:pPr>
          </w:p>
        </w:tc>
        <w:tc>
          <w:tcPr>
            <w:tcW w:w="538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6</w:t>
            </w:r>
          </w:p>
        </w:tc>
        <w:tc>
          <w:tcPr>
            <w:tcW w:w="5381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灯具长度（不含遮光罩、支架）</w:t>
            </w:r>
          </w:p>
        </w:tc>
        <w:tc>
          <w:tcPr>
            <w:tcW w:w="1257" w:type="dxa"/>
            <w:vAlign w:val="center"/>
          </w:tcPr>
          <w:p w:rsidR="00AC58F0" w:rsidRDefault="00CA1F88">
            <w:pPr>
              <w:jc w:val="left"/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250mm</w:t>
            </w:r>
            <w:r>
              <w:rPr>
                <w:rFonts w:cs="Calibri" w:hint="eastAsia"/>
                <w:szCs w:val="21"/>
              </w:rPr>
              <w:t>±</w:t>
            </w:r>
            <w:r>
              <w:rPr>
                <w:rFonts w:cs="Calibri" w:hint="eastAsia"/>
                <w:szCs w:val="21"/>
              </w:rPr>
              <w:t>15mm</w:t>
            </w:r>
          </w:p>
        </w:tc>
        <w:tc>
          <w:tcPr>
            <w:tcW w:w="589" w:type="dxa"/>
            <w:vAlign w:val="center"/>
          </w:tcPr>
          <w:p w:rsidR="00AC58F0" w:rsidRDefault="00CA1F88">
            <w:pPr>
              <w:rPr>
                <w:rFonts w:cs="Calibri"/>
                <w:szCs w:val="21"/>
              </w:rPr>
            </w:pPr>
            <w:r>
              <w:rPr>
                <w:rFonts w:ascii="宋体" w:hAnsi="宋体" w:cs="Courier New" w:hint="eastAsia"/>
                <w:color w:val="000000"/>
                <w:szCs w:val="21"/>
              </w:rPr>
              <w:t>符合</w:t>
            </w:r>
          </w:p>
        </w:tc>
      </w:tr>
    </w:tbl>
    <w:p w:rsidR="00AC58F0" w:rsidRDefault="00CA1F88">
      <w:pPr>
        <w:ind w:firstLineChars="200" w:firstLine="420"/>
        <w:rPr>
          <w:rFonts w:ascii="宋体" w:hAnsi="宋体" w:cs="Courier New"/>
          <w:szCs w:val="21"/>
          <w:u w:val="single"/>
        </w:rPr>
      </w:pPr>
      <w:r>
        <w:rPr>
          <w:rFonts w:ascii="宋体" w:hAnsi="宋体" w:cs="Courier New" w:hint="eastAsia"/>
          <w:color w:val="000000"/>
          <w:szCs w:val="21"/>
          <w:u w:val="single"/>
        </w:rPr>
        <w:t>提供</w:t>
      </w:r>
      <w:r>
        <w:rPr>
          <w:rFonts w:ascii="宋体" w:hAnsi="宋体" w:cs="Courier New" w:hint="eastAsia"/>
          <w:szCs w:val="21"/>
          <w:u w:val="single"/>
        </w:rPr>
        <w:t>1套投光灯（光束角不限），现场测量尺寸。</w:t>
      </w:r>
    </w:p>
    <w:p w:rsidR="00AC58F0" w:rsidRDefault="00CA1F88">
      <w:pPr>
        <w:ind w:firstLineChars="200" w:firstLine="420"/>
        <w:rPr>
          <w:rFonts w:ascii="宋体" w:hAnsi="宋体" w:cs="Courier New"/>
          <w:szCs w:val="21"/>
          <w:u w:val="single"/>
        </w:rPr>
      </w:pPr>
      <w:r>
        <w:rPr>
          <w:rFonts w:ascii="宋体" w:hAnsi="宋体" w:cs="Courier New" w:hint="eastAsia"/>
          <w:szCs w:val="21"/>
          <w:u w:val="single"/>
        </w:rPr>
        <w:t>整套灯具的T1立杆照明效果计算报告书及单个灯的光学检测，若不符合，即为废标。</w:t>
      </w:r>
    </w:p>
    <w:p w:rsidR="00AC58F0" w:rsidRDefault="00CA1F88">
      <w:pPr>
        <w:ind w:firstLineChars="200" w:firstLine="422"/>
      </w:pPr>
      <w:r>
        <w:rPr>
          <w:rFonts w:ascii="宋体" w:hAnsi="宋体" w:cs="Courier New" w:hint="eastAsia"/>
          <w:b/>
          <w:bCs/>
          <w:szCs w:val="21"/>
          <w:u w:val="single"/>
        </w:rPr>
        <w:t>单个投光灯的“安规”检测不合格即为废标。</w:t>
      </w:r>
    </w:p>
    <w:p w:rsidR="00AC58F0" w:rsidRDefault="00AC58F0">
      <w:pPr>
        <w:pStyle w:val="1"/>
        <w:spacing w:before="156" w:after="468" w:line="360" w:lineRule="auto"/>
        <w:ind w:left="420"/>
      </w:pPr>
    </w:p>
    <w:p w:rsidR="00AC58F0" w:rsidRDefault="00CA1F88">
      <w:pPr>
        <w:pStyle w:val="1"/>
        <w:spacing w:before="156" w:after="468" w:line="360" w:lineRule="auto"/>
        <w:ind w:left="420"/>
      </w:pPr>
      <w:r>
        <w:rPr>
          <w:rFonts w:hint="eastAsia"/>
        </w:rPr>
        <w:t>三、通则要求</w:t>
      </w:r>
    </w:p>
    <w:p w:rsidR="00AC58F0" w:rsidRDefault="00CA1F88">
      <w:pPr>
        <w:pStyle w:val="2"/>
        <w:numPr>
          <w:ilvl w:val="0"/>
          <w:numId w:val="2"/>
        </w:numPr>
        <w:spacing w:line="360" w:lineRule="auto"/>
      </w:pPr>
      <w:bookmarkStart w:id="1" w:name="_Toc25860"/>
      <w:r>
        <w:rPr>
          <w:rFonts w:hint="eastAsia"/>
        </w:rPr>
        <w:t>灯具应符合的技术标准</w:t>
      </w:r>
      <w:bookmarkEnd w:id="1"/>
    </w:p>
    <w:p w:rsidR="00AC58F0" w:rsidRDefault="00CA1F88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</w:rPr>
        <w:t>凡是不注日期的引用文件，其最新版本（包括所有的修改单）适用于本文件。同时包括</w:t>
      </w:r>
      <w:r>
        <w:rPr>
          <w:rFonts w:asciiTheme="minorHAnsi" w:eastAsiaTheme="minorEastAsia" w:hAnsiTheme="minorHAnsi" w:cstheme="minorBidi" w:hint="eastAsia"/>
        </w:rPr>
        <w:t>其他国家及江苏省现行标</w:t>
      </w:r>
      <w:r>
        <w:rPr>
          <w:rFonts w:asciiTheme="minorHAnsi" w:eastAsiaTheme="minorEastAsia" w:hAnsiTheme="minorHAnsi" w:cstheme="minorBidi" w:hint="eastAsia"/>
          <w:color w:val="000000" w:themeColor="text1"/>
        </w:rPr>
        <w:t>准规范、图集等；以及相关的灯具的现行的国家规范和标准。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GB7000.1</w:t>
      </w:r>
      <w:r>
        <w:rPr>
          <w:rFonts w:hint="eastAsia"/>
          <w:color w:val="000000" w:themeColor="text1"/>
        </w:rPr>
        <w:t>灯具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部分：一般要求与试验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GB7000.203</w:t>
      </w:r>
      <w:r>
        <w:rPr>
          <w:rFonts w:hint="eastAsia"/>
          <w:color w:val="000000" w:themeColor="text1"/>
        </w:rPr>
        <w:t>灯具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2-3</w:t>
      </w:r>
      <w:r>
        <w:rPr>
          <w:rFonts w:hint="eastAsia"/>
          <w:color w:val="000000" w:themeColor="text1"/>
        </w:rPr>
        <w:t>部分：特殊要求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道路与街路照明灯具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GB7000.7</w:t>
      </w:r>
      <w:r>
        <w:rPr>
          <w:rFonts w:hint="eastAsia"/>
          <w:color w:val="000000" w:themeColor="text1"/>
        </w:rPr>
        <w:t>投光灯具安全要求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GB7000.10</w:t>
      </w:r>
      <w:r>
        <w:rPr>
          <w:rFonts w:hint="eastAsia"/>
          <w:color w:val="000000" w:themeColor="text1"/>
        </w:rPr>
        <w:t>固定式通用灯具安全要求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GB 4208</w:t>
      </w:r>
      <w:r>
        <w:rPr>
          <w:rFonts w:hint="eastAsia"/>
          <w:color w:val="000000" w:themeColor="text1"/>
        </w:rPr>
        <w:t>外壳防护等级（</w:t>
      </w:r>
      <w:r>
        <w:rPr>
          <w:rFonts w:hint="eastAsia"/>
          <w:color w:val="000000" w:themeColor="text1"/>
        </w:rPr>
        <w:t>IP</w:t>
      </w:r>
      <w:r>
        <w:rPr>
          <w:rFonts w:hint="eastAsia"/>
          <w:color w:val="000000" w:themeColor="text1"/>
        </w:rPr>
        <w:t>代码）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GB17743</w:t>
      </w:r>
      <w:r>
        <w:rPr>
          <w:rFonts w:hint="eastAsia"/>
          <w:color w:val="000000" w:themeColor="text1"/>
        </w:rPr>
        <w:t>电气照明和类似设备的无线电骚扰特性的限值和测量方法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GB17625.1</w:t>
      </w:r>
      <w:r>
        <w:rPr>
          <w:rFonts w:hint="eastAsia"/>
          <w:color w:val="000000" w:themeColor="text1"/>
        </w:rPr>
        <w:t>电磁兼限值谐波电流发射限值容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GB/T18595</w:t>
      </w:r>
      <w:r>
        <w:rPr>
          <w:rFonts w:hint="eastAsia"/>
          <w:color w:val="000000" w:themeColor="text1"/>
        </w:rPr>
        <w:t>一般照明用设备电磁兼容抗扰度要求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 l7625.1</w:t>
      </w:r>
      <w:r>
        <w:rPr>
          <w:rFonts w:hint="eastAsia"/>
          <w:color w:val="000000" w:themeColor="text1"/>
        </w:rPr>
        <w:t>电磁兼容限值谐波电流发射限值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设备每相输入电流≤</w:t>
      </w:r>
      <w:r>
        <w:rPr>
          <w:rFonts w:hint="eastAsia"/>
          <w:color w:val="000000" w:themeColor="text1"/>
        </w:rPr>
        <w:t>16A)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QB/T1551</w:t>
      </w:r>
      <w:r>
        <w:rPr>
          <w:rFonts w:hint="eastAsia"/>
          <w:color w:val="000000" w:themeColor="text1"/>
        </w:rPr>
        <w:t>灯具油漆涂层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QB/T3741</w:t>
      </w:r>
      <w:r>
        <w:rPr>
          <w:rFonts w:hint="eastAsia"/>
          <w:color w:val="000000" w:themeColor="text1"/>
        </w:rPr>
        <w:t>灯具电镀、化学覆盖层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GB/T33721 LED</w:t>
      </w:r>
      <w:r>
        <w:rPr>
          <w:rFonts w:hint="eastAsia"/>
          <w:color w:val="000000" w:themeColor="text1"/>
        </w:rPr>
        <w:t>灯具可靠性试验方法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CJJ45 </w:t>
      </w:r>
      <w:r>
        <w:rPr>
          <w:rFonts w:hint="eastAsia"/>
          <w:color w:val="000000" w:themeColor="text1"/>
        </w:rPr>
        <w:t>城市道路照明设计标准</w:t>
      </w:r>
    </w:p>
    <w:p w:rsidR="00AC58F0" w:rsidRDefault="00CA1F88">
      <w:pPr>
        <w:numPr>
          <w:ilvl w:val="0"/>
          <w:numId w:val="3"/>
        </w:numPr>
        <w:spacing w:line="360" w:lineRule="auto"/>
        <w:ind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JGJ/T 163 </w:t>
      </w:r>
      <w:r>
        <w:rPr>
          <w:rFonts w:hint="eastAsia"/>
          <w:color w:val="000000" w:themeColor="text1"/>
        </w:rPr>
        <w:t>城市夜景照明设计规范</w:t>
      </w:r>
    </w:p>
    <w:p w:rsidR="00AC58F0" w:rsidRDefault="00CA1F88">
      <w:pPr>
        <w:pStyle w:val="2"/>
        <w:numPr>
          <w:ilvl w:val="0"/>
          <w:numId w:val="2"/>
        </w:numPr>
        <w:spacing w:line="360" w:lineRule="auto"/>
        <w:rPr>
          <w:color w:val="000000" w:themeColor="text1"/>
        </w:rPr>
      </w:pPr>
      <w:bookmarkStart w:id="2" w:name="_Toc1793"/>
      <w:r>
        <w:rPr>
          <w:rFonts w:hint="eastAsia"/>
          <w:color w:val="000000" w:themeColor="text1"/>
        </w:rPr>
        <w:t>灯具通则要求</w:t>
      </w:r>
      <w:bookmarkEnd w:id="2"/>
    </w:p>
    <w:p w:rsidR="00AC58F0" w:rsidRDefault="00CA1F88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3" w:name="_Toc2014"/>
      <w:r>
        <w:rPr>
          <w:rFonts w:hint="eastAsia"/>
          <w:color w:val="000000" w:themeColor="text1"/>
        </w:rPr>
        <w:t>一般要求</w:t>
      </w:r>
      <w:bookmarkEnd w:id="3"/>
    </w:p>
    <w:p w:rsidR="00AC58F0" w:rsidRDefault="00CA1F88">
      <w:pPr>
        <w:numPr>
          <w:ilvl w:val="0"/>
          <w:numId w:val="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技术文件详参有规定的，按详参规定执行，没有详参规定的，按照本通则执行。</w:t>
      </w:r>
    </w:p>
    <w:p w:rsidR="00AC58F0" w:rsidRDefault="00CA1F88">
      <w:pPr>
        <w:numPr>
          <w:ilvl w:val="0"/>
          <w:numId w:val="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本次招标所涉及的所有灯具外观，仅供参考。投标单位应保证，其所提供的货物在提供给采购单位前具有完全的所有权，或取得专利权人的授权。采购单位在中华人民共和国使用该货物或货物的任何一部分时，免受第三方提出的包括但不限于侵犯其专利权、商标权、工业设计权或专有技术权等知识产权的起诉，免受可能存在的抵押权、担保权在内的物权权利瑕疵的起诉。</w:t>
      </w:r>
    </w:p>
    <w:p w:rsidR="00AC58F0" w:rsidRDefault="00CA1F88">
      <w:pPr>
        <w:numPr>
          <w:ilvl w:val="0"/>
          <w:numId w:val="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本次投标报价包含本技术文件所要求的所有配件及附件。包括：灯具、光源、电器、引出线、防盗框、防眩光附件、线性投光灯的桥架及桥架安装支架、灯具安装支架、螺杆、螺栓、垫片等。室外的螺杆、螺栓、垫片必须使用</w:t>
      </w:r>
      <w:r>
        <w:rPr>
          <w:rFonts w:hint="eastAsia"/>
          <w:color w:val="000000" w:themeColor="text1"/>
        </w:rPr>
        <w:t>304</w:t>
      </w:r>
      <w:r>
        <w:rPr>
          <w:rFonts w:hint="eastAsia"/>
          <w:color w:val="000000" w:themeColor="text1"/>
        </w:rPr>
        <w:t>不锈钢材质。</w:t>
      </w:r>
    </w:p>
    <w:p w:rsidR="00AC58F0" w:rsidRDefault="00CA1F88">
      <w:pPr>
        <w:numPr>
          <w:ilvl w:val="0"/>
          <w:numId w:val="5"/>
        </w:numPr>
        <w:spacing w:line="360" w:lineRule="auto"/>
        <w:ind w:firstLineChars="131" w:firstLine="421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所有投光灯类灯具必须配置防眩光遮罩，避免眩光和光污染。</w:t>
      </w:r>
      <w:r>
        <w:rPr>
          <w:rFonts w:hint="eastAsia"/>
          <w:color w:val="000000" w:themeColor="text1"/>
        </w:rPr>
        <w:t>中标单位必须按照采购单位的要求和项目具体的实施情况及时调整。</w:t>
      </w:r>
    </w:p>
    <w:p w:rsidR="00AC58F0" w:rsidRDefault="00CA1F88">
      <w:pPr>
        <w:numPr>
          <w:ilvl w:val="0"/>
          <w:numId w:val="5"/>
        </w:numPr>
        <w:spacing w:line="360" w:lineRule="auto"/>
        <w:ind w:firstLineChars="139" w:firstLine="419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所有投光灯类灯具必须按照采购方要求，可加装模式玻璃、扁光玻璃、布纹玻璃等。价格含在投标报价中。</w:t>
      </w:r>
    </w:p>
    <w:p w:rsidR="00AC58F0" w:rsidRDefault="00CA1F88">
      <w:pPr>
        <w:numPr>
          <w:ilvl w:val="0"/>
          <w:numId w:val="5"/>
        </w:numPr>
        <w:spacing w:line="360" w:lineRule="auto"/>
        <w:ind w:firstLineChars="139" w:firstLine="419"/>
        <w:rPr>
          <w:color w:val="000000" w:themeColor="text1"/>
          <w:sz w:val="30"/>
          <w:szCs w:val="30"/>
        </w:rPr>
      </w:pP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所有连续照明的被照面安装的投光灯，照明效果需连续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lastRenderedPageBreak/>
        <w:t>均匀，无暗斑。</w:t>
      </w:r>
    </w:p>
    <w:p w:rsidR="00AC58F0" w:rsidRDefault="00CA1F88">
      <w:pPr>
        <w:numPr>
          <w:ilvl w:val="0"/>
          <w:numId w:val="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中标后，中标单位踏勘现场，根据灯具安装条件，深化灯具颜色安装支架灯零配件的设计，按照采购单位的要求和项目具体的实施情况及时调整。所有灯具按规定提供灯具实样一款，经采购单位目视检验最终确认后，才能按照灯具订单批量提供灯具，并提供灯具安装说明书。</w:t>
      </w:r>
    </w:p>
    <w:p w:rsidR="00AC58F0" w:rsidRDefault="00CA1F88">
      <w:pPr>
        <w:numPr>
          <w:ilvl w:val="0"/>
          <w:numId w:val="5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中标后灯具供应阶段，投标人确定的灯具抽样送国家权威机构检测。</w:t>
      </w:r>
    </w:p>
    <w:p w:rsidR="00AC58F0" w:rsidRDefault="00CA1F88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4" w:name="_Toc15096"/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光源要求</w:t>
      </w:r>
      <w:bookmarkEnd w:id="4"/>
    </w:p>
    <w:p w:rsidR="00AC58F0" w:rsidRDefault="00CA1F88">
      <w:pPr>
        <w:numPr>
          <w:ilvl w:val="0"/>
          <w:numId w:val="6"/>
        </w:numPr>
        <w:spacing w:line="360" w:lineRule="auto"/>
        <w:ind w:firstLineChars="200" w:firstLine="422"/>
        <w:rPr>
          <w:rFonts w:ascii="宋体" w:hAnsi="宋体" w:cs="宋体"/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该类灯具的主要原材料光源封装颗粒品牌应限定在科锐（</w:t>
      </w:r>
      <w:r>
        <w:rPr>
          <w:rFonts w:hint="eastAsia"/>
          <w:b/>
          <w:bCs/>
          <w:color w:val="000000" w:themeColor="text1"/>
        </w:rPr>
        <w:t>CREE</w:t>
      </w:r>
      <w:r>
        <w:rPr>
          <w:rFonts w:hint="eastAsia"/>
          <w:b/>
          <w:bCs/>
          <w:color w:val="000000" w:themeColor="text1"/>
        </w:rPr>
        <w:t>）、飞利浦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0"/>
          <w:szCs w:val="20"/>
          <w:lang w:bidi="ar"/>
        </w:rPr>
        <w:t>LUMILEDS</w:t>
      </w:r>
      <w:r>
        <w:rPr>
          <w:rFonts w:hint="eastAsia"/>
          <w:b/>
          <w:bCs/>
          <w:color w:val="000000" w:themeColor="text1"/>
        </w:rPr>
        <w:t>）、欧司朗（</w:t>
      </w:r>
      <w:r>
        <w:rPr>
          <w:rFonts w:hint="eastAsia"/>
          <w:b/>
          <w:bCs/>
          <w:color w:val="000000" w:themeColor="text1"/>
        </w:rPr>
        <w:t>OSRAM</w:t>
      </w:r>
      <w:r>
        <w:rPr>
          <w:rFonts w:hint="eastAsia"/>
          <w:b/>
          <w:bCs/>
          <w:color w:val="000000" w:themeColor="text1"/>
        </w:rPr>
        <w:t>）、日亚（</w:t>
      </w:r>
      <w:r>
        <w:rPr>
          <w:rFonts w:hint="eastAsia"/>
          <w:b/>
          <w:bCs/>
          <w:color w:val="000000" w:themeColor="text1"/>
        </w:rPr>
        <w:t>NICHIA</w:t>
      </w:r>
      <w:r>
        <w:rPr>
          <w:rFonts w:hint="eastAsia"/>
          <w:b/>
          <w:bCs/>
          <w:color w:val="000000" w:themeColor="text1"/>
        </w:rPr>
        <w:t>）范围内。</w:t>
      </w:r>
    </w:p>
    <w:p w:rsidR="00AC58F0" w:rsidRDefault="00CA1F88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单色芯片的色差必须符合下表的要求。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4369"/>
        <w:gridCol w:w="3872"/>
      </w:tblGrid>
      <w:tr w:rsidR="00AC58F0">
        <w:trPr>
          <w:tblHeader/>
          <w:jc w:val="center"/>
        </w:trPr>
        <w:tc>
          <w:tcPr>
            <w:tcW w:w="1001" w:type="dxa"/>
            <w:shd w:val="clear" w:color="auto" w:fill="D8D8D8" w:themeFill="background1" w:themeFillShade="D8"/>
            <w:vAlign w:val="center"/>
          </w:tcPr>
          <w:p w:rsidR="00AC58F0" w:rsidRDefault="00CA1F8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4369" w:type="dxa"/>
            <w:shd w:val="clear" w:color="auto" w:fill="D8D8D8" w:themeFill="background1" w:themeFillShade="D8"/>
            <w:vAlign w:val="center"/>
          </w:tcPr>
          <w:p w:rsidR="00AC58F0" w:rsidRDefault="00CA1F8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色温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色彩</w:t>
            </w:r>
          </w:p>
        </w:tc>
        <w:tc>
          <w:tcPr>
            <w:tcW w:w="3872" w:type="dxa"/>
            <w:shd w:val="clear" w:color="auto" w:fill="D8D8D8" w:themeFill="background1" w:themeFillShade="D8"/>
          </w:tcPr>
          <w:p w:rsidR="00AC58F0" w:rsidRDefault="00CA1F8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偏差</w:t>
            </w:r>
          </w:p>
        </w:tc>
      </w:tr>
      <w:tr w:rsidR="00AC58F0">
        <w:trPr>
          <w:jc w:val="center"/>
        </w:trPr>
        <w:tc>
          <w:tcPr>
            <w:tcW w:w="1001" w:type="dxa"/>
            <w:vAlign w:val="center"/>
          </w:tcPr>
          <w:p w:rsidR="00AC58F0" w:rsidRDefault="00CA1F88">
            <w:pPr>
              <w:spacing w:line="36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369" w:type="dxa"/>
            <w:vAlign w:val="center"/>
          </w:tcPr>
          <w:p w:rsidR="00AC58F0" w:rsidRDefault="00CA1F8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2200K-3000K</w:t>
            </w:r>
          </w:p>
        </w:tc>
        <w:tc>
          <w:tcPr>
            <w:tcW w:w="3872" w:type="dxa"/>
            <w:vAlign w:val="center"/>
          </w:tcPr>
          <w:p w:rsidR="00AC58F0" w:rsidRDefault="00CA1F8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100K</w:t>
            </w:r>
          </w:p>
        </w:tc>
      </w:tr>
      <w:tr w:rsidR="00AC58F0">
        <w:trPr>
          <w:jc w:val="center"/>
        </w:trPr>
        <w:tc>
          <w:tcPr>
            <w:tcW w:w="1001" w:type="dxa"/>
            <w:vAlign w:val="center"/>
          </w:tcPr>
          <w:p w:rsidR="00AC58F0" w:rsidRDefault="00CA1F88">
            <w:pPr>
              <w:spacing w:line="36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69" w:type="dxa"/>
            <w:vAlign w:val="center"/>
          </w:tcPr>
          <w:p w:rsidR="00AC58F0" w:rsidRDefault="00CA1F8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3001K-5000K</w:t>
            </w:r>
          </w:p>
        </w:tc>
        <w:tc>
          <w:tcPr>
            <w:tcW w:w="3872" w:type="dxa"/>
            <w:vAlign w:val="center"/>
          </w:tcPr>
          <w:p w:rsidR="00AC58F0" w:rsidRDefault="00CA1F8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150K</w:t>
            </w:r>
          </w:p>
        </w:tc>
      </w:tr>
      <w:tr w:rsidR="00AC58F0">
        <w:trPr>
          <w:jc w:val="center"/>
        </w:trPr>
        <w:tc>
          <w:tcPr>
            <w:tcW w:w="1001" w:type="dxa"/>
            <w:vAlign w:val="center"/>
          </w:tcPr>
          <w:p w:rsidR="00AC58F0" w:rsidRDefault="00CA1F88">
            <w:pPr>
              <w:spacing w:line="36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369" w:type="dxa"/>
            <w:vAlign w:val="center"/>
          </w:tcPr>
          <w:p w:rsidR="00AC58F0" w:rsidRDefault="00CA1F8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380nm-780nm</w:t>
            </w:r>
          </w:p>
        </w:tc>
        <w:tc>
          <w:tcPr>
            <w:tcW w:w="3872" w:type="dxa"/>
            <w:vAlign w:val="center"/>
          </w:tcPr>
          <w:p w:rsidR="00AC58F0" w:rsidRDefault="00CA1F88"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5nm</w:t>
            </w:r>
          </w:p>
        </w:tc>
      </w:tr>
    </w:tbl>
    <w:p w:rsidR="00AC58F0" w:rsidRDefault="00CA1F88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白光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灯具的色容差应符合以下规定：同型号白光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灯具，色容差不应大于</w:t>
      </w:r>
      <w:r>
        <w:rPr>
          <w:rFonts w:hint="eastAsia"/>
          <w:color w:val="000000" w:themeColor="text1"/>
        </w:rPr>
        <w:t>7SDCM</w:t>
      </w:r>
      <w:r>
        <w:rPr>
          <w:rFonts w:hint="eastAsia"/>
          <w:color w:val="000000" w:themeColor="text1"/>
        </w:rPr>
        <w:t>。</w:t>
      </w:r>
    </w:p>
    <w:p w:rsidR="00AC58F0" w:rsidRDefault="00CA1F88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当照射对象为纯色物体时，灯具色容差不应大于</w:t>
      </w:r>
      <w:r>
        <w:rPr>
          <w:rFonts w:hint="eastAsia"/>
          <w:color w:val="000000" w:themeColor="text1"/>
        </w:rPr>
        <w:t>5SDCM</w:t>
      </w:r>
      <w:r>
        <w:rPr>
          <w:rFonts w:hint="eastAsia"/>
          <w:color w:val="000000" w:themeColor="text1"/>
        </w:rPr>
        <w:t>。</w:t>
      </w:r>
    </w:p>
    <w:p w:rsidR="00AC58F0" w:rsidRDefault="00CA1F88">
      <w:pPr>
        <w:numPr>
          <w:ilvl w:val="0"/>
          <w:numId w:val="6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颗粒应满足拥有</w:t>
      </w:r>
      <w:r>
        <w:rPr>
          <w:rFonts w:hint="eastAsia"/>
          <w:color w:val="000000" w:themeColor="text1"/>
        </w:rPr>
        <w:t>LM-80</w:t>
      </w:r>
      <w:r>
        <w:rPr>
          <w:rFonts w:hint="eastAsia"/>
          <w:color w:val="000000" w:themeColor="text1"/>
        </w:rPr>
        <w:t>认证，颗粒寿命不低于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万小时。</w:t>
      </w:r>
    </w:p>
    <w:p w:rsidR="00AC58F0" w:rsidRDefault="00CA1F88">
      <w:pPr>
        <w:numPr>
          <w:ilvl w:val="0"/>
          <w:numId w:val="6"/>
        </w:numPr>
        <w:spacing w:line="360" w:lineRule="auto"/>
        <w:ind w:firstLineChars="200" w:firstLine="422"/>
        <w:rPr>
          <w:b/>
          <w:bCs/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LED</w:t>
      </w:r>
      <w:r>
        <w:rPr>
          <w:rFonts w:hint="eastAsia"/>
          <w:b/>
          <w:bCs/>
          <w:color w:val="000000" w:themeColor="text1"/>
        </w:rPr>
        <w:t>颗粒的显色指数（</w:t>
      </w:r>
      <w:r>
        <w:rPr>
          <w:rFonts w:hint="eastAsia"/>
          <w:b/>
          <w:bCs/>
          <w:color w:val="000000" w:themeColor="text1"/>
        </w:rPr>
        <w:t>CRI</w:t>
      </w:r>
      <w:r>
        <w:rPr>
          <w:rFonts w:hint="eastAsia"/>
          <w:b/>
          <w:bCs/>
          <w:color w:val="000000" w:themeColor="text1"/>
        </w:rPr>
        <w:t>）：白光</w:t>
      </w:r>
      <w:r>
        <w:rPr>
          <w:rFonts w:hint="eastAsia"/>
          <w:b/>
          <w:bCs/>
          <w:color w:val="000000" w:themeColor="text1"/>
        </w:rPr>
        <w:t>LED</w:t>
      </w:r>
      <w:r>
        <w:rPr>
          <w:rFonts w:hint="eastAsia"/>
          <w:b/>
          <w:bCs/>
          <w:color w:val="000000" w:themeColor="text1"/>
        </w:rPr>
        <w:t>一般显色指数</w:t>
      </w:r>
      <w:r>
        <w:rPr>
          <w:rFonts w:hint="eastAsia"/>
          <w:b/>
          <w:bCs/>
          <w:color w:val="000000" w:themeColor="text1"/>
        </w:rPr>
        <w:t>Ra</w:t>
      </w:r>
      <w:r>
        <w:rPr>
          <w:rFonts w:hint="eastAsia"/>
          <w:b/>
          <w:bCs/>
          <w:color w:val="000000" w:themeColor="text1"/>
        </w:rPr>
        <w:t>≥</w:t>
      </w:r>
      <w:r>
        <w:rPr>
          <w:rFonts w:hint="eastAsia"/>
          <w:b/>
          <w:bCs/>
          <w:color w:val="000000" w:themeColor="text1"/>
        </w:rPr>
        <w:t>80</w:t>
      </w:r>
      <w:r>
        <w:rPr>
          <w:rFonts w:hint="eastAsia"/>
          <w:b/>
          <w:bCs/>
          <w:color w:val="000000" w:themeColor="text1"/>
        </w:rPr>
        <w:t>，且</w:t>
      </w:r>
      <w:r>
        <w:rPr>
          <w:rFonts w:hint="eastAsia"/>
          <w:b/>
          <w:bCs/>
          <w:color w:val="000000" w:themeColor="text1"/>
        </w:rPr>
        <w:t>R9</w:t>
      </w:r>
      <w:r>
        <w:rPr>
          <w:rFonts w:hint="eastAsia"/>
          <w:b/>
          <w:bCs/>
          <w:color w:val="000000" w:themeColor="text1"/>
        </w:rPr>
        <w:t>＞</w:t>
      </w:r>
      <w:r>
        <w:rPr>
          <w:rFonts w:hint="eastAsia"/>
          <w:b/>
          <w:bCs/>
          <w:color w:val="000000" w:themeColor="text1"/>
        </w:rPr>
        <w:t>0</w:t>
      </w:r>
      <w:r>
        <w:rPr>
          <w:rFonts w:hint="eastAsia"/>
          <w:b/>
          <w:bCs/>
          <w:color w:val="000000" w:themeColor="text1"/>
        </w:rPr>
        <w:t>。</w:t>
      </w:r>
    </w:p>
    <w:p w:rsidR="00AC58F0" w:rsidRDefault="00CA1F88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5" w:name="_Toc517"/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灯具输入电压要求</w:t>
      </w:r>
      <w:bookmarkEnd w:id="5"/>
    </w:p>
    <w:p w:rsidR="00AC58F0" w:rsidRDefault="00CA1F88">
      <w:pPr>
        <w:numPr>
          <w:ilvl w:val="0"/>
          <w:numId w:val="7"/>
        </w:numPr>
        <w:spacing w:line="360" w:lineRule="auto"/>
        <w:ind w:firstLineChars="200" w:firstLine="602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详细参数标明输入电压为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220V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的灯具为内置驱动电源。详细参数未标明输入电压的为外置驱动电源集中供电。</w:t>
      </w:r>
    </w:p>
    <w:p w:rsidR="00AC58F0" w:rsidRDefault="00CA1F88">
      <w:pPr>
        <w:numPr>
          <w:ilvl w:val="0"/>
          <w:numId w:val="7"/>
        </w:numPr>
        <w:spacing w:line="360" w:lineRule="auto"/>
        <w:ind w:firstLineChars="200" w:firstLine="602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详细参数未标明输入电压的，其输入电压必须为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DC24V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。详细参数标明输入电压的，按详细参数执行。</w:t>
      </w:r>
    </w:p>
    <w:p w:rsidR="00AC58F0" w:rsidRDefault="00CA1F88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6" w:name="_Toc18301"/>
      <w:r>
        <w:rPr>
          <w:rFonts w:hint="eastAsia"/>
          <w:color w:val="000000" w:themeColor="text1"/>
        </w:rPr>
        <w:t>有变化要求的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灯具要求</w:t>
      </w:r>
      <w:bookmarkEnd w:id="6"/>
    </w:p>
    <w:p w:rsidR="00AC58F0" w:rsidRDefault="00CA1F88">
      <w:pPr>
        <w:numPr>
          <w:ilvl w:val="0"/>
          <w:numId w:val="8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有变化要求的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灯具须采用</w:t>
      </w:r>
      <w:r>
        <w:rPr>
          <w:rFonts w:hint="eastAsia"/>
          <w:color w:val="000000" w:themeColor="text1"/>
        </w:rPr>
        <w:t>DMX512/1990</w:t>
      </w:r>
      <w:r>
        <w:rPr>
          <w:rFonts w:hint="eastAsia"/>
          <w:color w:val="000000" w:themeColor="text1"/>
        </w:rPr>
        <w:t>或</w:t>
      </w:r>
      <w:r>
        <w:rPr>
          <w:rFonts w:hint="eastAsia"/>
          <w:color w:val="000000" w:themeColor="text1"/>
        </w:rPr>
        <w:t>DMX512-A</w:t>
      </w:r>
      <w:r>
        <w:rPr>
          <w:rFonts w:hint="eastAsia"/>
          <w:color w:val="000000" w:themeColor="text1"/>
        </w:rPr>
        <w:t>标准控制协议，或兼容于上述协议。</w:t>
      </w:r>
    </w:p>
    <w:p w:rsidR="00AC58F0" w:rsidRDefault="00CA1F88">
      <w:pPr>
        <w:numPr>
          <w:ilvl w:val="0"/>
          <w:numId w:val="8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LED</w:t>
      </w:r>
      <w:r>
        <w:rPr>
          <w:rFonts w:hint="eastAsia"/>
          <w:color w:val="000000" w:themeColor="text1"/>
        </w:rPr>
        <w:t>动态灯具，动态的速率可调，可缓慢连续变化也可跳变。芯片亮度可从</w:t>
      </w:r>
      <w:r>
        <w:rPr>
          <w:rFonts w:hint="eastAsia"/>
          <w:color w:val="000000" w:themeColor="text1"/>
        </w:rPr>
        <w:t>0%-100%</w:t>
      </w:r>
      <w:r>
        <w:rPr>
          <w:rFonts w:hint="eastAsia"/>
          <w:color w:val="000000" w:themeColor="text1"/>
        </w:rPr>
        <w:t>变化。有变化要求的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灯具灰度级别必须达到</w:t>
      </w:r>
      <w:r>
        <w:rPr>
          <w:rFonts w:hint="eastAsia"/>
          <w:color w:val="000000" w:themeColor="text1"/>
        </w:rPr>
        <w:t>256*256*256</w:t>
      </w:r>
      <w:r>
        <w:rPr>
          <w:rFonts w:hint="eastAsia"/>
          <w:color w:val="000000" w:themeColor="text1"/>
        </w:rPr>
        <w:t>位灰度。灰度刷新频率不小于</w:t>
      </w:r>
      <w:r>
        <w:rPr>
          <w:rFonts w:hint="eastAsia"/>
          <w:color w:val="000000" w:themeColor="text1"/>
        </w:rPr>
        <w:t>1000HZ</w:t>
      </w:r>
      <w:r>
        <w:rPr>
          <w:rFonts w:hint="eastAsia"/>
          <w:color w:val="000000" w:themeColor="text1"/>
        </w:rPr>
        <w:t>。彩色的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灯具必须发出</w:t>
      </w:r>
      <w:r>
        <w:rPr>
          <w:rFonts w:hint="eastAsia"/>
          <w:color w:val="000000" w:themeColor="text1"/>
        </w:rPr>
        <w:t>1670</w:t>
      </w:r>
      <w:r>
        <w:rPr>
          <w:rFonts w:hint="eastAsia"/>
          <w:color w:val="000000" w:themeColor="text1"/>
        </w:rPr>
        <w:t>万种真彩色。实现全场景同步色彩渐变及追光等各种动感色彩效果，色彩过渡要平稳、圆润，色彩还原要求逼真、细腻、自然。</w:t>
      </w:r>
    </w:p>
    <w:p w:rsidR="00AC58F0" w:rsidRDefault="00CA1F88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7" w:name="_Toc13353"/>
      <w:r>
        <w:rPr>
          <w:rFonts w:hint="eastAsia"/>
          <w:color w:val="000000" w:themeColor="text1"/>
        </w:rPr>
        <w:t>外观及结构要求</w:t>
      </w:r>
      <w:bookmarkEnd w:id="7"/>
    </w:p>
    <w:p w:rsidR="00AC58F0" w:rsidRDefault="00CA1F88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外观质量：灯具的表面应光滑，以防污物堆积和便于清洗</w:t>
      </w:r>
      <w:r>
        <w:rPr>
          <w:rFonts w:hint="eastAsia"/>
          <w:color w:val="000000" w:themeColor="text1"/>
        </w:rPr>
        <w:t>;</w:t>
      </w:r>
      <w:r>
        <w:rPr>
          <w:rFonts w:hint="eastAsia"/>
          <w:color w:val="000000" w:themeColor="text1"/>
        </w:rPr>
        <w:t>无损伤、变形、涂层剥落，玻璃罩应无气泡、明显划痕和裂纹等缺陷。</w:t>
      </w:r>
    </w:p>
    <w:p w:rsidR="00AC58F0" w:rsidRDefault="00CA1F88">
      <w:pPr>
        <w:numPr>
          <w:ilvl w:val="0"/>
          <w:numId w:val="9"/>
        </w:numPr>
        <w:spacing w:line="360" w:lineRule="auto"/>
        <w:ind w:firstLineChars="200" w:firstLine="420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color w:val="000000" w:themeColor="text1"/>
        </w:rPr>
        <w:t>外形尺寸：允许偏差范围标明区间的（例如：有≥、≤、±、</w:t>
      </w:r>
      <w:r>
        <w:rPr>
          <w:rFonts w:hint="eastAsia"/>
          <w:color w:val="000000" w:themeColor="text1"/>
        </w:rPr>
        <w:t>~</w:t>
      </w:r>
      <w:r>
        <w:rPr>
          <w:rFonts w:hint="eastAsia"/>
          <w:color w:val="000000" w:themeColor="text1"/>
        </w:rPr>
        <w:t>符号）灯具尺寸在要求范围内为满足要求；未标明尺寸允许偏差范围的灯具尺寸上下浮动</w:t>
      </w:r>
      <w:r>
        <w:rPr>
          <w:rFonts w:hint="eastAsia"/>
          <w:color w:val="000000" w:themeColor="text1"/>
        </w:rPr>
        <w:t>10%</w:t>
      </w:r>
      <w:r>
        <w:rPr>
          <w:rFonts w:hint="eastAsia"/>
          <w:color w:val="000000" w:themeColor="text1"/>
        </w:rPr>
        <w:t>为满足要求。线性投光灯长度尺寸上下浮动</w:t>
      </w:r>
      <w:r>
        <w:rPr>
          <w:rFonts w:hint="eastAsia"/>
          <w:color w:val="000000" w:themeColor="text1"/>
        </w:rPr>
        <w:t>1%</w:t>
      </w:r>
      <w:r>
        <w:rPr>
          <w:rFonts w:hint="eastAsia"/>
          <w:color w:val="000000" w:themeColor="text1"/>
        </w:rPr>
        <w:t>为满足要求。</w:t>
      </w:r>
    </w:p>
    <w:p w:rsidR="00AC58F0" w:rsidRDefault="00CA1F88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安装和位置尺寸：未标明尺寸允许偏差范围的按照</w:t>
      </w:r>
      <w:r>
        <w:rPr>
          <w:rFonts w:hint="eastAsia"/>
          <w:color w:val="000000" w:themeColor="text1"/>
        </w:rPr>
        <w:t>GB-T1804</w:t>
      </w:r>
      <w:r>
        <w:rPr>
          <w:rFonts w:hint="eastAsia"/>
          <w:color w:val="000000" w:themeColor="text1"/>
        </w:rPr>
        <w:t>的精度</w:t>
      </w:r>
      <w:r>
        <w:rPr>
          <w:rFonts w:hint="eastAsia"/>
          <w:color w:val="000000" w:themeColor="text1"/>
        </w:rPr>
        <w:t>M</w:t>
      </w:r>
      <w:r>
        <w:rPr>
          <w:rFonts w:hint="eastAsia"/>
          <w:color w:val="000000" w:themeColor="text1"/>
        </w:rPr>
        <w:t>级别标准执行。</w:t>
      </w:r>
    </w:p>
    <w:p w:rsidR="00AC58F0" w:rsidRDefault="00CA1F88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灯具应安装方便，灯具出线方式不能影响现场安装。投光类灯具安装角度应能灵活调节。灯具应有特设的导线出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入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口密封装置。灯具内应有电源接线端子，外部接线和内部接线穿过硬质材料时应有保护措施。灯具应配备一个耐温度骤变、废气、烟雾和其他化学物质的钢化玻璃罩。</w:t>
      </w:r>
    </w:p>
    <w:p w:rsidR="00AC58F0" w:rsidRDefault="00CA1F88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灯具引出线线径应符合</w:t>
      </w:r>
      <w:r>
        <w:rPr>
          <w:rFonts w:hint="eastAsia"/>
          <w:color w:val="000000" w:themeColor="text1"/>
        </w:rPr>
        <w:t>GB7000.1</w:t>
      </w:r>
      <w:r>
        <w:rPr>
          <w:rFonts w:hint="eastAsia"/>
          <w:color w:val="000000" w:themeColor="text1"/>
        </w:rPr>
        <w:t>（灯具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部分：一般要求与试验）的要求，引出线长度按照现场安装情况提供，确保灯与灯之间连线符合最优化。一个回路的灯具可成串提供，灯具引出线满足现场安装要求。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芯线颜色必须符合国标要求，且有明显区别。</w:t>
      </w:r>
    </w:p>
    <w:p w:rsidR="00AC58F0" w:rsidRDefault="00CA1F88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控制线采用专用</w:t>
      </w:r>
      <w:r>
        <w:rPr>
          <w:rFonts w:hint="eastAsia"/>
          <w:color w:val="000000" w:themeColor="text1"/>
        </w:rPr>
        <w:t>RS485</w:t>
      </w:r>
      <w:r>
        <w:rPr>
          <w:rFonts w:hint="eastAsia"/>
          <w:color w:val="000000" w:themeColor="text1"/>
        </w:rPr>
        <w:t>超五类屏蔽总线。接头必须具有防水措施、连接方便易操作。</w:t>
      </w:r>
    </w:p>
    <w:p w:rsidR="00AC58F0" w:rsidRDefault="00CA1F88">
      <w:pPr>
        <w:numPr>
          <w:ilvl w:val="0"/>
          <w:numId w:val="9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有针对感应雷击及静电的专用防护元件，器件性能符合</w:t>
      </w:r>
      <w:r>
        <w:rPr>
          <w:rFonts w:hint="eastAsia"/>
          <w:color w:val="000000" w:themeColor="text1"/>
        </w:rPr>
        <w:t>IEC61000-4-4</w:t>
      </w:r>
      <w:r>
        <w:rPr>
          <w:rFonts w:hint="eastAsia"/>
          <w:color w:val="000000" w:themeColor="text1"/>
        </w:rPr>
        <w:t>（电磁兼容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4-4</w:t>
      </w:r>
      <w:r>
        <w:rPr>
          <w:rFonts w:hint="eastAsia"/>
          <w:color w:val="000000" w:themeColor="text1"/>
        </w:rPr>
        <w:t>部分</w:t>
      </w:r>
      <w:r>
        <w:rPr>
          <w:rFonts w:hint="eastAsia"/>
          <w:color w:val="000000" w:themeColor="text1"/>
        </w:rPr>
        <w:t>:</w:t>
      </w:r>
      <w:r>
        <w:rPr>
          <w:rFonts w:hint="eastAsia"/>
          <w:color w:val="000000" w:themeColor="text1"/>
        </w:rPr>
        <w:t>试验和测量技术</w:t>
      </w:r>
      <w:r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电快速瞬变脉冲群抗扰度试验）的检测标准。</w:t>
      </w:r>
    </w:p>
    <w:p w:rsidR="00AC58F0" w:rsidRDefault="00CA1F88">
      <w:pPr>
        <w:numPr>
          <w:ilvl w:val="0"/>
          <w:numId w:val="9"/>
        </w:numPr>
        <w:spacing w:line="360" w:lineRule="auto"/>
        <w:ind w:firstLineChars="200" w:firstLine="602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灯具防护等级不小于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IP65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。</w:t>
      </w:r>
    </w:p>
    <w:p w:rsidR="00AC58F0" w:rsidRDefault="00CA1F88">
      <w:pPr>
        <w:numPr>
          <w:ilvl w:val="0"/>
          <w:numId w:val="9"/>
        </w:numPr>
        <w:spacing w:line="360" w:lineRule="auto"/>
        <w:ind w:firstLineChars="200" w:firstLine="602"/>
        <w:rPr>
          <w:b/>
          <w:bCs/>
          <w:color w:val="000000" w:themeColor="text1"/>
          <w:sz w:val="30"/>
          <w:szCs w:val="30"/>
          <w:u w:val="single"/>
        </w:rPr>
      </w:pP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安全电压灯具可用可调驱动电源无极调节亮度（输入电压为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220V</w:t>
      </w:r>
      <w:r>
        <w:rPr>
          <w:rFonts w:hint="eastAsia"/>
          <w:b/>
          <w:bCs/>
          <w:color w:val="000000" w:themeColor="text1"/>
          <w:sz w:val="30"/>
          <w:szCs w:val="30"/>
          <w:u w:val="single"/>
        </w:rPr>
        <w:t>的灯具除外）。</w:t>
      </w:r>
    </w:p>
    <w:p w:rsidR="00AC58F0" w:rsidRDefault="00CA1F88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8" w:name="_Toc20504"/>
      <w:r>
        <w:rPr>
          <w:rFonts w:hint="eastAsia"/>
          <w:color w:val="000000" w:themeColor="text1"/>
        </w:rPr>
        <w:lastRenderedPageBreak/>
        <w:t>材料要求</w:t>
      </w:r>
      <w:bookmarkEnd w:id="8"/>
    </w:p>
    <w:p w:rsidR="00AC58F0" w:rsidRDefault="00CA1F88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所有要求为不锈钢的材质，必须采用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不锈钢标号；所有要求为铝材的，必须采用高镁防锈</w:t>
      </w:r>
      <w:r>
        <w:rPr>
          <w:rFonts w:hint="eastAsia"/>
          <w:color w:val="000000" w:themeColor="text1"/>
        </w:rPr>
        <w:t>3404</w:t>
      </w:r>
      <w:r>
        <w:rPr>
          <w:rFonts w:hint="eastAsia"/>
          <w:color w:val="000000" w:themeColor="text1"/>
        </w:rPr>
        <w:t>标号或同等、优于该材料。灯具所采用的电线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缆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和其他电子部件均应符合相应的国家标准或行业标准的规定要求。</w:t>
      </w:r>
    </w:p>
    <w:p w:rsidR="00AC58F0" w:rsidRDefault="00CA1F88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灯具密封圈需采用抗老化硅橡胶圈或同等、优于上标准。应耐温、耐老化和耐道路上可能出现的腐蚀性气体，并应方便更换。灯具密封若采用灌胶形式，灌胶材料必须采用有机硅胶或同等、优于以上标准。</w:t>
      </w:r>
      <w:r>
        <w:rPr>
          <w:rFonts w:hint="eastAsia"/>
          <w:color w:val="000000" w:themeColor="text1"/>
        </w:rPr>
        <w:t xml:space="preserve"> </w:t>
      </w:r>
    </w:p>
    <w:p w:rsidR="00AC58F0" w:rsidRDefault="00CA1F88">
      <w:pPr>
        <w:numPr>
          <w:ilvl w:val="0"/>
          <w:numId w:val="10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灯具的插销、铰链、螺钉和其他外部构件应用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不锈钢或高镁防锈</w:t>
      </w:r>
      <w:r>
        <w:rPr>
          <w:rFonts w:hint="eastAsia"/>
          <w:color w:val="000000" w:themeColor="text1"/>
        </w:rPr>
        <w:t>3404</w:t>
      </w:r>
      <w:r>
        <w:rPr>
          <w:rFonts w:hint="eastAsia"/>
          <w:color w:val="000000" w:themeColor="text1"/>
        </w:rPr>
        <w:t>铝合金，其安装构件应不受混凝土的化学反应腐蚀。膨胀管、膨胀螺栓（含螺栓、胀管、平垫圈、弹簧垫和六角螺母等）必须采用不锈钢</w:t>
      </w:r>
      <w:r>
        <w:rPr>
          <w:rFonts w:hint="eastAsia"/>
          <w:color w:val="000000" w:themeColor="text1"/>
        </w:rPr>
        <w:t>304/2B</w:t>
      </w:r>
      <w:r>
        <w:rPr>
          <w:rFonts w:hint="eastAsia"/>
          <w:color w:val="000000" w:themeColor="text1"/>
        </w:rPr>
        <w:t>材料，且不受混凝土的化学反应腐蚀。</w:t>
      </w:r>
    </w:p>
    <w:p w:rsidR="00AC58F0" w:rsidRDefault="00CA1F88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9" w:name="_Toc19172"/>
      <w:r>
        <w:rPr>
          <w:rFonts w:hint="eastAsia"/>
          <w:color w:val="000000" w:themeColor="text1"/>
        </w:rPr>
        <w:t>耐腐蚀性要求</w:t>
      </w:r>
      <w:bookmarkEnd w:id="9"/>
    </w:p>
    <w:p w:rsidR="00AC58F0" w:rsidRDefault="00CA1F88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灯具应具有良好的耐腐蚀性能；灯具上的涂层部件，涂层应符合</w:t>
      </w:r>
      <w:r>
        <w:rPr>
          <w:rFonts w:hint="eastAsia"/>
          <w:color w:val="000000" w:themeColor="text1"/>
        </w:rPr>
        <w:t>QB/T 1551</w:t>
      </w:r>
      <w:r>
        <w:rPr>
          <w:rFonts w:hint="eastAsia"/>
          <w:color w:val="000000" w:themeColor="text1"/>
        </w:rPr>
        <w:t>（《灯具油漆涂层》国家标准）中</w:t>
      </w:r>
      <w:r>
        <w:rPr>
          <w:rFonts w:hint="eastAsia"/>
          <w:color w:val="000000" w:themeColor="text1"/>
        </w:rPr>
        <w:t>II</w:t>
      </w:r>
      <w:r>
        <w:rPr>
          <w:rFonts w:hint="eastAsia"/>
          <w:color w:val="000000" w:themeColor="text1"/>
        </w:rPr>
        <w:t>类（恶劣的使用环境，如含有工业废气或盐分，潮湿的使用场所）使用条件的要求；灯具上的电镀或化学覆盖件，覆盖层应符合</w:t>
      </w:r>
      <w:r>
        <w:rPr>
          <w:rFonts w:hint="eastAsia"/>
          <w:color w:val="000000" w:themeColor="text1"/>
        </w:rPr>
        <w:t>QB/T3741</w:t>
      </w:r>
      <w:r>
        <w:rPr>
          <w:rFonts w:hint="eastAsia"/>
          <w:color w:val="000000" w:themeColor="text1"/>
        </w:rPr>
        <w:t>（《灯具电镀、化学覆盖层》轻工行业标准）中Ⅲ类（严酷的使用条件，如空气中含有工业废气或盐分潮湿的环境）使用条件的要求。灯具灯体材质表面应有耐腐蚀、抗破坏处理手段，处理工艺需达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年使用寿命。压克力材料部分保证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年不发黄。</w:t>
      </w:r>
    </w:p>
    <w:p w:rsidR="00AC58F0" w:rsidRDefault="00CA1F88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10" w:name="_Toc2295"/>
      <w:bookmarkStart w:id="11" w:name="_Toc4937"/>
      <w:bookmarkStart w:id="12" w:name="_Toc9926"/>
      <w:bookmarkStart w:id="13" w:name="_Toc6693"/>
      <w:bookmarkStart w:id="14" w:name="_Toc20838"/>
      <w:r>
        <w:rPr>
          <w:rFonts w:hint="eastAsia"/>
          <w:color w:val="000000" w:themeColor="text1"/>
        </w:rPr>
        <w:t>电磁兼容</w:t>
      </w:r>
      <w:bookmarkEnd w:id="10"/>
      <w:bookmarkEnd w:id="11"/>
      <w:bookmarkEnd w:id="12"/>
      <w:bookmarkEnd w:id="13"/>
      <w:r>
        <w:rPr>
          <w:rFonts w:hint="eastAsia"/>
          <w:color w:val="000000" w:themeColor="text1"/>
        </w:rPr>
        <w:t>要求</w:t>
      </w:r>
      <w:bookmarkEnd w:id="14"/>
    </w:p>
    <w:p w:rsidR="00AC58F0" w:rsidRDefault="00CA1F88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灯具的无线电骚扰特性应符合</w:t>
      </w:r>
      <w:r>
        <w:rPr>
          <w:rFonts w:hint="eastAsia"/>
          <w:color w:val="000000" w:themeColor="text1"/>
        </w:rPr>
        <w:t>GB 17743</w:t>
      </w:r>
      <w:r>
        <w:rPr>
          <w:rFonts w:hint="eastAsia"/>
          <w:color w:val="000000" w:themeColor="text1"/>
        </w:rPr>
        <w:t>的要求。</w:t>
      </w:r>
    </w:p>
    <w:p w:rsidR="00AC58F0" w:rsidRDefault="00CA1F88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灯具电磁兼容抗扰度应符合</w:t>
      </w:r>
      <w:r>
        <w:rPr>
          <w:rFonts w:hint="eastAsia"/>
          <w:color w:val="000000" w:themeColor="text1"/>
        </w:rPr>
        <w:t xml:space="preserve">GB/T 18595 </w:t>
      </w:r>
      <w:r>
        <w:rPr>
          <w:rFonts w:hint="eastAsia"/>
          <w:color w:val="000000" w:themeColor="text1"/>
        </w:rPr>
        <w:t>的要求。</w:t>
      </w:r>
    </w:p>
    <w:p w:rsidR="00AC58F0" w:rsidRDefault="00CA1F88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灯具的输入电流谐波应符合</w:t>
      </w:r>
      <w:r>
        <w:rPr>
          <w:rFonts w:hint="eastAsia"/>
          <w:color w:val="000000" w:themeColor="text1"/>
        </w:rPr>
        <w:t>GB l7625.1</w:t>
      </w:r>
      <w:r>
        <w:rPr>
          <w:rFonts w:hint="eastAsia"/>
          <w:color w:val="000000" w:themeColor="text1"/>
        </w:rPr>
        <w:t>的要求。</w:t>
      </w:r>
    </w:p>
    <w:p w:rsidR="00AC58F0" w:rsidRDefault="00CA1F88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电子控制装置应采用高压输出的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电子控制装置，输出电流不超过</w:t>
      </w:r>
      <w:r>
        <w:rPr>
          <w:rFonts w:hint="eastAsia"/>
          <w:color w:val="000000" w:themeColor="text1"/>
        </w:rPr>
        <w:t>1.5A</w:t>
      </w:r>
      <w:r>
        <w:rPr>
          <w:rFonts w:hint="eastAsia"/>
          <w:color w:val="000000" w:themeColor="text1"/>
        </w:rPr>
        <w:t>。并应符合</w:t>
      </w:r>
      <w:r>
        <w:rPr>
          <w:rFonts w:hint="eastAsia"/>
          <w:color w:val="000000" w:themeColor="text1"/>
        </w:rPr>
        <w:t>GB 19510.14</w:t>
      </w:r>
      <w:r>
        <w:rPr>
          <w:rFonts w:hint="eastAsia"/>
          <w:color w:val="000000" w:themeColor="text1"/>
        </w:rPr>
        <w:t>的规定。</w:t>
      </w:r>
    </w:p>
    <w:p w:rsidR="00AC58F0" w:rsidRDefault="00CA1F88">
      <w:pPr>
        <w:numPr>
          <w:ilvl w:val="0"/>
          <w:numId w:val="11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灯具的蓝光控制应符合</w:t>
      </w:r>
      <w:r>
        <w:rPr>
          <w:rFonts w:hint="eastAsia"/>
          <w:color w:val="000000" w:themeColor="text1"/>
        </w:rPr>
        <w:t>GB 7000.1</w:t>
      </w:r>
      <w:r>
        <w:rPr>
          <w:rFonts w:hint="eastAsia"/>
          <w:color w:val="000000" w:themeColor="text1"/>
        </w:rPr>
        <w:t>的规定。</w:t>
      </w:r>
    </w:p>
    <w:p w:rsidR="00AC58F0" w:rsidRDefault="00CA1F88">
      <w:pPr>
        <w:pStyle w:val="3"/>
        <w:numPr>
          <w:ilvl w:val="0"/>
          <w:numId w:val="4"/>
        </w:numPr>
        <w:spacing w:line="360" w:lineRule="auto"/>
        <w:ind w:leftChars="0" w:firstLineChars="0" w:hanging="5"/>
        <w:rPr>
          <w:color w:val="000000" w:themeColor="text1"/>
        </w:rPr>
      </w:pPr>
      <w:bookmarkStart w:id="15" w:name="_Toc28959"/>
      <w:r>
        <w:rPr>
          <w:rFonts w:hint="eastAsia"/>
          <w:color w:val="000000" w:themeColor="text1"/>
        </w:rPr>
        <w:t>灯具寿命、光衰、散热等要求</w:t>
      </w:r>
      <w:bookmarkEnd w:id="15"/>
    </w:p>
    <w:p w:rsidR="00AC58F0" w:rsidRDefault="00CA1F88">
      <w:pPr>
        <w:numPr>
          <w:ilvl w:val="0"/>
          <w:numId w:val="12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灯的光源寿命不低于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万小时。灯具的平均寿命应不低于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万小时。</w:t>
      </w:r>
    </w:p>
    <w:p w:rsidR="00AC58F0" w:rsidRDefault="00CA1F88">
      <w:pPr>
        <w:numPr>
          <w:ilvl w:val="0"/>
          <w:numId w:val="12"/>
        </w:numPr>
        <w:spacing w:line="360" w:lineRule="auto"/>
        <w:ind w:firstLineChars="131" w:firstLine="421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灯在燃点</w:t>
      </w:r>
      <w:r>
        <w:rPr>
          <w:rFonts w:hint="eastAsia"/>
          <w:b/>
          <w:bCs/>
          <w:color w:val="000000" w:themeColor="text1"/>
          <w:sz w:val="32"/>
          <w:szCs w:val="32"/>
        </w:rPr>
        <w:t>3</w:t>
      </w:r>
      <w:r>
        <w:rPr>
          <w:rFonts w:hint="eastAsia"/>
          <w:b/>
          <w:bCs/>
          <w:color w:val="000000" w:themeColor="text1"/>
          <w:sz w:val="32"/>
          <w:szCs w:val="32"/>
        </w:rPr>
        <w:t>千小时时，其光通维持率应不低于</w:t>
      </w:r>
      <w:r>
        <w:rPr>
          <w:rFonts w:hint="eastAsia"/>
          <w:b/>
          <w:bCs/>
          <w:color w:val="000000" w:themeColor="text1"/>
          <w:sz w:val="32"/>
          <w:szCs w:val="32"/>
        </w:rPr>
        <w:t>96%</w:t>
      </w:r>
      <w:r>
        <w:rPr>
          <w:rFonts w:hint="eastAsia"/>
          <w:b/>
          <w:bCs/>
          <w:color w:val="000000" w:themeColor="text1"/>
          <w:sz w:val="32"/>
          <w:szCs w:val="32"/>
        </w:rPr>
        <w:t>；在燃点</w:t>
      </w:r>
      <w:r>
        <w:rPr>
          <w:rFonts w:hint="eastAsia"/>
          <w:b/>
          <w:bCs/>
          <w:color w:val="000000" w:themeColor="text1"/>
          <w:sz w:val="32"/>
          <w:szCs w:val="32"/>
        </w:rPr>
        <w:t>6</w:t>
      </w:r>
      <w:r>
        <w:rPr>
          <w:rFonts w:hint="eastAsia"/>
          <w:b/>
          <w:bCs/>
          <w:color w:val="000000" w:themeColor="text1"/>
          <w:sz w:val="32"/>
          <w:szCs w:val="32"/>
        </w:rPr>
        <w:t>千小时时，其光通维持率应不低于</w:t>
      </w:r>
      <w:r>
        <w:rPr>
          <w:rFonts w:hint="eastAsia"/>
          <w:b/>
          <w:bCs/>
          <w:color w:val="000000" w:themeColor="text1"/>
          <w:sz w:val="32"/>
          <w:szCs w:val="32"/>
        </w:rPr>
        <w:t>92%</w:t>
      </w:r>
      <w:r>
        <w:rPr>
          <w:rFonts w:hint="eastAsia"/>
          <w:b/>
          <w:bCs/>
          <w:color w:val="000000" w:themeColor="text1"/>
          <w:sz w:val="32"/>
          <w:szCs w:val="32"/>
        </w:rPr>
        <w:t>。</w:t>
      </w:r>
    </w:p>
    <w:p w:rsidR="00AC58F0" w:rsidRDefault="00CA1F88">
      <w:pPr>
        <w:numPr>
          <w:ilvl w:val="0"/>
          <w:numId w:val="12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灯的初始光通量（灯具入库或到达安装现场的时间点）可由制造商或销售商标称，但其实测值不得低于标称值的</w:t>
      </w:r>
      <w:r>
        <w:rPr>
          <w:rFonts w:hint="eastAsia"/>
          <w:color w:val="000000" w:themeColor="text1"/>
        </w:rPr>
        <w:t>95%</w:t>
      </w:r>
      <w:r>
        <w:rPr>
          <w:rFonts w:hint="eastAsia"/>
          <w:color w:val="000000" w:themeColor="text1"/>
        </w:rPr>
        <w:t>，不得高于标称值的</w:t>
      </w:r>
      <w:r>
        <w:rPr>
          <w:rFonts w:hint="eastAsia"/>
          <w:color w:val="000000" w:themeColor="text1"/>
        </w:rPr>
        <w:t>105%</w:t>
      </w:r>
      <w:r>
        <w:rPr>
          <w:rFonts w:hint="eastAsia"/>
          <w:color w:val="000000" w:themeColor="text1"/>
        </w:rPr>
        <w:t>。</w:t>
      </w:r>
    </w:p>
    <w:p w:rsidR="00AC58F0" w:rsidRDefault="00CA1F88">
      <w:pPr>
        <w:numPr>
          <w:ilvl w:val="0"/>
          <w:numId w:val="12"/>
        </w:num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所有</w:t>
      </w:r>
      <w:r>
        <w:rPr>
          <w:rFonts w:hint="eastAsia"/>
          <w:color w:val="000000" w:themeColor="text1"/>
        </w:rPr>
        <w:t>LED</w:t>
      </w:r>
      <w:r>
        <w:rPr>
          <w:rFonts w:hint="eastAsia"/>
          <w:color w:val="000000" w:themeColor="text1"/>
        </w:rPr>
        <w:t>灯具外壳温度满载负荷两小时候后，温度升高不大于</w:t>
      </w:r>
      <w:r>
        <w:rPr>
          <w:rFonts w:hint="eastAsia"/>
          <w:color w:val="000000" w:themeColor="text1"/>
        </w:rPr>
        <w:t>30</w:t>
      </w:r>
      <w:r>
        <w:rPr>
          <w:rFonts w:hint="eastAsia"/>
          <w:color w:val="000000" w:themeColor="text1"/>
        </w:rPr>
        <w:t>℃。现场安装后抽检灯具的外壳温度。芯片引脚满载两小时后，温度升高不大于</w:t>
      </w:r>
      <w:r>
        <w:rPr>
          <w:rFonts w:hint="eastAsia"/>
          <w:color w:val="000000" w:themeColor="text1"/>
        </w:rPr>
        <w:t>60</w:t>
      </w:r>
      <w:r>
        <w:rPr>
          <w:rFonts w:hint="eastAsia"/>
          <w:color w:val="000000" w:themeColor="text1"/>
        </w:rPr>
        <w:t>℃。</w:t>
      </w:r>
    </w:p>
    <w:p w:rsidR="00AC58F0" w:rsidRDefault="00CA1F88">
      <w:pPr>
        <w:pStyle w:val="2"/>
        <w:numPr>
          <w:ilvl w:val="0"/>
          <w:numId w:val="2"/>
        </w:numPr>
        <w:spacing w:line="360" w:lineRule="auto"/>
        <w:ind w:firstLine="0"/>
        <w:rPr>
          <w:color w:val="000000" w:themeColor="text1"/>
        </w:rPr>
      </w:pPr>
      <w:bookmarkStart w:id="16" w:name="_Toc10067"/>
      <w:r>
        <w:rPr>
          <w:rFonts w:hint="eastAsia"/>
          <w:color w:val="000000" w:themeColor="text1"/>
        </w:rPr>
        <w:t>灯具附属防坠落装置及防坠落钢丝绳要求</w:t>
      </w:r>
      <w:bookmarkEnd w:id="16"/>
    </w:p>
    <w:p w:rsidR="00AC58F0" w:rsidRDefault="00CA1F88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技术文件详参有规定的，按详参规定执行，没有详参规定的，按照本通则执行。</w:t>
      </w:r>
    </w:p>
    <w:p w:rsidR="00AC58F0" w:rsidRDefault="00CA1F88">
      <w:pPr>
        <w:widowControl/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高空（高度大于2米）安装的灯具必须配置与灯具相匹配的连接件及防坠落装置。恶劣天气，强风袭击时，灯具不会坠落在地，保证安全。防坠落装置安装于合理位置。</w:t>
      </w:r>
    </w:p>
    <w:p w:rsidR="00AC58F0" w:rsidRDefault="00CA1F88">
      <w:pPr>
        <w:widowControl/>
        <w:numPr>
          <w:ilvl w:val="0"/>
          <w:numId w:val="13"/>
        </w:numPr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钢丝绳材质：304不锈钢；</w:t>
      </w:r>
    </w:p>
    <w:p w:rsidR="00AC58F0" w:rsidRDefault="00CA1F88">
      <w:pPr>
        <w:widowControl/>
        <w:numPr>
          <w:ilvl w:val="0"/>
          <w:numId w:val="13"/>
        </w:numPr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钢丝绳直径：≥3mm；</w:t>
      </w:r>
    </w:p>
    <w:p w:rsidR="00AC58F0" w:rsidRDefault="00CA1F88">
      <w:pPr>
        <w:widowControl/>
        <w:numPr>
          <w:ilvl w:val="0"/>
          <w:numId w:val="13"/>
        </w:numPr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>钢丝绳拉力：≥400Kg；</w:t>
      </w:r>
    </w:p>
    <w:p w:rsidR="00AC58F0" w:rsidRDefault="00CA1F88">
      <w:pPr>
        <w:widowControl/>
        <w:numPr>
          <w:ilvl w:val="0"/>
          <w:numId w:val="13"/>
        </w:numPr>
        <w:spacing w:line="360" w:lineRule="auto"/>
        <w:ind w:firstLineChars="200" w:firstLine="420"/>
        <w:jc w:val="left"/>
        <w:rPr>
          <w:rFonts w:ascii="宋体" w:hAnsi="宋体"/>
          <w:color w:val="000000" w:themeColor="text1"/>
          <w:kern w:val="0"/>
          <w:szCs w:val="21"/>
        </w:rPr>
      </w:pPr>
      <w:r>
        <w:rPr>
          <w:rFonts w:ascii="宋体" w:hAnsi="宋体" w:hint="eastAsia"/>
          <w:color w:val="000000" w:themeColor="text1"/>
          <w:kern w:val="0"/>
          <w:szCs w:val="21"/>
        </w:rPr>
        <w:t xml:space="preserve">钢丝绳两端固定方式：固定式（结合灯具安装支架等，螺丝可固定)。  </w:t>
      </w:r>
      <w:r>
        <w:rPr>
          <w:rFonts w:ascii="Arial" w:hAnsi="Arial" w:hint="eastAsia"/>
          <w:noProof/>
          <w:color w:val="000000" w:themeColor="text1"/>
        </w:rPr>
        <w:drawing>
          <wp:inline distT="0" distB="0" distL="114300" distR="114300">
            <wp:extent cx="2450465" cy="3266440"/>
            <wp:effectExtent l="0" t="0" r="635" b="10160"/>
            <wp:docPr id="182" name="图片 182" descr="IMG_20181126_16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 descr="IMG_20181126_1636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hint="eastAsia"/>
          <w:color w:val="000000" w:themeColor="text1"/>
        </w:rPr>
        <w:t xml:space="preserve">    </w:t>
      </w:r>
      <w:r>
        <w:rPr>
          <w:rFonts w:ascii="Arial" w:hAnsi="Arial" w:hint="eastAsia"/>
          <w:noProof/>
          <w:color w:val="000000" w:themeColor="text1"/>
        </w:rPr>
        <w:drawing>
          <wp:inline distT="0" distB="0" distL="114300" distR="114300">
            <wp:extent cx="2442845" cy="3257550"/>
            <wp:effectExtent l="0" t="0" r="8255" b="6350"/>
            <wp:docPr id="185" name="图片 185" descr="IMG_20181126_16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 descr="IMG_20181126_1637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8F0" w:rsidRDefault="00CA1F88">
      <w:pPr>
        <w:widowControl/>
        <w:spacing w:line="360" w:lineRule="auto"/>
        <w:rPr>
          <w:rFonts w:ascii="Arial" w:hAnsi="Arial"/>
          <w:color w:val="000000" w:themeColor="text1"/>
        </w:rPr>
      </w:pPr>
      <w:r>
        <w:rPr>
          <w:rFonts w:ascii="Arial" w:hAnsi="Arial" w:hint="eastAsia"/>
          <w:color w:val="000000" w:themeColor="text1"/>
        </w:rPr>
        <w:t xml:space="preserve">        </w:t>
      </w:r>
    </w:p>
    <w:p w:rsidR="00AC58F0" w:rsidRDefault="00CA1F88">
      <w:pPr>
        <w:widowControl/>
        <w:spacing w:line="360" w:lineRule="auto"/>
        <w:rPr>
          <w:rFonts w:ascii="宋体" w:hAnsi="宋体"/>
          <w:color w:val="000000" w:themeColor="text1"/>
        </w:rPr>
      </w:pPr>
      <w:r>
        <w:rPr>
          <w:rFonts w:ascii="Arial" w:hAnsi="Arial" w:hint="eastAsia"/>
          <w:noProof/>
          <w:color w:val="000000" w:themeColor="text1"/>
        </w:rPr>
        <w:lastRenderedPageBreak/>
        <w:drawing>
          <wp:inline distT="0" distB="0" distL="114300" distR="114300">
            <wp:extent cx="2211705" cy="3131185"/>
            <wp:effectExtent l="0" t="0" r="10795" b="5715"/>
            <wp:docPr id="186" name="图片 186" descr="IMG_20181126_16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 descr="IMG_20181126_163657"/>
                    <pic:cNvPicPr>
                      <a:picLocks noChangeAspect="1"/>
                    </pic:cNvPicPr>
                  </pic:nvPicPr>
                  <pic:blipFill>
                    <a:blip r:embed="rId11"/>
                    <a:srcRect l="5828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hint="eastAsia"/>
          <w:color w:val="000000" w:themeColor="text1"/>
        </w:rPr>
        <w:t xml:space="preserve">     </w:t>
      </w:r>
      <w:r>
        <w:rPr>
          <w:rFonts w:ascii="宋体" w:hAnsi="宋体" w:hint="eastAsia"/>
          <w:noProof/>
          <w:color w:val="000000" w:themeColor="text1"/>
        </w:rPr>
        <w:drawing>
          <wp:inline distT="0" distB="0" distL="114300" distR="114300">
            <wp:extent cx="2250440" cy="3140710"/>
            <wp:effectExtent l="0" t="0" r="10160" b="8890"/>
            <wp:docPr id="188" name="图片 129" descr="IMG_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29" descr="IMG_1119"/>
                    <pic:cNvPicPr>
                      <a:picLocks noChangeAspect="1"/>
                    </pic:cNvPicPr>
                  </pic:nvPicPr>
                  <pic:blipFill>
                    <a:blip r:embed="rId12"/>
                    <a:srcRect l="18029" r="41347" b="18710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C58F0" w:rsidRDefault="00AC58F0">
      <w:pPr>
        <w:widowControl/>
        <w:spacing w:line="360" w:lineRule="auto"/>
        <w:rPr>
          <w:rFonts w:ascii="宋体" w:hAnsi="宋体"/>
          <w:color w:val="000000" w:themeColor="text1"/>
        </w:rPr>
      </w:pPr>
    </w:p>
    <w:p w:rsidR="00AC58F0" w:rsidRDefault="00CA1F88">
      <w:pPr>
        <w:pStyle w:val="2"/>
        <w:numPr>
          <w:ilvl w:val="0"/>
          <w:numId w:val="2"/>
        </w:numPr>
        <w:spacing w:line="360" w:lineRule="auto"/>
        <w:rPr>
          <w:color w:val="000000" w:themeColor="text1"/>
        </w:rPr>
      </w:pPr>
      <w:bookmarkStart w:id="17" w:name="_Toc13459"/>
      <w:r>
        <w:rPr>
          <w:rFonts w:hint="eastAsia"/>
          <w:color w:val="000000" w:themeColor="text1"/>
        </w:rPr>
        <w:t>景观灯具检测要求</w:t>
      </w:r>
      <w:bookmarkEnd w:id="17"/>
    </w:p>
    <w:p w:rsidR="00AC58F0" w:rsidRDefault="00CA1F88">
      <w:pPr>
        <w:pStyle w:val="3"/>
        <w:numPr>
          <w:ilvl w:val="0"/>
          <w:numId w:val="14"/>
        </w:numPr>
        <w:spacing w:line="360" w:lineRule="auto"/>
        <w:ind w:leftChars="0" w:firstLineChars="0" w:hanging="5"/>
        <w:rPr>
          <w:color w:val="000000" w:themeColor="text1"/>
        </w:rPr>
      </w:pPr>
      <w:bookmarkStart w:id="18" w:name="_Toc30365"/>
      <w:r>
        <w:rPr>
          <w:rFonts w:hint="eastAsia"/>
          <w:color w:val="000000" w:themeColor="text1"/>
        </w:rPr>
        <w:t>说明</w:t>
      </w:r>
      <w:bookmarkEnd w:id="18"/>
    </w:p>
    <w:p w:rsidR="00AC58F0" w:rsidRDefault="00CA1F88">
      <w:pPr>
        <w:spacing w:line="360" w:lineRule="auto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技术文件详参有规定的，按详参规定执行，没有详参规定的，按照本通则执行。</w:t>
      </w:r>
    </w:p>
    <w:p w:rsidR="00AC58F0" w:rsidRDefault="00CA1F88">
      <w:pPr>
        <w:spacing w:line="360" w:lineRule="auto"/>
        <w:ind w:firstLineChars="131" w:firstLine="421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所有检测机构均必须为“国家级权威检测机构”。</w:t>
      </w:r>
    </w:p>
    <w:p w:rsidR="00AC58F0" w:rsidRDefault="00CA1F88">
      <w:pPr>
        <w:pStyle w:val="3"/>
        <w:numPr>
          <w:ilvl w:val="0"/>
          <w:numId w:val="14"/>
        </w:numPr>
        <w:spacing w:line="360" w:lineRule="auto"/>
        <w:ind w:leftChars="0" w:firstLineChars="0" w:hanging="5"/>
        <w:rPr>
          <w:color w:val="000000" w:themeColor="text1"/>
        </w:rPr>
      </w:pPr>
      <w:bookmarkStart w:id="19" w:name="_Toc6588"/>
      <w:r>
        <w:rPr>
          <w:rFonts w:hint="eastAsia"/>
          <w:color w:val="000000" w:themeColor="text1"/>
        </w:rPr>
        <w:t>灯具不同阶段检测项目</w:t>
      </w:r>
      <w:bookmarkEnd w:id="19"/>
    </w:p>
    <w:tbl>
      <w:tblPr>
        <w:tblW w:w="80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5805"/>
        <w:gridCol w:w="1465"/>
      </w:tblGrid>
      <w:tr w:rsidR="00AC58F0">
        <w:trPr>
          <w:trHeight w:val="91"/>
          <w:tblHeader/>
          <w:jc w:val="center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检测项目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 w:themeFill="background1" w:themeFillShade="D8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质保期期间</w:t>
            </w:r>
          </w:p>
          <w:p w:rsidR="00AC58F0" w:rsidRDefault="00CA1F88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全部灯具</w:t>
            </w:r>
          </w:p>
          <w:p w:rsidR="00AC58F0" w:rsidRDefault="00CA1F88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szCs w:val="21"/>
              </w:rPr>
              <w:t>抽检项目</w:t>
            </w:r>
          </w:p>
        </w:tc>
      </w:tr>
      <w:tr w:rsidR="00AC58F0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色度参数：相关色温、色容差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C58F0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电参数： 电压、电流、功率、功率因数（如果为交流供电）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C58F0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光度参数：配光曲线、光强、光束角/半峰发散角、光通量、整灯光效、R9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C58F0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外部接线和内部接线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C58F0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接地规定：</w:t>
            </w:r>
          </w:p>
          <w:p w:rsidR="00AC58F0" w:rsidRDefault="00CA1F88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220V的灯具需检测，24V等安全电压灯具无需检测。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C58F0">
        <w:trPr>
          <w:trHeight w:val="49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t>防尘、防固体异物和防水：</w:t>
            </w:r>
          </w:p>
          <w:p w:rsidR="00AC58F0" w:rsidRDefault="00CA1F88">
            <w:pPr>
              <w:spacing w:line="360" w:lineRule="auto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Cs w:val="21"/>
                <w:u w:val="single"/>
              </w:rPr>
              <w:lastRenderedPageBreak/>
              <w:t>一般灯具≥IP65。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lastRenderedPageBreak/>
              <w:t>√</w:t>
            </w:r>
          </w:p>
        </w:tc>
      </w:tr>
      <w:tr w:rsidR="00AC58F0">
        <w:trPr>
          <w:trHeight w:val="267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潮湿后的绝缘电阻和电气强度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  <w:tr w:rsidR="00AC58F0">
        <w:trPr>
          <w:trHeight w:val="9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可靠性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√</w:t>
            </w:r>
          </w:p>
        </w:tc>
      </w:tr>
    </w:tbl>
    <w:p w:rsidR="00AC58F0" w:rsidRDefault="00CA1F88">
      <w:pPr>
        <w:pStyle w:val="3"/>
        <w:numPr>
          <w:ilvl w:val="0"/>
          <w:numId w:val="14"/>
        </w:numPr>
        <w:spacing w:line="360" w:lineRule="auto"/>
        <w:ind w:leftChars="0" w:firstLineChars="0" w:hanging="5"/>
        <w:rPr>
          <w:color w:val="000000" w:themeColor="text1"/>
        </w:rPr>
      </w:pPr>
      <w:bookmarkStart w:id="20" w:name="_Toc12436"/>
      <w:r>
        <w:rPr>
          <w:rFonts w:hint="eastAsia"/>
          <w:color w:val="000000" w:themeColor="text1"/>
        </w:rPr>
        <w:t>质保期期间灯具其他抽检项目</w:t>
      </w:r>
      <w:bookmarkEnd w:id="20"/>
    </w:p>
    <w:tbl>
      <w:tblPr>
        <w:tblW w:w="81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251"/>
        <w:gridCol w:w="6424"/>
      </w:tblGrid>
      <w:tr w:rsidR="00AC58F0">
        <w:trPr>
          <w:trHeight w:val="929"/>
          <w:tblHeader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AC58F0" w:rsidRDefault="00CA1F88">
            <w:pPr>
              <w:spacing w:line="360" w:lineRule="auto"/>
              <w:jc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检测对象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检测项目</w:t>
            </w:r>
          </w:p>
        </w:tc>
      </w:tr>
      <w:tr w:rsidR="00AC58F0">
        <w:trPr>
          <w:trHeight w:val="726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外壳、外露安装支架、螺丝螺帽等附件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1、必须采用高压铸铝合金、拉伸铝合金、以及304不锈钢等材质。</w:t>
            </w:r>
          </w:p>
        </w:tc>
      </w:tr>
      <w:tr w:rsidR="00AC58F0">
        <w:trPr>
          <w:trHeight w:val="836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2、高处安装的灯具，必须要配备防坠落装置。</w:t>
            </w:r>
          </w:p>
        </w:tc>
      </w:tr>
      <w:tr w:rsidR="00AC58F0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防水接头、引出线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1、大功率灯具（大于30W）必须有防水接头，材质为不锈钢或铜</w:t>
            </w:r>
          </w:p>
        </w:tc>
      </w:tr>
      <w:tr w:rsidR="00AC58F0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2、大功率灯具（大于30W）引出线线径必须根据不小于1.5mm²</w:t>
            </w:r>
          </w:p>
        </w:tc>
      </w:tr>
      <w:tr w:rsidR="00AC58F0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电气安全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1、外部接线和内部接线</w:t>
            </w:r>
          </w:p>
        </w:tc>
      </w:tr>
      <w:tr w:rsidR="00AC58F0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2、接地规定：220V的灯具需检测，24V安全电压灯具无需检测</w:t>
            </w:r>
          </w:p>
        </w:tc>
      </w:tr>
      <w:tr w:rsidR="00AC58F0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3、潮湿后的绝缘电阻和电气强度</w:t>
            </w:r>
          </w:p>
        </w:tc>
      </w:tr>
      <w:tr w:rsidR="00AC58F0">
        <w:trPr>
          <w:trHeight w:val="593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4、其他：防雷击、防静电能力、电磁干扰、灯具外壳温升等</w:t>
            </w:r>
          </w:p>
        </w:tc>
      </w:tr>
      <w:tr w:rsidR="00AC58F0">
        <w:trPr>
          <w:trHeight w:val="712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防护等级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numPr>
                <w:ilvl w:val="0"/>
                <w:numId w:val="15"/>
              </w:numPr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一般灯具防护等级不小于IP65。</w:t>
            </w:r>
          </w:p>
        </w:tc>
      </w:tr>
      <w:tr w:rsidR="00AC58F0">
        <w:trPr>
          <w:trHeight w:val="593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灯具寿命及光衰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1、颗粒寿命不低于5万小时；</w:t>
            </w:r>
          </w:p>
        </w:tc>
      </w:tr>
      <w:tr w:rsidR="00AC58F0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2、灯具寿命不低于3万小时。</w:t>
            </w:r>
          </w:p>
        </w:tc>
      </w:tr>
      <w:tr w:rsidR="00AC58F0">
        <w:trPr>
          <w:trHeight w:val="59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3、灯具光衰符合国标要求。</w:t>
            </w:r>
          </w:p>
        </w:tc>
      </w:tr>
      <w:tr w:rsidR="00AC58F0">
        <w:trPr>
          <w:trHeight w:val="468"/>
          <w:jc w:val="center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驱动电源</w:t>
            </w:r>
          </w:p>
        </w:tc>
        <w:tc>
          <w:tcPr>
            <w:tcW w:w="6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1、普通恒压恒流源驱动电源、小于150W可调节电压的驱动电源品牌限定使用“台湾明纬”、“茂硕”、“英飞特”、“欧司朗（OSRAM）”、“飞利浦（PHILIPS）”；</w:t>
            </w:r>
          </w:p>
        </w:tc>
      </w:tr>
      <w:tr w:rsidR="00AC58F0">
        <w:trPr>
          <w:trHeight w:val="973"/>
          <w:jc w:val="center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6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:rsidR="00AC58F0">
        <w:trPr>
          <w:trHeight w:val="593"/>
          <w:jc w:val="center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AC58F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spacing w:line="360" w:lineRule="auto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、大于</w:t>
            </w:r>
            <w:r>
              <w:rPr>
                <w:rFonts w:hint="eastAsia"/>
                <w:color w:val="000000" w:themeColor="text1"/>
              </w:rPr>
              <w:t>150W</w:t>
            </w:r>
            <w:r>
              <w:rPr>
                <w:rFonts w:hint="eastAsia"/>
                <w:color w:val="000000" w:themeColor="text1"/>
              </w:rPr>
              <w:t>可调节电压的驱动电源推荐使用“三鑫虹”品牌。</w:t>
            </w:r>
          </w:p>
        </w:tc>
      </w:tr>
      <w:tr w:rsidR="00AC58F0">
        <w:trPr>
          <w:trHeight w:val="640"/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配光曲线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8F0" w:rsidRDefault="00CA1F88"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  <w:lang w:bidi="ar"/>
              </w:rPr>
              <w:t>光强、光通量、出光角度、色漂移、色容差、色一致性</w:t>
            </w:r>
          </w:p>
        </w:tc>
      </w:tr>
    </w:tbl>
    <w:p w:rsidR="00AC58F0" w:rsidRDefault="00CA1F88">
      <w:pPr>
        <w:pStyle w:val="2"/>
        <w:numPr>
          <w:ilvl w:val="0"/>
          <w:numId w:val="2"/>
        </w:numPr>
        <w:spacing w:line="360" w:lineRule="auto"/>
        <w:rPr>
          <w:color w:val="000000" w:themeColor="text1"/>
        </w:rPr>
      </w:pPr>
      <w:bookmarkStart w:id="21" w:name="_Toc694"/>
      <w:r>
        <w:rPr>
          <w:rFonts w:hint="eastAsia"/>
          <w:color w:val="000000" w:themeColor="text1"/>
        </w:rPr>
        <w:t>所有设施运输要求</w:t>
      </w:r>
      <w:bookmarkEnd w:id="21"/>
    </w:p>
    <w:p w:rsidR="00AC58F0" w:rsidRDefault="00CA1F88">
      <w:pPr>
        <w:pStyle w:val="3"/>
        <w:numPr>
          <w:ilvl w:val="0"/>
          <w:numId w:val="16"/>
        </w:numPr>
        <w:spacing w:line="360" w:lineRule="auto"/>
        <w:ind w:leftChars="0" w:firstLineChars="0" w:hanging="5"/>
        <w:rPr>
          <w:color w:val="000000" w:themeColor="text1"/>
        </w:rPr>
      </w:pPr>
      <w:bookmarkStart w:id="22" w:name="_Toc28100"/>
      <w:r>
        <w:rPr>
          <w:rFonts w:hint="eastAsia"/>
          <w:color w:val="000000" w:themeColor="text1"/>
        </w:rPr>
        <w:t>说明</w:t>
      </w:r>
      <w:bookmarkEnd w:id="22"/>
    </w:p>
    <w:p w:rsidR="00AC58F0" w:rsidRDefault="00CA1F88">
      <w:pPr>
        <w:pStyle w:val="Style2"/>
        <w:snapToGrid w:val="0"/>
        <w:spacing w:line="360" w:lineRule="auto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技术文件详参有规定的，按详参规定执行，没有详参规定的，按照本通则执行。</w:t>
      </w:r>
    </w:p>
    <w:p w:rsidR="00AC58F0" w:rsidRDefault="00CA1F88">
      <w:pPr>
        <w:pStyle w:val="Style2"/>
        <w:snapToGrid w:val="0"/>
        <w:spacing w:line="360" w:lineRule="auto"/>
        <w:ind w:firstLine="480"/>
        <w:rPr>
          <w:rFonts w:ascii="宋体" w:eastAsiaTheme="minorEastAsia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 w:val="24"/>
        </w:rPr>
        <w:t>包装应牢固，保证在运输过程中包捆不松动，避免构件之间、构件与包装物之间相互磨擦，损坏表面处理层。钢管管体的突出部分，如法兰、节点板等，采用有弹性、牢固的包装物包装。包装应采用合理的包装材料（草包、垫木、晴纶带、支架、打包带、打包扣、胶带等），采用合理的包装方式保证钢杆镀锌层/喷塑层/黑杆在储存、运输过程中不会因为颠簸、碰撞而表面划伤和变形。</w:t>
      </w:r>
    </w:p>
    <w:p w:rsidR="00AC58F0" w:rsidRDefault="00CA1F88">
      <w:pPr>
        <w:pStyle w:val="3"/>
        <w:numPr>
          <w:ilvl w:val="0"/>
          <w:numId w:val="16"/>
        </w:numPr>
        <w:spacing w:line="360" w:lineRule="auto"/>
        <w:ind w:leftChars="0" w:firstLineChars="0" w:hanging="5"/>
        <w:rPr>
          <w:color w:val="000000" w:themeColor="text1"/>
        </w:rPr>
      </w:pPr>
      <w:bookmarkStart w:id="23" w:name="_Toc5657"/>
      <w:r>
        <w:rPr>
          <w:rFonts w:hint="eastAsia"/>
          <w:color w:val="000000" w:themeColor="text1"/>
        </w:rPr>
        <w:t>运输用基本设备及常用材料</w:t>
      </w:r>
      <w:bookmarkEnd w:id="23"/>
    </w:p>
    <w:p w:rsidR="00AC58F0" w:rsidRDefault="00CA1F88">
      <w:pPr>
        <w:spacing w:line="360" w:lineRule="auto"/>
        <w:ind w:firstLineChars="200" w:firstLine="4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rFonts w:hint="eastAsia"/>
          <w:color w:val="000000" w:themeColor="text1"/>
        </w:rPr>
        <w:t>行车；</w:t>
      </w:r>
      <w:r>
        <w:rPr>
          <w:color w:val="000000" w:themeColor="text1"/>
        </w:rPr>
        <w:t>b.</w:t>
      </w:r>
      <w:r>
        <w:rPr>
          <w:rFonts w:hint="eastAsia"/>
          <w:color w:val="000000" w:themeColor="text1"/>
        </w:rPr>
        <w:t>叉车；</w:t>
      </w:r>
      <w:r>
        <w:rPr>
          <w:color w:val="000000" w:themeColor="text1"/>
        </w:rPr>
        <w:t>c.</w:t>
      </w:r>
      <w:r>
        <w:rPr>
          <w:rFonts w:hint="eastAsia"/>
          <w:color w:val="000000" w:themeColor="text1"/>
        </w:rPr>
        <w:t>各种规格的胶合板垫木；</w:t>
      </w:r>
      <w:r>
        <w:rPr>
          <w:color w:val="000000" w:themeColor="text1"/>
        </w:rPr>
        <w:t>d.</w:t>
      </w:r>
      <w:r>
        <w:rPr>
          <w:rFonts w:hint="eastAsia"/>
          <w:color w:val="000000" w:themeColor="text1"/>
        </w:rPr>
        <w:t>带塑料保护套的钢丝绳、紧固拉钩套件、花兰螺丝、捆绑器、钢钉；</w:t>
      </w:r>
      <w:r>
        <w:rPr>
          <w:color w:val="000000" w:themeColor="text1"/>
        </w:rPr>
        <w:t>e.</w:t>
      </w:r>
      <w:r>
        <w:rPr>
          <w:rFonts w:hint="eastAsia"/>
          <w:color w:val="000000" w:themeColor="text1"/>
        </w:rPr>
        <w:t>晴纶卷、橡胶板、稻草绳；</w:t>
      </w:r>
      <w:r>
        <w:rPr>
          <w:color w:val="000000" w:themeColor="text1"/>
        </w:rPr>
        <w:t>f.</w:t>
      </w:r>
      <w:r>
        <w:rPr>
          <w:rFonts w:hint="eastAsia"/>
          <w:color w:val="000000" w:themeColor="text1"/>
        </w:rPr>
        <w:t>钢制打包带；</w:t>
      </w:r>
      <w:r>
        <w:rPr>
          <w:color w:val="000000" w:themeColor="text1"/>
        </w:rPr>
        <w:t>g.</w:t>
      </w:r>
      <w:r>
        <w:rPr>
          <w:rFonts w:hint="eastAsia"/>
          <w:color w:val="000000" w:themeColor="text1"/>
        </w:rPr>
        <w:t>发泡塑料（喷塑杆专用）；</w:t>
      </w:r>
      <w:r>
        <w:rPr>
          <w:color w:val="000000" w:themeColor="text1"/>
        </w:rPr>
        <w:t>h.</w:t>
      </w:r>
      <w:r>
        <w:rPr>
          <w:rFonts w:hint="eastAsia"/>
          <w:color w:val="000000" w:themeColor="text1"/>
        </w:rPr>
        <w:t>尼龙绳（用于替代目前喷塑杆包装中使用的草绳）；</w:t>
      </w:r>
      <w:r>
        <w:rPr>
          <w:color w:val="000000" w:themeColor="text1"/>
        </w:rPr>
        <w:t>i.</w:t>
      </w:r>
      <w:r>
        <w:rPr>
          <w:rFonts w:hint="eastAsia"/>
          <w:color w:val="000000" w:themeColor="text1"/>
        </w:rPr>
        <w:t>胶合板配件箱；</w:t>
      </w:r>
      <w:r>
        <w:rPr>
          <w:color w:val="000000" w:themeColor="text1"/>
        </w:rPr>
        <w:t>j.</w:t>
      </w:r>
      <w:r>
        <w:rPr>
          <w:rFonts w:hint="eastAsia"/>
          <w:color w:val="000000" w:themeColor="text1"/>
        </w:rPr>
        <w:t>木料切割机；</w:t>
      </w:r>
      <w:r>
        <w:rPr>
          <w:color w:val="000000" w:themeColor="text1"/>
        </w:rPr>
        <w:t>k.</w:t>
      </w:r>
      <w:r>
        <w:rPr>
          <w:rFonts w:hint="eastAsia"/>
          <w:color w:val="000000" w:themeColor="text1"/>
        </w:rPr>
        <w:t>镀锌螺丝及螺母（用于小部件固定）。</w:t>
      </w:r>
    </w:p>
    <w:p w:rsidR="00AC58F0" w:rsidRDefault="00AC58F0">
      <w:pPr>
        <w:pStyle w:val="1"/>
        <w:spacing w:before="156" w:after="468" w:line="360" w:lineRule="auto"/>
        <w:jc w:val="both"/>
      </w:pPr>
    </w:p>
    <w:p w:rsidR="00AC58F0" w:rsidRDefault="00AC58F0">
      <w:pPr>
        <w:pStyle w:val="1"/>
        <w:spacing w:before="156" w:after="468" w:line="360" w:lineRule="auto"/>
        <w:jc w:val="both"/>
      </w:pPr>
    </w:p>
    <w:p w:rsidR="00AC58F0" w:rsidRDefault="00AC58F0"/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CA1F88">
      <w:pPr>
        <w:pStyle w:val="1"/>
        <w:spacing w:before="156" w:after="468" w:line="360" w:lineRule="auto"/>
      </w:pPr>
      <w:r>
        <w:rPr>
          <w:rFonts w:hint="eastAsia"/>
        </w:rPr>
        <w:lastRenderedPageBreak/>
        <w:t>四、详细参数</w:t>
      </w:r>
    </w:p>
    <w:p w:rsidR="00AC58F0" w:rsidRDefault="00CA1F88">
      <w:pPr>
        <w:pStyle w:val="2"/>
      </w:pPr>
      <w:r>
        <w:rPr>
          <w:rFonts w:hint="eastAsia"/>
        </w:rPr>
        <w:t>（一）</w:t>
      </w:r>
      <w:r>
        <w:rPr>
          <w:rFonts w:asciiTheme="minorEastAsia" w:eastAsiaTheme="minorEastAsia" w:hAnsiTheme="minorEastAsia" w:cstheme="minorEastAsia" w:hint="eastAsia"/>
          <w:szCs w:val="21"/>
        </w:rPr>
        <w:t>T1立杆投光灯</w:t>
      </w:r>
    </w:p>
    <w:p w:rsidR="00AC58F0" w:rsidRDefault="00CA1F88">
      <w:pPr>
        <w:numPr>
          <w:ilvl w:val="0"/>
          <w:numId w:val="17"/>
        </w:num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灯杆：技术参数按照“附件1灯杆”实施。</w:t>
      </w:r>
    </w:p>
    <w:p w:rsidR="00AC58F0" w:rsidRDefault="00CA1F88">
      <w:pPr>
        <w:numPr>
          <w:ilvl w:val="0"/>
          <w:numId w:val="17"/>
        </w:num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投光灯：技术参数参考“附件2”实施。</w:t>
      </w:r>
    </w:p>
    <w:p w:rsidR="00AC58F0" w:rsidRDefault="00CA1F88">
      <w:pPr>
        <w:numPr>
          <w:ilvl w:val="0"/>
          <w:numId w:val="17"/>
        </w:num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被照面尺寸：见下图</w:t>
      </w:r>
    </w:p>
    <w:p w:rsidR="00AC58F0" w:rsidRDefault="00CA1F8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noProof/>
          <w:sz w:val="28"/>
          <w:szCs w:val="28"/>
        </w:rPr>
        <w:drawing>
          <wp:inline distT="0" distB="0" distL="0" distR="0">
            <wp:extent cx="5507355" cy="220789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3986" cy="221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8F0" w:rsidRDefault="00CA1F88">
      <w:pPr>
        <w:numPr>
          <w:ilvl w:val="0"/>
          <w:numId w:val="17"/>
        </w:num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被照面反射率为0.4。</w:t>
      </w:r>
    </w:p>
    <w:p w:rsidR="00AC58F0" w:rsidRDefault="00CA1F88">
      <w:pPr>
        <w:numPr>
          <w:ilvl w:val="0"/>
          <w:numId w:val="17"/>
        </w:num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立杆投光灯平面布置：见下图（每套立杆5个灯头，共5套立杆）</w:t>
      </w:r>
    </w:p>
    <w:p w:rsidR="00AC58F0" w:rsidRDefault="00CA1F8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noProof/>
          <w:sz w:val="28"/>
          <w:szCs w:val="28"/>
        </w:rPr>
        <w:drawing>
          <wp:inline distT="0" distB="0" distL="0" distR="0">
            <wp:extent cx="5272405" cy="1955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0148" cy="196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8F0" w:rsidRDefault="00AC58F0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AC58F0" w:rsidRDefault="00CA1F88">
      <w:pPr>
        <w:numPr>
          <w:ilvl w:val="0"/>
          <w:numId w:val="17"/>
        </w:num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照明效果指标：平均亮度10cd/m² </w:t>
      </w:r>
    </w:p>
    <w:p w:rsidR="00AC58F0" w:rsidRDefault="00AC58F0"/>
    <w:p w:rsidR="00AC58F0" w:rsidRDefault="00AC58F0"/>
    <w:p w:rsidR="00AC58F0" w:rsidRDefault="00CA1F88">
      <w:r>
        <w:rPr>
          <w:noProof/>
        </w:rPr>
        <w:lastRenderedPageBreak/>
        <w:drawing>
          <wp:inline distT="0" distB="0" distL="0" distR="0">
            <wp:extent cx="2821305" cy="1435100"/>
            <wp:effectExtent l="19050" t="0" r="0" b="0"/>
            <wp:docPr id="3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3080" cy="1435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98395" cy="1250950"/>
            <wp:effectExtent l="19050" t="0" r="1827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3656" cy="1253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54229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8F0" w:rsidRDefault="00AC58F0">
      <w:pPr>
        <w:pStyle w:val="2"/>
      </w:pPr>
    </w:p>
    <w:p w:rsidR="00AC58F0" w:rsidRDefault="00AC58F0"/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CA1F88">
      <w:pPr>
        <w:pStyle w:val="2"/>
        <w:rPr>
          <w:rFonts w:ascii="宋体" w:eastAsia="宋体" w:hAnsi="宋体" w:cs="宋体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、灯杆</w:t>
      </w:r>
    </w:p>
    <w:p w:rsidR="00AC58F0" w:rsidRDefault="00CA1F88">
      <w:pPr>
        <w:rPr>
          <w:rFonts w:eastAsia="华文细黑"/>
          <w:sz w:val="30"/>
          <w:szCs w:val="30"/>
        </w:rPr>
      </w:pPr>
      <w:r>
        <w:rPr>
          <w:rFonts w:eastAsia="华文细黑" w:hint="eastAsia"/>
          <w:noProof/>
          <w:sz w:val="30"/>
          <w:szCs w:val="30"/>
        </w:rPr>
        <w:drawing>
          <wp:inline distT="0" distB="0" distL="0" distR="0">
            <wp:extent cx="3078480" cy="4869180"/>
            <wp:effectExtent l="19050" t="0" r="7620" b="0"/>
            <wp:docPr id="2" name="图片 1" descr="纷享20200805155139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纷享20200805155139-25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华文细黑" w:hint="eastAsia"/>
          <w:sz w:val="30"/>
          <w:szCs w:val="30"/>
        </w:rPr>
        <w:t xml:space="preserve">           </w:t>
      </w:r>
    </w:p>
    <w:p w:rsidR="00AC58F0" w:rsidRDefault="00AC58F0">
      <w:pPr>
        <w:pStyle w:val="2"/>
      </w:pPr>
    </w:p>
    <w:p w:rsidR="00AC58F0" w:rsidRDefault="00AC58F0"/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AC58F0">
      <w:pPr>
        <w:pStyle w:val="Default"/>
      </w:pPr>
    </w:p>
    <w:p w:rsidR="00AC58F0" w:rsidRDefault="00CA1F88">
      <w:pPr>
        <w:pStyle w:val="2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、</w:t>
      </w:r>
    </w:p>
    <w:p w:rsidR="00AC58F0" w:rsidRDefault="00CA1F88">
      <w:pPr>
        <w:rPr>
          <w:rFonts w:eastAsia="华文细黑"/>
          <w:sz w:val="30"/>
          <w:szCs w:val="30"/>
        </w:rPr>
      </w:pPr>
      <w:bookmarkStart w:id="24" w:name="_Toc9604652"/>
      <w:bookmarkStart w:id="25" w:name="_Toc472916386"/>
      <w:bookmarkStart w:id="26" w:name="_Toc462668482"/>
      <w:r>
        <w:rPr>
          <w:rFonts w:eastAsia="华文细黑"/>
          <w:bCs/>
          <w:noProof/>
          <w:sz w:val="30"/>
          <w:szCs w:val="30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1544320</wp:posOffset>
            </wp:positionH>
            <wp:positionV relativeFrom="paragraph">
              <wp:posOffset>138430</wp:posOffset>
            </wp:positionV>
            <wp:extent cx="1444625" cy="1222375"/>
            <wp:effectExtent l="0" t="0" r="3175" b="9525"/>
            <wp:wrapNone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4"/>
      <w:r>
        <w:rPr>
          <w:rFonts w:eastAsia="华文细黑" w:hint="eastAsia"/>
          <w:sz w:val="30"/>
          <w:szCs w:val="30"/>
        </w:rPr>
        <w:t>150W</w:t>
      </w:r>
      <w:r>
        <w:rPr>
          <w:rFonts w:eastAsia="华文细黑" w:hint="eastAsia"/>
          <w:sz w:val="30"/>
          <w:szCs w:val="30"/>
        </w:rPr>
        <w:t>投光灯</w:t>
      </w:r>
    </w:p>
    <w:p w:rsidR="00AC58F0" w:rsidRDefault="00CA1F88">
      <w:pPr>
        <w:tabs>
          <w:tab w:val="left" w:pos="6344"/>
        </w:tabs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114300" distR="114300">
            <wp:extent cx="1212850" cy="941705"/>
            <wp:effectExtent l="0" t="0" r="6350" b="1079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ab/>
      </w:r>
      <w:r>
        <w:t xml:space="preserve"> 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2125"/>
        <w:gridCol w:w="263"/>
        <w:gridCol w:w="1715"/>
        <w:gridCol w:w="598"/>
        <w:gridCol w:w="2934"/>
      </w:tblGrid>
      <w:tr w:rsidR="00AC58F0">
        <w:trPr>
          <w:trHeight w:val="179"/>
          <w:jc w:val="center"/>
        </w:trPr>
        <w:tc>
          <w:tcPr>
            <w:tcW w:w="10087" w:type="dxa"/>
            <w:gridSpan w:val="6"/>
            <w:shd w:val="clear" w:color="auto" w:fill="E5DFEC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照明目标</w:t>
            </w: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反射率</w:t>
            </w:r>
          </w:p>
        </w:tc>
        <w:tc>
          <w:tcPr>
            <w:tcW w:w="7635" w:type="dxa"/>
            <w:gridSpan w:val="5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</w:t>
            </w: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shd w:val="clear" w:color="auto" w:fill="auto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灯具外沿距被照面d（m）</w:t>
            </w:r>
          </w:p>
        </w:tc>
        <w:tc>
          <w:tcPr>
            <w:tcW w:w="7635" w:type="dxa"/>
            <w:gridSpan w:val="5"/>
            <w:shd w:val="clear" w:color="auto" w:fill="FFFFFF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≤20</w:t>
            </w:r>
            <w:r>
              <w:rPr>
                <w:rFonts w:ascii="宋体" w:hAnsi="宋体"/>
              </w:rPr>
              <w:t>m</w:t>
            </w: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被照面高h(m)</w:t>
            </w:r>
          </w:p>
        </w:tc>
        <w:tc>
          <w:tcPr>
            <w:tcW w:w="7635" w:type="dxa"/>
            <w:gridSpan w:val="5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维护系数</w:t>
            </w:r>
          </w:p>
        </w:tc>
        <w:tc>
          <w:tcPr>
            <w:tcW w:w="7635" w:type="dxa"/>
            <w:gridSpan w:val="5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</w:t>
            </w:r>
            <w:r>
              <w:rPr>
                <w:rFonts w:ascii="宋体" w:hAnsi="宋体"/>
              </w:rPr>
              <w:t>8</w:t>
            </w: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vMerge w:val="restart"/>
            <w:shd w:val="clear" w:color="auto" w:fill="auto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亮度要求</w:t>
            </w: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平均亮度(cd/m</w:t>
            </w:r>
            <w:r>
              <w:rPr>
                <w:rFonts w:ascii="宋体" w:hAnsi="宋体" w:hint="eastAsia"/>
                <w:vertAlign w:val="superscript"/>
              </w:rPr>
              <w:t>2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2313" w:type="dxa"/>
            <w:gridSpan w:val="2"/>
            <w:shd w:val="clear" w:color="auto" w:fill="FFFFFF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≥</w:t>
            </w:r>
            <w:r>
              <w:rPr>
                <w:rFonts w:ascii="宋体" w:hAnsi="宋体"/>
              </w:rPr>
              <w:t>10</w:t>
            </w:r>
          </w:p>
        </w:tc>
        <w:tc>
          <w:tcPr>
            <w:tcW w:w="2934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立面平均亮度不低于该值</w:t>
            </w: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vMerge/>
            <w:shd w:val="clear" w:color="auto" w:fill="auto"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最小亮度(cd/m</w:t>
            </w:r>
            <w:r>
              <w:rPr>
                <w:rFonts w:ascii="宋体" w:hAnsi="宋体" w:hint="eastAsia"/>
                <w:vertAlign w:val="superscript"/>
              </w:rPr>
              <w:t>2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2313" w:type="dxa"/>
            <w:gridSpan w:val="2"/>
            <w:shd w:val="clear" w:color="auto" w:fill="FFFFFF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≥1.8</w:t>
            </w:r>
          </w:p>
        </w:tc>
        <w:tc>
          <w:tcPr>
            <w:tcW w:w="2934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6m处亮度不低于该值</w:t>
            </w: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vMerge w:val="restart"/>
            <w:shd w:val="clear" w:color="auto" w:fill="auto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效果质量</w:t>
            </w: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均匀度</w:t>
            </w:r>
          </w:p>
        </w:tc>
        <w:tc>
          <w:tcPr>
            <w:tcW w:w="5247" w:type="dxa"/>
            <w:gridSpan w:val="3"/>
            <w:shd w:val="clear" w:color="auto" w:fill="FFFFFF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≥0.2，此数值越接近于1越好</w:t>
            </w: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vMerge/>
            <w:shd w:val="clear" w:color="auto" w:fill="auto"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暗斑高度(m)</w:t>
            </w:r>
          </w:p>
        </w:tc>
        <w:tc>
          <w:tcPr>
            <w:tcW w:w="5247" w:type="dxa"/>
            <w:gridSpan w:val="3"/>
            <w:shd w:val="clear" w:color="auto" w:fill="FFFFFF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≤0.1</w:t>
            </w:r>
            <w:r>
              <w:rPr>
                <w:rFonts w:ascii="宋体" w:hAnsi="宋体"/>
              </w:rPr>
              <w:t>m</w:t>
            </w:r>
            <w:r>
              <w:rPr>
                <w:rFonts w:ascii="宋体" w:hAnsi="宋体" w:hint="eastAsia"/>
              </w:rPr>
              <w:t>，暗斑高度越小越好</w:t>
            </w: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vMerge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  <w:tc>
          <w:tcPr>
            <w:tcW w:w="7635" w:type="dxa"/>
            <w:gridSpan w:val="5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灯具投光方向可调，被照面投射过渡自然无暗区；灯具对行人的眩光越低越好。</w:t>
            </w:r>
          </w:p>
        </w:tc>
      </w:tr>
      <w:tr w:rsidR="00AC58F0">
        <w:trPr>
          <w:trHeight w:val="179"/>
          <w:jc w:val="center"/>
        </w:trPr>
        <w:tc>
          <w:tcPr>
            <w:tcW w:w="10087" w:type="dxa"/>
            <w:gridSpan w:val="6"/>
            <w:shd w:val="clear" w:color="auto" w:fill="E5DFEC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设备需求</w:t>
            </w: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灯具类型</w:t>
            </w:r>
          </w:p>
        </w:tc>
        <w:tc>
          <w:tcPr>
            <w:tcW w:w="4103" w:type="dxa"/>
            <w:gridSpan w:val="3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中光束投光灯</w:t>
            </w:r>
          </w:p>
        </w:tc>
        <w:tc>
          <w:tcPr>
            <w:tcW w:w="3532" w:type="dxa"/>
            <w:gridSpan w:val="2"/>
            <w:vMerge w:val="restart"/>
            <w:vAlign w:val="center"/>
          </w:tcPr>
          <w:p w:rsidR="00AC58F0" w:rsidRDefault="00CA1F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w:drawing>
                <wp:inline distT="0" distB="0" distL="114300" distR="114300">
                  <wp:extent cx="2104390" cy="1255395"/>
                  <wp:effectExtent l="0" t="0" r="3810" b="1905"/>
                  <wp:docPr id="4" name="图片 4" descr="2ddd28b0944b1e36a5eb54e831e7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ddd28b0944b1e36a5eb54e831e7ca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39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58F0" w:rsidRDefault="00CA1F88">
            <w:pPr>
              <w:pStyle w:val="a7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  <w:r>
              <w:rPr>
                <w:color w:val="auto"/>
              </w:rPr>
              <w:t>：</w:t>
            </w:r>
            <w:r>
              <w:rPr>
                <w:color w:val="auto"/>
              </w:rPr>
              <w:t>mm</w:t>
            </w:r>
          </w:p>
          <w:p w:rsidR="00AC58F0" w:rsidRDefault="00CA1F88">
            <w:pPr>
              <w:pStyle w:val="a7"/>
              <w:jc w:val="both"/>
              <w:rPr>
                <w:rFonts w:ascii="宋体" w:hAnsi="宋体"/>
                <w:color w:val="auto"/>
              </w:rPr>
            </w:pPr>
            <w:r>
              <w:rPr>
                <w:rFonts w:ascii="宋体" w:hAnsi="宋体" w:hint="eastAsia"/>
                <w:color w:val="auto"/>
                <w:szCs w:val="18"/>
              </w:rPr>
              <w:t>注：灯具图片仅作参考，灯珠排布及灯具外型由厂家深化，设计方及业主方最终确定。</w:t>
            </w:r>
          </w:p>
        </w:tc>
      </w:tr>
      <w:tr w:rsidR="00AC58F0">
        <w:trPr>
          <w:trHeight w:val="242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光源类型</w:t>
            </w:r>
          </w:p>
        </w:tc>
        <w:tc>
          <w:tcPr>
            <w:tcW w:w="4103" w:type="dxa"/>
            <w:gridSpan w:val="3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LED</w:t>
            </w:r>
          </w:p>
        </w:tc>
        <w:tc>
          <w:tcPr>
            <w:tcW w:w="3532" w:type="dxa"/>
            <w:gridSpan w:val="2"/>
            <w:vMerge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</w:tr>
      <w:tr w:rsidR="00AC58F0">
        <w:trPr>
          <w:trHeight w:val="227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色温</w:t>
            </w:r>
            <w:r>
              <w:rPr>
                <w:rFonts w:ascii="宋体" w:hAnsi="宋体"/>
                <w:kern w:val="0"/>
              </w:rPr>
              <w:t>/</w:t>
            </w:r>
            <w:r>
              <w:rPr>
                <w:rFonts w:ascii="宋体" w:hAnsi="宋体" w:hint="eastAsia"/>
                <w:kern w:val="0"/>
              </w:rPr>
              <w:t>颜色</w:t>
            </w:r>
          </w:p>
        </w:tc>
        <w:tc>
          <w:tcPr>
            <w:tcW w:w="2125" w:type="dxa"/>
            <w:vAlign w:val="center"/>
          </w:tcPr>
          <w:p w:rsidR="00AC58F0" w:rsidRDefault="00CA1F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灯壳颜色按现场要求</w:t>
            </w:r>
          </w:p>
        </w:tc>
        <w:tc>
          <w:tcPr>
            <w:tcW w:w="1978" w:type="dxa"/>
            <w:gridSpan w:val="2"/>
            <w:vAlign w:val="center"/>
          </w:tcPr>
          <w:p w:rsidR="00AC58F0" w:rsidRDefault="00CA1F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4000K±100K</w:t>
            </w:r>
          </w:p>
        </w:tc>
        <w:tc>
          <w:tcPr>
            <w:tcW w:w="3532" w:type="dxa"/>
            <w:gridSpan w:val="2"/>
            <w:vMerge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</w:tr>
      <w:tr w:rsidR="00AC58F0">
        <w:trPr>
          <w:trHeight w:val="238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</w:t>
            </w:r>
            <w:r>
              <w:rPr>
                <w:rFonts w:ascii="宋体" w:hAnsi="宋体"/>
              </w:rPr>
              <w:t>电压</w:t>
            </w:r>
          </w:p>
        </w:tc>
        <w:tc>
          <w:tcPr>
            <w:tcW w:w="4103" w:type="dxa"/>
            <w:gridSpan w:val="3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</w:t>
            </w:r>
            <w:r>
              <w:rPr>
                <w:rFonts w:ascii="宋体" w:hAnsi="宋体"/>
              </w:rPr>
              <w:t>C 2</w:t>
            </w:r>
            <w:r>
              <w:rPr>
                <w:rFonts w:ascii="宋体" w:hAnsi="宋体" w:hint="eastAsia"/>
              </w:rPr>
              <w:t>20V</w:t>
            </w:r>
          </w:p>
        </w:tc>
        <w:tc>
          <w:tcPr>
            <w:tcW w:w="3532" w:type="dxa"/>
            <w:gridSpan w:val="2"/>
            <w:vMerge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</w:tr>
      <w:tr w:rsidR="00AC58F0">
        <w:trPr>
          <w:trHeight w:val="238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光源功率</w:t>
            </w:r>
          </w:p>
        </w:tc>
        <w:tc>
          <w:tcPr>
            <w:tcW w:w="4103" w:type="dxa"/>
            <w:gridSpan w:val="3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150</w:t>
            </w:r>
            <w:r>
              <w:rPr>
                <w:rFonts w:ascii="宋体" w:hAnsi="宋体" w:hint="eastAsia"/>
              </w:rPr>
              <w:t>W</w:t>
            </w:r>
          </w:p>
        </w:tc>
        <w:tc>
          <w:tcPr>
            <w:tcW w:w="3532" w:type="dxa"/>
            <w:gridSpan w:val="2"/>
            <w:vMerge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</w:tr>
      <w:tr w:rsidR="00AC58F0">
        <w:trPr>
          <w:trHeight w:val="238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温度范围</w:t>
            </w:r>
          </w:p>
        </w:tc>
        <w:tc>
          <w:tcPr>
            <w:tcW w:w="4103" w:type="dxa"/>
            <w:gridSpan w:val="3"/>
            <w:vAlign w:val="center"/>
          </w:tcPr>
          <w:p w:rsidR="00AC58F0" w:rsidRDefault="00CA1F88">
            <w:pPr>
              <w:rPr>
                <w:rFonts w:ascii="宋体" w:hAnsi="宋体" w:cs="HYg2gj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工作温度</w:t>
            </w:r>
            <w:r>
              <w:rPr>
                <w:rFonts w:ascii="宋体" w:hAnsi="宋体"/>
              </w:rPr>
              <w:t>-20°C ~ +</w:t>
            </w:r>
            <w:r>
              <w:rPr>
                <w:rFonts w:ascii="宋体" w:hAnsi="宋体" w:hint="eastAsia"/>
              </w:rPr>
              <w:t>50</w:t>
            </w:r>
            <w:r>
              <w:rPr>
                <w:rFonts w:ascii="宋体" w:hAnsi="宋体"/>
              </w:rPr>
              <w:t>°C</w:t>
            </w:r>
          </w:p>
        </w:tc>
        <w:tc>
          <w:tcPr>
            <w:tcW w:w="3532" w:type="dxa"/>
            <w:gridSpan w:val="2"/>
            <w:vMerge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</w:tr>
      <w:tr w:rsidR="00AC58F0">
        <w:trPr>
          <w:trHeight w:val="413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材质颜色</w:t>
            </w:r>
          </w:p>
        </w:tc>
        <w:tc>
          <w:tcPr>
            <w:tcW w:w="4103" w:type="dxa"/>
            <w:gridSpan w:val="3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公共空间灯具可见时，灯具外壳与安装位置表面颜色一致。</w:t>
            </w:r>
          </w:p>
        </w:tc>
        <w:tc>
          <w:tcPr>
            <w:tcW w:w="3532" w:type="dxa"/>
            <w:gridSpan w:val="2"/>
            <w:vMerge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</w:tr>
      <w:tr w:rsidR="00AC58F0">
        <w:trPr>
          <w:trHeight w:val="465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尺寸要求</w:t>
            </w:r>
          </w:p>
        </w:tc>
        <w:tc>
          <w:tcPr>
            <w:tcW w:w="4103" w:type="dxa"/>
            <w:gridSpan w:val="3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灯具</w:t>
            </w:r>
            <w:r>
              <w:rPr>
                <w:rFonts w:ascii="宋体" w:hAnsi="宋体"/>
              </w:rPr>
              <w:t>尺寸参考右图，满足</w:t>
            </w:r>
            <w:r>
              <w:rPr>
                <w:rFonts w:ascii="宋体" w:hAnsi="宋体" w:hint="eastAsia"/>
              </w:rPr>
              <w:t>照明</w:t>
            </w:r>
            <w:r>
              <w:rPr>
                <w:rFonts w:ascii="宋体" w:hAnsi="宋体"/>
              </w:rPr>
              <w:t>效果情况下尺寸越小越好。</w:t>
            </w:r>
          </w:p>
        </w:tc>
        <w:tc>
          <w:tcPr>
            <w:tcW w:w="3532" w:type="dxa"/>
            <w:gridSpan w:val="2"/>
            <w:vMerge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</w:tr>
      <w:tr w:rsidR="00AC58F0">
        <w:trPr>
          <w:trHeight w:val="179"/>
          <w:jc w:val="center"/>
        </w:trPr>
        <w:tc>
          <w:tcPr>
            <w:tcW w:w="2452" w:type="dxa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防护等级</w:t>
            </w:r>
          </w:p>
        </w:tc>
        <w:tc>
          <w:tcPr>
            <w:tcW w:w="4103" w:type="dxa"/>
            <w:gridSpan w:val="3"/>
            <w:vAlign w:val="center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IP6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3532" w:type="dxa"/>
            <w:gridSpan w:val="2"/>
            <w:vMerge/>
            <w:vAlign w:val="center"/>
          </w:tcPr>
          <w:p w:rsidR="00AC58F0" w:rsidRDefault="00AC58F0">
            <w:pPr>
              <w:rPr>
                <w:rFonts w:ascii="宋体" w:hAnsi="宋体"/>
              </w:rPr>
            </w:pPr>
          </w:p>
        </w:tc>
      </w:tr>
      <w:tr w:rsidR="00AC58F0">
        <w:trPr>
          <w:trHeight w:val="179"/>
          <w:jc w:val="center"/>
        </w:trPr>
        <w:tc>
          <w:tcPr>
            <w:tcW w:w="2452" w:type="dxa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附件要求</w:t>
            </w:r>
          </w:p>
        </w:tc>
        <w:tc>
          <w:tcPr>
            <w:tcW w:w="7635" w:type="dxa"/>
            <w:gridSpan w:val="5"/>
          </w:tcPr>
          <w:p w:rsidR="00AC58F0" w:rsidRDefault="00CA1F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灯具防眩处理。</w:t>
            </w:r>
          </w:p>
        </w:tc>
      </w:tr>
      <w:bookmarkEnd w:id="25"/>
      <w:bookmarkEnd w:id="26"/>
    </w:tbl>
    <w:p w:rsidR="00AC58F0" w:rsidRDefault="00AC58F0"/>
    <w:p w:rsidR="00AC58F0" w:rsidRDefault="00AC58F0"/>
    <w:sectPr w:rsidR="00AC5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F88" w:rsidRDefault="00CA1F88" w:rsidP="00CA1F88">
      <w:r>
        <w:separator/>
      </w:r>
    </w:p>
  </w:endnote>
  <w:endnote w:type="continuationSeparator" w:id="0">
    <w:p w:rsidR="00CA1F88" w:rsidRDefault="00CA1F88" w:rsidP="00CA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Yg2gj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F88" w:rsidRDefault="00CA1F88" w:rsidP="00CA1F88">
      <w:r>
        <w:separator/>
      </w:r>
    </w:p>
  </w:footnote>
  <w:footnote w:type="continuationSeparator" w:id="0">
    <w:p w:rsidR="00CA1F88" w:rsidRDefault="00CA1F88" w:rsidP="00CA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991C11"/>
    <w:multiLevelType w:val="singleLevel"/>
    <w:tmpl w:val="90991C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B6BDF8EF"/>
    <w:multiLevelType w:val="singleLevel"/>
    <w:tmpl w:val="B6BDF8E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C494DE52"/>
    <w:multiLevelType w:val="singleLevel"/>
    <w:tmpl w:val="C494DE5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DCA1BDB"/>
    <w:multiLevelType w:val="singleLevel"/>
    <w:tmpl w:val="DDCA1BD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EFC65096"/>
    <w:multiLevelType w:val="singleLevel"/>
    <w:tmpl w:val="EFC6509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F5E6E09C"/>
    <w:multiLevelType w:val="singleLevel"/>
    <w:tmpl w:val="F5E6E09C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01929A76"/>
    <w:multiLevelType w:val="singleLevel"/>
    <w:tmpl w:val="01929A7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09FBF72B"/>
    <w:multiLevelType w:val="singleLevel"/>
    <w:tmpl w:val="09FBF72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 w15:restartNumberingAfterBreak="0">
    <w:nsid w:val="212AF3D0"/>
    <w:multiLevelType w:val="singleLevel"/>
    <w:tmpl w:val="212AF3D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 w15:restartNumberingAfterBreak="0">
    <w:nsid w:val="22327651"/>
    <w:multiLevelType w:val="singleLevel"/>
    <w:tmpl w:val="2232765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 w15:restartNumberingAfterBreak="0">
    <w:nsid w:val="2322DBCF"/>
    <w:multiLevelType w:val="singleLevel"/>
    <w:tmpl w:val="2322DBCF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1" w15:restartNumberingAfterBreak="0">
    <w:nsid w:val="3B394812"/>
    <w:multiLevelType w:val="singleLevel"/>
    <w:tmpl w:val="3B394812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3BA422BB"/>
    <w:multiLevelType w:val="singleLevel"/>
    <w:tmpl w:val="3BA422BB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3D256E98"/>
    <w:multiLevelType w:val="singleLevel"/>
    <w:tmpl w:val="3D256E9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 w15:restartNumberingAfterBreak="0">
    <w:nsid w:val="49D829ED"/>
    <w:multiLevelType w:val="singleLevel"/>
    <w:tmpl w:val="49D829E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 w15:restartNumberingAfterBreak="0">
    <w:nsid w:val="759F180D"/>
    <w:multiLevelType w:val="singleLevel"/>
    <w:tmpl w:val="759F180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78690582"/>
    <w:multiLevelType w:val="singleLevel"/>
    <w:tmpl w:val="7869058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1"/>
  </w:num>
  <w:num w:numId="5">
    <w:abstractNumId w:val="16"/>
  </w:num>
  <w:num w:numId="6">
    <w:abstractNumId w:val="4"/>
  </w:num>
  <w:num w:numId="7">
    <w:abstractNumId w:val="1"/>
  </w:num>
  <w:num w:numId="8">
    <w:abstractNumId w:val="13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  <w:num w:numId="14">
    <w:abstractNumId w:val="5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B8"/>
    <w:rsid w:val="0002599C"/>
    <w:rsid w:val="000317B7"/>
    <w:rsid w:val="00082ADB"/>
    <w:rsid w:val="000E52A6"/>
    <w:rsid w:val="00121E1F"/>
    <w:rsid w:val="001B44AB"/>
    <w:rsid w:val="002F36F2"/>
    <w:rsid w:val="00346CF4"/>
    <w:rsid w:val="003F0FD6"/>
    <w:rsid w:val="00424047"/>
    <w:rsid w:val="004365DD"/>
    <w:rsid w:val="004736A8"/>
    <w:rsid w:val="00533907"/>
    <w:rsid w:val="005D3059"/>
    <w:rsid w:val="005F0A76"/>
    <w:rsid w:val="006E28C6"/>
    <w:rsid w:val="00865F02"/>
    <w:rsid w:val="00926059"/>
    <w:rsid w:val="00955691"/>
    <w:rsid w:val="009868E3"/>
    <w:rsid w:val="00A84B99"/>
    <w:rsid w:val="00AC58F0"/>
    <w:rsid w:val="00AE49DA"/>
    <w:rsid w:val="00AF4E6F"/>
    <w:rsid w:val="00CA1F88"/>
    <w:rsid w:val="00CB2021"/>
    <w:rsid w:val="00CC38B8"/>
    <w:rsid w:val="00E646D7"/>
    <w:rsid w:val="00EA6E5C"/>
    <w:rsid w:val="00EE148B"/>
    <w:rsid w:val="0FA47859"/>
    <w:rsid w:val="1B772969"/>
    <w:rsid w:val="21EF755A"/>
    <w:rsid w:val="3C5C3F33"/>
    <w:rsid w:val="3FBA5022"/>
    <w:rsid w:val="4098157D"/>
    <w:rsid w:val="42764760"/>
    <w:rsid w:val="65746B7E"/>
    <w:rsid w:val="6BEB40A7"/>
    <w:rsid w:val="79C4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5FF53D16-846B-4B89-9376-9D8091C2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afterLines="150"/>
      <w:jc w:val="center"/>
      <w:outlineLvl w:val="0"/>
    </w:pPr>
    <w:rPr>
      <w:b/>
      <w:kern w:val="44"/>
      <w:sz w:val="48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备注"/>
    <w:basedOn w:val="a"/>
    <w:qFormat/>
    <w:pPr>
      <w:autoSpaceDE w:val="0"/>
      <w:autoSpaceDN w:val="0"/>
      <w:adjustRightInd w:val="0"/>
      <w:jc w:val="left"/>
    </w:pPr>
    <w:rPr>
      <w:rFonts w:ascii="微软雅黑" w:hAnsi="Calibri" w:cs="微软雅黑"/>
      <w:color w:val="000000"/>
      <w:kern w:val="0"/>
      <w:sz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qFormat/>
    <w:pPr>
      <w:adjustRightInd w:val="0"/>
      <w:spacing w:line="312" w:lineRule="atLeast"/>
      <w:ind w:firstLineChars="200" w:firstLine="420"/>
    </w:pPr>
    <w:rPr>
      <w:rFonts w:ascii="等线" w:eastAsia="等线" w:hAnsi="等线"/>
      <w:szCs w:val="22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906</Words>
  <Characters>5167</Characters>
  <Application>Microsoft Office Word</Application>
  <DocSecurity>0</DocSecurity>
  <Lines>43</Lines>
  <Paragraphs>12</Paragraphs>
  <ScaleCrop>false</ScaleCrop>
  <Company>aa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HuRong</dc:creator>
  <cp:lastModifiedBy>郁然</cp:lastModifiedBy>
  <cp:revision>11</cp:revision>
  <cp:lastPrinted>2020-08-12T06:42:00Z</cp:lastPrinted>
  <dcterms:created xsi:type="dcterms:W3CDTF">2019-07-23T07:58:00Z</dcterms:created>
  <dcterms:modified xsi:type="dcterms:W3CDTF">2020-08-27T08:27:00Z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