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A91" w:rsidRDefault="00EF39CB" w:rsidP="001850B9">
      <w:pPr>
        <w:pStyle w:val="1"/>
        <w:spacing w:before="156" w:after="468" w:line="360" w:lineRule="auto"/>
      </w:pPr>
      <w:bookmarkStart w:id="0" w:name="_Toc32412_WPSOffice_Level1"/>
      <w:r>
        <w:rPr>
          <w:rFonts w:hint="eastAsia"/>
        </w:rPr>
        <w:t>大成殿、文化宫办公楼景观灯具技术文件</w:t>
      </w:r>
    </w:p>
    <w:p w:rsidR="001850B9" w:rsidRPr="001850B9" w:rsidRDefault="001850B9" w:rsidP="001850B9">
      <w:pPr>
        <w:rPr>
          <w:rFonts w:hint="eastAsia"/>
        </w:rPr>
      </w:pPr>
    </w:p>
    <w:bookmarkEnd w:id="0"/>
    <w:p w:rsidR="00D57A91" w:rsidRDefault="00EF39CB">
      <w:pPr>
        <w:pStyle w:val="1"/>
        <w:numPr>
          <w:ilvl w:val="0"/>
          <w:numId w:val="1"/>
        </w:numPr>
        <w:spacing w:before="156" w:after="468" w:line="360" w:lineRule="auto"/>
      </w:pPr>
      <w:r>
        <w:rPr>
          <w:rFonts w:hint="eastAsia"/>
          <w:szCs w:val="48"/>
        </w:rPr>
        <w:t>清单</w:t>
      </w:r>
    </w:p>
    <w:tbl>
      <w:tblPr>
        <w:tblW w:w="7622" w:type="dxa"/>
        <w:jc w:val="center"/>
        <w:tblLayout w:type="fixed"/>
        <w:tblCellMar>
          <w:left w:w="0" w:type="dxa"/>
          <w:right w:w="0" w:type="dxa"/>
        </w:tblCellMar>
        <w:tblLook w:val="04A0" w:firstRow="1" w:lastRow="0" w:firstColumn="1" w:lastColumn="0" w:noHBand="0" w:noVBand="1"/>
      </w:tblPr>
      <w:tblGrid>
        <w:gridCol w:w="608"/>
        <w:gridCol w:w="5026"/>
        <w:gridCol w:w="1032"/>
        <w:gridCol w:w="956"/>
      </w:tblGrid>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序号</w:t>
            </w:r>
          </w:p>
        </w:tc>
        <w:tc>
          <w:tcPr>
            <w:tcW w:w="502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名称</w:t>
            </w:r>
          </w:p>
        </w:tc>
        <w:tc>
          <w:tcPr>
            <w:tcW w:w="1032"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数量</w:t>
            </w:r>
          </w:p>
        </w:tc>
        <w:tc>
          <w:tcPr>
            <w:tcW w:w="956"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单位</w:t>
            </w:r>
          </w:p>
        </w:tc>
      </w:tr>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1</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5w线形LED投光灯（3000K 中光）</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70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米</w:t>
            </w:r>
          </w:p>
        </w:tc>
      </w:tr>
      <w:tr w:rsidR="00D57A91">
        <w:trPr>
          <w:trHeight w:val="245"/>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2</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5w线形LED投光灯（3000K 窄光）</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230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米</w:t>
            </w:r>
          </w:p>
        </w:tc>
      </w:tr>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3</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20w LED投光灯（3000K 窄光0-10°）</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套</w:t>
            </w:r>
          </w:p>
        </w:tc>
      </w:tr>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4</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12w线形LED投光灯（3000K 中光）</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340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米</w:t>
            </w:r>
          </w:p>
        </w:tc>
      </w:tr>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5</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2w LED投光灯（3000K 窄光）</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24</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套</w:t>
            </w:r>
          </w:p>
        </w:tc>
      </w:tr>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6</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2W LED投光灯（琥珀色 窄光）</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30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套</w:t>
            </w:r>
          </w:p>
        </w:tc>
      </w:tr>
      <w:tr w:rsidR="00D57A91">
        <w:trPr>
          <w:trHeight w:val="280"/>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7</w:t>
            </w:r>
          </w:p>
        </w:tc>
        <w:tc>
          <w:tcPr>
            <w:tcW w:w="502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6W LED投光灯（琥珀色 窄光）</w:t>
            </w:r>
          </w:p>
        </w:tc>
        <w:tc>
          <w:tcPr>
            <w:tcW w:w="10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600</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tcPr>
          <w:p w:rsidR="00D57A91" w:rsidRDefault="00EF39CB">
            <w:pPr>
              <w:widowControl/>
              <w:jc w:val="center"/>
              <w:textAlignment w:val="top"/>
              <w:rPr>
                <w:rFonts w:ascii="宋体" w:eastAsia="宋体" w:hAnsi="宋体" w:cs="宋体"/>
                <w:kern w:val="0"/>
                <w:sz w:val="28"/>
                <w:szCs w:val="28"/>
              </w:rPr>
            </w:pPr>
            <w:r>
              <w:rPr>
                <w:rFonts w:ascii="宋体" w:eastAsia="宋体" w:hAnsi="宋体" w:cs="宋体" w:hint="eastAsia"/>
                <w:kern w:val="0"/>
                <w:sz w:val="28"/>
                <w:szCs w:val="28"/>
              </w:rPr>
              <w:t>套</w:t>
            </w:r>
          </w:p>
        </w:tc>
      </w:tr>
    </w:tbl>
    <w:p w:rsidR="00D57A91" w:rsidRDefault="00EF39CB">
      <w:pPr>
        <w:rPr>
          <w:sz w:val="28"/>
          <w:szCs w:val="28"/>
        </w:rPr>
      </w:pPr>
      <w:r>
        <w:rPr>
          <w:rFonts w:hint="eastAsia"/>
          <w:sz w:val="28"/>
          <w:szCs w:val="28"/>
        </w:rPr>
        <w:t>注：</w:t>
      </w:r>
      <w:r>
        <w:rPr>
          <w:rFonts w:hint="eastAsia"/>
          <w:sz w:val="28"/>
          <w:szCs w:val="28"/>
        </w:rPr>
        <w:t>1</w:t>
      </w:r>
      <w:r>
        <w:rPr>
          <w:rFonts w:hint="eastAsia"/>
          <w:sz w:val="28"/>
          <w:szCs w:val="28"/>
        </w:rPr>
        <w:t>、所有变色及需控制的灯具必须采用</w:t>
      </w:r>
      <w:r>
        <w:rPr>
          <w:rFonts w:hint="eastAsia"/>
          <w:sz w:val="28"/>
          <w:szCs w:val="28"/>
        </w:rPr>
        <w:t>DMX512</w:t>
      </w:r>
      <w:r>
        <w:rPr>
          <w:rFonts w:hint="eastAsia"/>
          <w:sz w:val="28"/>
          <w:szCs w:val="28"/>
        </w:rPr>
        <w:t>协议，配置恒压驱动电源，灯与灯之间、楼层与楼层之间的控制及电源的连接线、延长线、公母头、三通等所有线缆及辅材由投标单位提供，价格含在投标价格中。投标单位需现场查勘，了解照明效果。</w:t>
      </w:r>
    </w:p>
    <w:p w:rsidR="00D57A91" w:rsidRDefault="00EF39CB">
      <w:pPr>
        <w:rPr>
          <w:color w:val="FF0000"/>
          <w:sz w:val="28"/>
          <w:szCs w:val="28"/>
        </w:rPr>
      </w:pPr>
      <w:r>
        <w:rPr>
          <w:rFonts w:hint="eastAsia"/>
          <w:sz w:val="28"/>
          <w:szCs w:val="28"/>
        </w:rPr>
        <w:t>2</w:t>
      </w:r>
      <w:r>
        <w:rPr>
          <w:rFonts w:hint="eastAsia"/>
          <w:sz w:val="28"/>
          <w:szCs w:val="28"/>
        </w:rPr>
        <w:t>、所有不需变色及不带控制的灯具必须采用恒压设计方式，必须配置可调驱动电源（</w:t>
      </w:r>
      <w:r>
        <w:rPr>
          <w:rFonts w:hint="eastAsia"/>
          <w:sz w:val="28"/>
          <w:szCs w:val="28"/>
        </w:rPr>
        <w:t>0%-100%</w:t>
      </w:r>
      <w:r>
        <w:rPr>
          <w:rFonts w:hint="eastAsia"/>
          <w:sz w:val="28"/>
          <w:szCs w:val="28"/>
        </w:rPr>
        <w:t>亮度可调）。</w:t>
      </w:r>
    </w:p>
    <w:p w:rsidR="00D57A91" w:rsidRDefault="00EF39CB">
      <w:pPr>
        <w:rPr>
          <w:sz w:val="28"/>
          <w:szCs w:val="28"/>
        </w:rPr>
      </w:pPr>
      <w:r>
        <w:rPr>
          <w:rFonts w:hint="eastAsia"/>
          <w:sz w:val="28"/>
          <w:szCs w:val="28"/>
        </w:rPr>
        <w:t>3</w:t>
      </w:r>
      <w:r>
        <w:rPr>
          <w:rFonts w:hint="eastAsia"/>
          <w:sz w:val="28"/>
          <w:szCs w:val="28"/>
        </w:rPr>
        <w:t>、必须配置符合采购文件要求的控制系统及其所有附件，包含但不限于主控、分控、信号放大器、驱动电源、软件系统等，除网线外，</w:t>
      </w:r>
      <w:r>
        <w:rPr>
          <w:rFonts w:hint="eastAsia"/>
          <w:sz w:val="28"/>
          <w:szCs w:val="28"/>
        </w:rPr>
        <w:lastRenderedPageBreak/>
        <w:t>所有其他设施均由中标单位提供，价格含在灯具中。</w:t>
      </w:r>
    </w:p>
    <w:p w:rsidR="00D57A91" w:rsidRDefault="00EF39CB">
      <w:pPr>
        <w:rPr>
          <w:sz w:val="28"/>
          <w:szCs w:val="28"/>
        </w:rPr>
      </w:pPr>
      <w:r>
        <w:rPr>
          <w:rFonts w:hint="eastAsia"/>
          <w:sz w:val="28"/>
          <w:szCs w:val="28"/>
        </w:rPr>
        <w:t>4</w:t>
      </w:r>
      <w:r>
        <w:rPr>
          <w:rFonts w:hint="eastAsia"/>
          <w:sz w:val="28"/>
          <w:szCs w:val="28"/>
        </w:rPr>
        <w:t>、网线由采购单位提供，价格不含在此次报价中。</w:t>
      </w:r>
    </w:p>
    <w:p w:rsidR="00D57A91" w:rsidRDefault="00EF39CB">
      <w:pPr>
        <w:widowControl/>
        <w:jc w:val="left"/>
        <w:rPr>
          <w:sz w:val="24"/>
        </w:rPr>
      </w:pPr>
      <w:r>
        <w:rPr>
          <w:rFonts w:hint="eastAsia"/>
          <w:sz w:val="28"/>
          <w:szCs w:val="28"/>
        </w:rPr>
        <w:t>5</w:t>
      </w:r>
      <w:r>
        <w:rPr>
          <w:rFonts w:hint="eastAsia"/>
          <w:sz w:val="28"/>
          <w:szCs w:val="28"/>
        </w:rPr>
        <w:t>、中标后批量供货阶段，现场看样，待采购单位确认效果后，才能批量供货。</w:t>
      </w:r>
    </w:p>
    <w:p w:rsidR="00D57A91" w:rsidRDefault="00EF39CB">
      <w:pPr>
        <w:pStyle w:val="1"/>
        <w:numPr>
          <w:ilvl w:val="0"/>
          <w:numId w:val="1"/>
        </w:numPr>
        <w:spacing w:before="156" w:after="468"/>
      </w:pPr>
      <w:bookmarkStart w:id="1" w:name="_Toc28002"/>
      <w:bookmarkStart w:id="2" w:name="_Toc14980"/>
      <w:bookmarkStart w:id="3" w:name="_Toc23859_WPSOffice_Level1"/>
      <w:r>
        <w:rPr>
          <w:rFonts w:hint="eastAsia"/>
        </w:rPr>
        <w:t>灯具详细参数</w:t>
      </w:r>
      <w:bookmarkStart w:id="4" w:name="_Toc30974"/>
      <w:bookmarkStart w:id="5" w:name="_Toc5066"/>
      <w:bookmarkStart w:id="6" w:name="_Toc6623"/>
      <w:bookmarkStart w:id="7" w:name="_Toc1071_WPSOffice_Level3"/>
      <w:bookmarkEnd w:id="1"/>
    </w:p>
    <w:bookmarkEnd w:id="2"/>
    <w:bookmarkEnd w:id="3"/>
    <w:bookmarkEnd w:id="4"/>
    <w:bookmarkEnd w:id="5"/>
    <w:bookmarkEnd w:id="6"/>
    <w:bookmarkEnd w:id="7"/>
    <w:p w:rsidR="00D57A91" w:rsidRDefault="00EF39CB">
      <w:pPr>
        <w:pStyle w:val="3"/>
        <w:ind w:leftChars="0" w:left="0" w:firstLineChars="0" w:firstLine="0"/>
      </w:pPr>
      <w:r>
        <w:rPr>
          <w:rFonts w:hint="eastAsia"/>
          <w:color w:val="000000" w:themeColor="text1"/>
        </w:rPr>
        <w:t>1</w:t>
      </w:r>
      <w:r>
        <w:rPr>
          <w:rFonts w:hint="eastAsia"/>
          <w:color w:val="000000" w:themeColor="text1"/>
        </w:rPr>
        <w:t>）</w:t>
      </w:r>
      <w:r>
        <w:rPr>
          <w:rFonts w:hint="eastAsia"/>
        </w:rPr>
        <w:t xml:space="preserve">5W </w:t>
      </w:r>
      <w:r>
        <w:rPr>
          <w:rFonts w:hint="eastAsia"/>
        </w:rPr>
        <w:t>线形</w:t>
      </w:r>
      <w:r>
        <w:rPr>
          <w:rFonts w:hint="eastAsia"/>
        </w:rPr>
        <w:t>LED</w:t>
      </w:r>
      <w:r>
        <w:rPr>
          <w:rFonts w:hint="eastAsia"/>
        </w:rPr>
        <w:t>投光灯（</w:t>
      </w:r>
      <w:r>
        <w:rPr>
          <w:rFonts w:hint="eastAsia"/>
        </w:rPr>
        <w:t>3000K</w:t>
      </w:r>
      <w:r>
        <w:rPr>
          <w:rFonts w:hint="eastAsia"/>
        </w:rPr>
        <w:t>，中光）</w:t>
      </w:r>
    </w:p>
    <w:p w:rsidR="00D57A91" w:rsidRDefault="00D57A91"/>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18"/>
        <w:gridCol w:w="1150"/>
        <w:gridCol w:w="1773"/>
        <w:gridCol w:w="1500"/>
        <w:gridCol w:w="1084"/>
        <w:gridCol w:w="2343"/>
      </w:tblGrid>
      <w:tr w:rsidR="00D57A91">
        <w:trPr>
          <w:trHeight w:val="1830"/>
          <w:jc w:val="center"/>
        </w:trPr>
        <w:tc>
          <w:tcPr>
            <w:tcW w:w="918" w:type="dxa"/>
            <w:vMerge w:val="restart"/>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923"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t>（仅供参考）</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noProof/>
                <w:kern w:val="0"/>
                <w:sz w:val="22"/>
                <w:szCs w:val="22"/>
              </w:rPr>
              <w:drawing>
                <wp:inline distT="0" distB="0" distL="114300" distR="114300">
                  <wp:extent cx="2705100" cy="1104900"/>
                  <wp:effectExtent l="0" t="0" r="0" b="0"/>
                  <wp:docPr id="1"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5" descr="IMG_256"/>
                          <pic:cNvPicPr>
                            <a:picLocks noChangeAspect="1"/>
                          </pic:cNvPicPr>
                        </pic:nvPicPr>
                        <pic:blipFill>
                          <a:blip r:embed="rId9"/>
                          <a:stretch>
                            <a:fillRect/>
                          </a:stretch>
                        </pic:blipFill>
                        <pic:spPr>
                          <a:xfrm>
                            <a:off x="0" y="0"/>
                            <a:ext cx="2705100" cy="1104900"/>
                          </a:xfrm>
                          <a:prstGeom prst="rect">
                            <a:avLst/>
                          </a:prstGeom>
                          <a:noFill/>
                          <a:ln w="9525">
                            <a:noFill/>
                          </a:ln>
                        </pic:spPr>
                      </pic:pic>
                    </a:graphicData>
                  </a:graphic>
                </wp:inline>
              </w:drawing>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val="restart"/>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长度（L）</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1000mm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±1mm</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shd w:val="clear" w:color="auto" w:fill="auto"/>
            <w:vAlign w:val="center"/>
          </w:tcPr>
          <w:p w:rsidR="00D57A91" w:rsidRDefault="00D57A91">
            <w:pPr>
              <w:jc w:val="left"/>
              <w:rPr>
                <w:rFonts w:ascii="宋体" w:eastAsia="宋体" w:hAnsi="宋体" w:cs="宋体"/>
                <w:b/>
                <w:sz w:val="22"/>
                <w:szCs w:val="22"/>
              </w:rPr>
            </w:pP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宽度（W）</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hAnsi="宋体" w:cs="宋体" w:hint="eastAsia"/>
                <w:kern w:val="0"/>
                <w:sz w:val="22"/>
                <w:szCs w:val="22"/>
              </w:rPr>
              <w:t>15</w:t>
            </w:r>
            <w:r>
              <w:rPr>
                <w:rFonts w:ascii="宋体" w:eastAsia="宋体" w:hAnsi="宋体" w:cs="宋体" w:hint="eastAsia"/>
                <w:kern w:val="0"/>
                <w:sz w:val="22"/>
                <w:szCs w:val="22"/>
              </w:rPr>
              <w:t>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越小越好</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shd w:val="clear" w:color="auto" w:fill="auto"/>
            <w:vAlign w:val="center"/>
          </w:tcPr>
          <w:p w:rsidR="00D57A91" w:rsidRDefault="00D57A91">
            <w:pPr>
              <w:jc w:val="left"/>
              <w:rPr>
                <w:rFonts w:ascii="宋体" w:eastAsia="宋体" w:hAnsi="宋体" w:cs="宋体"/>
                <w:b/>
                <w:sz w:val="22"/>
                <w:szCs w:val="22"/>
              </w:rPr>
            </w:pP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高度（H）</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hAnsi="宋体" w:cs="宋体" w:hint="eastAsia"/>
                <w:kern w:val="0"/>
                <w:sz w:val="22"/>
                <w:szCs w:val="22"/>
              </w:rPr>
              <w:t>10</w:t>
            </w:r>
            <w:r>
              <w:rPr>
                <w:rFonts w:ascii="宋体" w:eastAsia="宋体" w:hAnsi="宋体" w:cs="宋体" w:hint="eastAsia"/>
                <w:kern w:val="0"/>
                <w:sz w:val="22"/>
                <w:szCs w:val="22"/>
              </w:rPr>
              <w:t>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越小越好</w:t>
            </w:r>
          </w:p>
        </w:tc>
      </w:tr>
      <w:tr w:rsidR="00D57A91">
        <w:trPr>
          <w:trHeight w:val="630"/>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val="restart"/>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4927" w:type="dxa"/>
            <w:gridSpan w:val="3"/>
            <w:shd w:val="clear" w:color="auto" w:fill="auto"/>
            <w:vAlign w:val="center"/>
          </w:tcPr>
          <w:p w:rsidR="00D57A91" w:rsidRDefault="00EF39C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氧化铝型材灯体,绝缘阻燃硅胶填充（防水、防火、抗紫外线）一体成形。</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shd w:val="clear" w:color="auto" w:fill="auto"/>
            <w:vAlign w:val="center"/>
          </w:tcPr>
          <w:p w:rsidR="00D57A91" w:rsidRDefault="00D57A91">
            <w:pPr>
              <w:jc w:val="left"/>
              <w:rPr>
                <w:rFonts w:ascii="宋体" w:eastAsia="宋体" w:hAnsi="宋体" w:cs="宋体"/>
                <w:b/>
                <w:sz w:val="22"/>
                <w:szCs w:val="22"/>
              </w:rPr>
            </w:pP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钢化玻璃或透明PC</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2923" w:type="dxa"/>
            <w:gridSpan w:val="2"/>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与安装位置的周边环境颜色一致</w:t>
            </w:r>
          </w:p>
        </w:tc>
      </w:tr>
      <w:tr w:rsidR="00D57A91">
        <w:trPr>
          <w:trHeight w:val="285"/>
          <w:jc w:val="center"/>
        </w:trPr>
        <w:tc>
          <w:tcPr>
            <w:tcW w:w="9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50"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77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kern w:val="0"/>
                <w:sz w:val="22"/>
                <w:szCs w:val="22"/>
              </w:rPr>
              <w:t>0-45°</w:t>
            </w:r>
          </w:p>
        </w:tc>
        <w:tc>
          <w:tcPr>
            <w:tcW w:w="2584"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r w:rsidR="00D57A91">
        <w:trPr>
          <w:trHeight w:val="90"/>
          <w:jc w:val="center"/>
        </w:trPr>
        <w:tc>
          <w:tcPr>
            <w:tcW w:w="9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光效</w:t>
            </w:r>
          </w:p>
        </w:tc>
        <w:tc>
          <w:tcPr>
            <w:tcW w:w="7850" w:type="dxa"/>
            <w:gridSpan w:val="5"/>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灯具光效≥70lm/W</w:t>
            </w:r>
          </w:p>
        </w:tc>
      </w:tr>
    </w:tbl>
    <w:p w:rsidR="00D57A91" w:rsidRDefault="00D57A91" w:rsidP="00EF39CB">
      <w:pPr>
        <w:pStyle w:val="3"/>
        <w:ind w:leftChars="0" w:left="0" w:firstLineChars="0" w:firstLine="0"/>
        <w:rPr>
          <w:b w:val="0"/>
          <w:bCs/>
        </w:rPr>
      </w:pPr>
    </w:p>
    <w:p w:rsidR="00D57A91" w:rsidRDefault="00EF39CB">
      <w:pPr>
        <w:pStyle w:val="3"/>
        <w:ind w:leftChars="0" w:left="0" w:firstLineChars="0" w:firstLine="0"/>
      </w:pPr>
      <w:r>
        <w:rPr>
          <w:rFonts w:hint="eastAsia"/>
        </w:rPr>
        <w:t>2</w:t>
      </w:r>
      <w:r>
        <w:rPr>
          <w:rFonts w:hint="eastAsia"/>
        </w:rPr>
        <w:t>）</w:t>
      </w:r>
      <w:r>
        <w:rPr>
          <w:rFonts w:hint="eastAsia"/>
        </w:rPr>
        <w:t xml:space="preserve">5W </w:t>
      </w:r>
      <w:r>
        <w:rPr>
          <w:rFonts w:hint="eastAsia"/>
        </w:rPr>
        <w:t>线形</w:t>
      </w:r>
      <w:r>
        <w:rPr>
          <w:rFonts w:hint="eastAsia"/>
        </w:rPr>
        <w:t>LED</w:t>
      </w:r>
      <w:r>
        <w:rPr>
          <w:rFonts w:hint="eastAsia"/>
        </w:rPr>
        <w:t>投光灯（</w:t>
      </w:r>
      <w:r>
        <w:rPr>
          <w:rFonts w:hint="eastAsia"/>
        </w:rPr>
        <w:t>3000K</w:t>
      </w:r>
      <w:r>
        <w:rPr>
          <w:rFonts w:hint="eastAsia"/>
        </w:rPr>
        <w:t>，窄光）</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18"/>
        <w:gridCol w:w="1150"/>
        <w:gridCol w:w="1773"/>
        <w:gridCol w:w="1500"/>
        <w:gridCol w:w="1084"/>
        <w:gridCol w:w="2343"/>
      </w:tblGrid>
      <w:tr w:rsidR="00D57A91">
        <w:trPr>
          <w:trHeight w:val="1830"/>
          <w:jc w:val="center"/>
        </w:trPr>
        <w:tc>
          <w:tcPr>
            <w:tcW w:w="918" w:type="dxa"/>
            <w:vMerge w:val="restart"/>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923"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t>（仅供参考）</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noProof/>
                <w:kern w:val="0"/>
                <w:sz w:val="22"/>
                <w:szCs w:val="22"/>
              </w:rPr>
              <w:drawing>
                <wp:inline distT="0" distB="0" distL="114300" distR="114300">
                  <wp:extent cx="2705100" cy="1104900"/>
                  <wp:effectExtent l="0" t="0" r="0" b="0"/>
                  <wp:docPr id="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descr="IMG_256"/>
                          <pic:cNvPicPr>
                            <a:picLocks noChangeAspect="1"/>
                          </pic:cNvPicPr>
                        </pic:nvPicPr>
                        <pic:blipFill>
                          <a:blip r:embed="rId9"/>
                          <a:stretch>
                            <a:fillRect/>
                          </a:stretch>
                        </pic:blipFill>
                        <pic:spPr>
                          <a:xfrm>
                            <a:off x="0" y="0"/>
                            <a:ext cx="2705100" cy="1104900"/>
                          </a:xfrm>
                          <a:prstGeom prst="rect">
                            <a:avLst/>
                          </a:prstGeom>
                          <a:noFill/>
                          <a:ln w="9525">
                            <a:noFill/>
                          </a:ln>
                        </pic:spPr>
                      </pic:pic>
                    </a:graphicData>
                  </a:graphic>
                </wp:inline>
              </w:drawing>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val="restart"/>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长度（L）</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1000mm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±1mm</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shd w:val="clear" w:color="auto" w:fill="auto"/>
            <w:vAlign w:val="center"/>
          </w:tcPr>
          <w:p w:rsidR="00D57A91" w:rsidRDefault="00D57A91">
            <w:pPr>
              <w:jc w:val="left"/>
              <w:rPr>
                <w:rFonts w:ascii="宋体" w:eastAsia="宋体" w:hAnsi="宋体" w:cs="宋体"/>
                <w:b/>
                <w:sz w:val="22"/>
                <w:szCs w:val="22"/>
              </w:rPr>
            </w:pP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宽度（W）</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hAnsi="宋体" w:cs="宋体" w:hint="eastAsia"/>
                <w:kern w:val="0"/>
                <w:sz w:val="22"/>
                <w:szCs w:val="22"/>
              </w:rPr>
              <w:t>15</w:t>
            </w:r>
            <w:r>
              <w:rPr>
                <w:rFonts w:ascii="宋体" w:eastAsia="宋体" w:hAnsi="宋体" w:cs="宋体" w:hint="eastAsia"/>
                <w:kern w:val="0"/>
                <w:sz w:val="22"/>
                <w:szCs w:val="22"/>
              </w:rPr>
              <w:t>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越小越好</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shd w:val="clear" w:color="auto" w:fill="auto"/>
            <w:vAlign w:val="center"/>
          </w:tcPr>
          <w:p w:rsidR="00D57A91" w:rsidRDefault="00D57A91">
            <w:pPr>
              <w:jc w:val="left"/>
              <w:rPr>
                <w:rFonts w:ascii="宋体" w:eastAsia="宋体" w:hAnsi="宋体" w:cs="宋体"/>
                <w:b/>
                <w:sz w:val="22"/>
                <w:szCs w:val="22"/>
              </w:rPr>
            </w:pP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高度（H）</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hAnsi="宋体" w:cs="宋体" w:hint="eastAsia"/>
                <w:kern w:val="0"/>
                <w:sz w:val="22"/>
                <w:szCs w:val="22"/>
              </w:rPr>
              <w:t>10</w:t>
            </w:r>
            <w:r>
              <w:rPr>
                <w:rFonts w:ascii="宋体" w:eastAsia="宋体" w:hAnsi="宋体" w:cs="宋体" w:hint="eastAsia"/>
                <w:kern w:val="0"/>
                <w:sz w:val="22"/>
                <w:szCs w:val="22"/>
              </w:rPr>
              <w:t>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越小越好</w:t>
            </w:r>
          </w:p>
        </w:tc>
      </w:tr>
      <w:tr w:rsidR="00D57A91">
        <w:trPr>
          <w:trHeight w:val="630"/>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val="restart"/>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4927" w:type="dxa"/>
            <w:gridSpan w:val="3"/>
            <w:shd w:val="clear" w:color="auto" w:fill="auto"/>
            <w:vAlign w:val="center"/>
          </w:tcPr>
          <w:p w:rsidR="00D57A91" w:rsidRDefault="00EF39C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氧化铝型材灯体,绝缘阻燃硅胶填充（防水、防火、抗紫外线）一体成形。</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0" w:type="dxa"/>
            <w:vMerge/>
            <w:shd w:val="clear" w:color="auto" w:fill="auto"/>
            <w:vAlign w:val="center"/>
          </w:tcPr>
          <w:p w:rsidR="00D57A91" w:rsidRDefault="00D57A91">
            <w:pPr>
              <w:jc w:val="left"/>
              <w:rPr>
                <w:rFonts w:ascii="宋体" w:eastAsia="宋体" w:hAnsi="宋体" w:cs="宋体"/>
                <w:b/>
                <w:sz w:val="22"/>
                <w:szCs w:val="22"/>
              </w:rPr>
            </w:pPr>
          </w:p>
        </w:tc>
        <w:tc>
          <w:tcPr>
            <w:tcW w:w="1773"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钢化玻璃或透明PC</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2923" w:type="dxa"/>
            <w:gridSpan w:val="2"/>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与安装位置的周边环境颜色一致</w:t>
            </w:r>
          </w:p>
        </w:tc>
      </w:tr>
      <w:tr w:rsidR="00D57A91">
        <w:trPr>
          <w:trHeight w:val="285"/>
          <w:jc w:val="center"/>
        </w:trPr>
        <w:tc>
          <w:tcPr>
            <w:tcW w:w="9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50"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77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kern w:val="0"/>
                <w:sz w:val="22"/>
                <w:szCs w:val="22"/>
              </w:rPr>
              <w:t>0-20°</w:t>
            </w:r>
          </w:p>
        </w:tc>
        <w:tc>
          <w:tcPr>
            <w:tcW w:w="2584"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r w:rsidR="00D57A91">
        <w:trPr>
          <w:trHeight w:val="90"/>
          <w:jc w:val="center"/>
        </w:trPr>
        <w:tc>
          <w:tcPr>
            <w:tcW w:w="9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光效</w:t>
            </w:r>
          </w:p>
        </w:tc>
        <w:tc>
          <w:tcPr>
            <w:tcW w:w="7850" w:type="dxa"/>
            <w:gridSpan w:val="5"/>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灯具光效≥70lm/W</w:t>
            </w:r>
          </w:p>
        </w:tc>
      </w:tr>
    </w:tbl>
    <w:p w:rsidR="00D57A91" w:rsidRDefault="00EF39CB">
      <w:pPr>
        <w:pStyle w:val="3"/>
        <w:ind w:leftChars="0" w:left="0" w:firstLineChars="0" w:firstLine="0"/>
      </w:pPr>
      <w:r>
        <w:rPr>
          <w:rFonts w:hint="eastAsia"/>
        </w:rPr>
        <w:t>3</w:t>
      </w:r>
      <w:r>
        <w:rPr>
          <w:rFonts w:hint="eastAsia"/>
        </w:rPr>
        <w:t>）</w:t>
      </w:r>
      <w:r>
        <w:rPr>
          <w:rFonts w:hint="eastAsia"/>
        </w:rPr>
        <w:t>20W LED</w:t>
      </w:r>
      <w:r>
        <w:rPr>
          <w:rFonts w:hint="eastAsia"/>
        </w:rPr>
        <w:t>投光灯（</w:t>
      </w:r>
      <w:r>
        <w:rPr>
          <w:rFonts w:hint="eastAsia"/>
        </w:rPr>
        <w:t>3000K</w:t>
      </w:r>
      <w:r>
        <w:rPr>
          <w:rFonts w:hint="eastAsia"/>
        </w:rPr>
        <w:t>，窄光</w:t>
      </w:r>
      <w:r>
        <w:rPr>
          <w:rFonts w:hint="eastAsia"/>
        </w:rPr>
        <w:t>0-10</w:t>
      </w:r>
      <w:r>
        <w:rPr>
          <w:rFonts w:hint="eastAsia"/>
        </w:rPr>
        <w:t>°）</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1"/>
        <w:gridCol w:w="945"/>
        <w:gridCol w:w="210"/>
        <w:gridCol w:w="1644"/>
        <w:gridCol w:w="1527"/>
        <w:gridCol w:w="1115"/>
        <w:gridCol w:w="2224"/>
      </w:tblGrid>
      <w:tr w:rsidR="00D57A91">
        <w:trPr>
          <w:trHeight w:val="1436"/>
        </w:trPr>
        <w:tc>
          <w:tcPr>
            <w:tcW w:w="1081" w:type="dxa"/>
            <w:vMerge w:val="restart"/>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灯具</w:t>
            </w:r>
          </w:p>
        </w:tc>
        <w:tc>
          <w:tcPr>
            <w:tcW w:w="2799" w:type="dxa"/>
            <w:gridSpan w:val="3"/>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外形</w:t>
            </w:r>
            <w:r>
              <w:rPr>
                <w:rFonts w:ascii="宋体" w:hAnsi="宋体" w:cs="宋体" w:hint="eastAsia"/>
                <w:b/>
                <w:kern w:val="0"/>
                <w:sz w:val="22"/>
                <w:szCs w:val="22"/>
              </w:rPr>
              <w:br/>
              <w:t>（仅供参考）</w:t>
            </w:r>
          </w:p>
        </w:tc>
        <w:tc>
          <w:tcPr>
            <w:tcW w:w="4866" w:type="dxa"/>
            <w:gridSpan w:val="3"/>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noProof/>
                <w:sz w:val="22"/>
                <w:szCs w:val="22"/>
              </w:rPr>
              <w:drawing>
                <wp:inline distT="0" distB="0" distL="114300" distR="114300">
                  <wp:extent cx="2127885" cy="852805"/>
                  <wp:effectExtent l="0" t="0" r="5715" b="4445"/>
                  <wp:docPr id="17" name="图片 17"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2"/>
                          <pic:cNvPicPr>
                            <a:picLocks noChangeAspect="1"/>
                          </pic:cNvPicPr>
                        </pic:nvPicPr>
                        <pic:blipFill>
                          <a:blip r:embed="rId10"/>
                          <a:stretch>
                            <a:fillRect/>
                          </a:stretch>
                        </pic:blipFill>
                        <pic:spPr>
                          <a:xfrm>
                            <a:off x="0" y="0"/>
                            <a:ext cx="2127885" cy="852805"/>
                          </a:xfrm>
                          <a:prstGeom prst="rect">
                            <a:avLst/>
                          </a:prstGeom>
                        </pic:spPr>
                      </pic:pic>
                    </a:graphicData>
                  </a:graphic>
                </wp:inline>
              </w:drawing>
            </w:r>
          </w:p>
        </w:tc>
      </w:tr>
      <w:tr w:rsidR="00D57A91">
        <w:trPr>
          <w:trHeight w:val="285"/>
        </w:trPr>
        <w:tc>
          <w:tcPr>
            <w:tcW w:w="1081" w:type="dxa"/>
            <w:vMerge/>
            <w:shd w:val="clear" w:color="auto" w:fill="auto"/>
            <w:vAlign w:val="center"/>
          </w:tcPr>
          <w:p w:rsidR="00D57A91" w:rsidRDefault="00D57A91">
            <w:pPr>
              <w:jc w:val="center"/>
              <w:rPr>
                <w:rFonts w:ascii="宋体" w:hAnsi="宋体" w:cs="宋体"/>
                <w:b/>
                <w:sz w:val="22"/>
                <w:szCs w:val="22"/>
              </w:rPr>
            </w:pPr>
          </w:p>
        </w:tc>
        <w:tc>
          <w:tcPr>
            <w:tcW w:w="945" w:type="dxa"/>
            <w:vMerge w:val="restart"/>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尺寸</w:t>
            </w:r>
          </w:p>
        </w:tc>
        <w:tc>
          <w:tcPr>
            <w:tcW w:w="1854"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直径（φ1）</w:t>
            </w:r>
          </w:p>
        </w:tc>
        <w:tc>
          <w:tcPr>
            <w:tcW w:w="1527"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220</w:t>
            </w:r>
            <w:r>
              <w:rPr>
                <w:rFonts w:ascii="宋体" w:eastAsia="宋体" w:hAnsi="宋体" w:cs="宋体" w:hint="eastAsia"/>
                <w:kern w:val="0"/>
                <w:sz w:val="22"/>
                <w:szCs w:val="22"/>
              </w:rPr>
              <w:t>mm</w:t>
            </w:r>
          </w:p>
        </w:tc>
        <w:tc>
          <w:tcPr>
            <w:tcW w:w="1115" w:type="dxa"/>
            <w:shd w:val="clear" w:color="auto" w:fill="auto"/>
            <w:vAlign w:val="center"/>
          </w:tcPr>
          <w:p w:rsidR="00D57A91" w:rsidRDefault="00EF39CB">
            <w:pPr>
              <w:widowControl/>
              <w:jc w:val="center"/>
              <w:textAlignment w:val="center"/>
              <w:rPr>
                <w:rFonts w:ascii="宋体" w:hAnsi="宋体" w:cs="宋体"/>
                <w:b/>
                <w:bCs/>
                <w:sz w:val="22"/>
                <w:szCs w:val="22"/>
              </w:rPr>
            </w:pPr>
            <w:r>
              <w:rPr>
                <w:rFonts w:ascii="宋体" w:hAnsi="宋体" w:cs="宋体" w:hint="eastAsia"/>
                <w:b/>
                <w:bCs/>
                <w:kern w:val="0"/>
                <w:sz w:val="22"/>
                <w:szCs w:val="22"/>
              </w:rPr>
              <w:t>允许偏差</w:t>
            </w:r>
          </w:p>
        </w:tc>
        <w:tc>
          <w:tcPr>
            <w:tcW w:w="2224"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eastAsia="宋体" w:hAnsi="宋体" w:cs="宋体" w:hint="eastAsia"/>
                <w:kern w:val="0"/>
                <w:sz w:val="22"/>
                <w:szCs w:val="22"/>
              </w:rPr>
              <w:t>越小越好</w:t>
            </w:r>
          </w:p>
        </w:tc>
      </w:tr>
      <w:tr w:rsidR="00D57A91">
        <w:trPr>
          <w:trHeight w:val="285"/>
        </w:trPr>
        <w:tc>
          <w:tcPr>
            <w:tcW w:w="1081" w:type="dxa"/>
            <w:vMerge/>
            <w:shd w:val="clear" w:color="auto" w:fill="auto"/>
            <w:vAlign w:val="center"/>
          </w:tcPr>
          <w:p w:rsidR="00D57A91" w:rsidRDefault="00D57A91">
            <w:pPr>
              <w:jc w:val="center"/>
              <w:rPr>
                <w:rFonts w:ascii="宋体" w:hAnsi="宋体" w:cs="宋体"/>
                <w:b/>
                <w:sz w:val="22"/>
                <w:szCs w:val="22"/>
              </w:rPr>
            </w:pPr>
          </w:p>
        </w:tc>
        <w:tc>
          <w:tcPr>
            <w:tcW w:w="945" w:type="dxa"/>
            <w:vMerge/>
            <w:shd w:val="clear" w:color="auto" w:fill="auto"/>
            <w:vAlign w:val="center"/>
          </w:tcPr>
          <w:p w:rsidR="00D57A91" w:rsidRDefault="00D57A91">
            <w:pPr>
              <w:jc w:val="center"/>
              <w:rPr>
                <w:rFonts w:ascii="宋体" w:hAnsi="宋体" w:cs="宋体"/>
                <w:b/>
                <w:sz w:val="22"/>
                <w:szCs w:val="22"/>
              </w:rPr>
            </w:pPr>
          </w:p>
        </w:tc>
        <w:tc>
          <w:tcPr>
            <w:tcW w:w="1854"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宽度（W）</w:t>
            </w:r>
          </w:p>
        </w:tc>
        <w:tc>
          <w:tcPr>
            <w:tcW w:w="1527"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180</w:t>
            </w:r>
            <w:r>
              <w:rPr>
                <w:rFonts w:ascii="宋体" w:eastAsia="宋体" w:hAnsi="宋体" w:cs="宋体" w:hint="eastAsia"/>
                <w:kern w:val="0"/>
                <w:sz w:val="22"/>
                <w:szCs w:val="22"/>
              </w:rPr>
              <w:t>mm</w:t>
            </w:r>
          </w:p>
        </w:tc>
        <w:tc>
          <w:tcPr>
            <w:tcW w:w="1115" w:type="dxa"/>
            <w:shd w:val="clear" w:color="auto" w:fill="auto"/>
            <w:vAlign w:val="center"/>
          </w:tcPr>
          <w:p w:rsidR="00D57A91" w:rsidRDefault="00EF39CB">
            <w:pPr>
              <w:widowControl/>
              <w:jc w:val="center"/>
              <w:textAlignment w:val="center"/>
              <w:rPr>
                <w:rFonts w:ascii="宋体" w:hAnsi="宋体" w:cs="宋体"/>
                <w:b/>
                <w:bCs/>
                <w:sz w:val="22"/>
                <w:szCs w:val="22"/>
              </w:rPr>
            </w:pPr>
            <w:r>
              <w:rPr>
                <w:rFonts w:ascii="宋体" w:hAnsi="宋体" w:cs="宋体" w:hint="eastAsia"/>
                <w:b/>
                <w:bCs/>
                <w:kern w:val="0"/>
                <w:sz w:val="22"/>
                <w:szCs w:val="22"/>
              </w:rPr>
              <w:t>允许偏差</w:t>
            </w:r>
          </w:p>
        </w:tc>
        <w:tc>
          <w:tcPr>
            <w:tcW w:w="2224"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eastAsia="宋体" w:hAnsi="宋体" w:cs="宋体" w:hint="eastAsia"/>
                <w:kern w:val="0"/>
                <w:sz w:val="22"/>
                <w:szCs w:val="22"/>
              </w:rPr>
              <w:t>越小越好</w:t>
            </w:r>
          </w:p>
        </w:tc>
      </w:tr>
      <w:tr w:rsidR="00D57A91">
        <w:trPr>
          <w:trHeight w:val="285"/>
        </w:trPr>
        <w:tc>
          <w:tcPr>
            <w:tcW w:w="1081" w:type="dxa"/>
            <w:vMerge/>
            <w:shd w:val="clear" w:color="auto" w:fill="auto"/>
            <w:vAlign w:val="center"/>
          </w:tcPr>
          <w:p w:rsidR="00D57A91" w:rsidRDefault="00D57A91">
            <w:pPr>
              <w:jc w:val="center"/>
              <w:rPr>
                <w:rFonts w:ascii="宋体" w:hAnsi="宋体" w:cs="宋体"/>
                <w:b/>
                <w:sz w:val="22"/>
                <w:szCs w:val="22"/>
              </w:rPr>
            </w:pPr>
          </w:p>
        </w:tc>
        <w:tc>
          <w:tcPr>
            <w:tcW w:w="945" w:type="dxa"/>
            <w:vMerge/>
            <w:shd w:val="clear" w:color="auto" w:fill="auto"/>
            <w:vAlign w:val="center"/>
          </w:tcPr>
          <w:p w:rsidR="00D57A91" w:rsidRDefault="00D57A91">
            <w:pPr>
              <w:jc w:val="center"/>
              <w:rPr>
                <w:rFonts w:ascii="宋体" w:hAnsi="宋体" w:cs="宋体"/>
                <w:b/>
                <w:sz w:val="22"/>
                <w:szCs w:val="22"/>
              </w:rPr>
            </w:pPr>
          </w:p>
        </w:tc>
        <w:tc>
          <w:tcPr>
            <w:tcW w:w="1854"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出光面直径（φ2）</w:t>
            </w:r>
          </w:p>
        </w:tc>
        <w:tc>
          <w:tcPr>
            <w:tcW w:w="1527"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100</w:t>
            </w:r>
            <w:r>
              <w:rPr>
                <w:rFonts w:ascii="宋体" w:eastAsia="宋体" w:hAnsi="宋体" w:cs="宋体" w:hint="eastAsia"/>
                <w:kern w:val="0"/>
                <w:sz w:val="22"/>
                <w:szCs w:val="22"/>
              </w:rPr>
              <w:t>mm</w:t>
            </w:r>
          </w:p>
        </w:tc>
        <w:tc>
          <w:tcPr>
            <w:tcW w:w="1115" w:type="dxa"/>
            <w:shd w:val="clear" w:color="auto" w:fill="auto"/>
            <w:vAlign w:val="center"/>
          </w:tcPr>
          <w:p w:rsidR="00D57A91" w:rsidRDefault="00EF39CB">
            <w:pPr>
              <w:widowControl/>
              <w:jc w:val="center"/>
              <w:textAlignment w:val="center"/>
              <w:rPr>
                <w:rFonts w:ascii="宋体" w:hAnsi="宋体" w:cs="宋体"/>
                <w:b/>
                <w:bCs/>
                <w:sz w:val="22"/>
                <w:szCs w:val="22"/>
              </w:rPr>
            </w:pPr>
            <w:r>
              <w:rPr>
                <w:rFonts w:ascii="宋体" w:hAnsi="宋体" w:cs="宋体" w:hint="eastAsia"/>
                <w:b/>
                <w:bCs/>
                <w:kern w:val="0"/>
                <w:sz w:val="22"/>
                <w:szCs w:val="22"/>
              </w:rPr>
              <w:t>允许偏差</w:t>
            </w:r>
          </w:p>
        </w:tc>
        <w:tc>
          <w:tcPr>
            <w:tcW w:w="2224"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eastAsia="宋体" w:hAnsi="宋体" w:cs="宋体" w:hint="eastAsia"/>
                <w:kern w:val="0"/>
                <w:sz w:val="22"/>
                <w:szCs w:val="22"/>
              </w:rPr>
              <w:t>越大越好</w:t>
            </w:r>
          </w:p>
        </w:tc>
      </w:tr>
      <w:tr w:rsidR="00D57A91">
        <w:trPr>
          <w:trHeight w:val="494"/>
        </w:trPr>
        <w:tc>
          <w:tcPr>
            <w:tcW w:w="1081" w:type="dxa"/>
            <w:vMerge/>
            <w:shd w:val="clear" w:color="auto" w:fill="auto"/>
            <w:vAlign w:val="center"/>
          </w:tcPr>
          <w:p w:rsidR="00D57A91" w:rsidRDefault="00D57A91">
            <w:pPr>
              <w:jc w:val="center"/>
              <w:rPr>
                <w:rFonts w:ascii="宋体" w:hAnsi="宋体" w:cs="宋体"/>
                <w:b/>
                <w:sz w:val="22"/>
                <w:szCs w:val="22"/>
              </w:rPr>
            </w:pPr>
          </w:p>
        </w:tc>
        <w:tc>
          <w:tcPr>
            <w:tcW w:w="945" w:type="dxa"/>
            <w:vMerge w:val="restart"/>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材质</w:t>
            </w:r>
          </w:p>
        </w:tc>
        <w:tc>
          <w:tcPr>
            <w:tcW w:w="1854"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灯具外壳</w:t>
            </w:r>
          </w:p>
        </w:tc>
        <w:tc>
          <w:tcPr>
            <w:tcW w:w="4866" w:type="dxa"/>
            <w:gridSpan w:val="3"/>
            <w:shd w:val="clear" w:color="auto" w:fill="auto"/>
            <w:vAlign w:val="center"/>
          </w:tcPr>
          <w:p w:rsidR="00D57A91" w:rsidRDefault="00EF39CB">
            <w:pPr>
              <w:widowControl/>
              <w:jc w:val="left"/>
              <w:textAlignment w:val="center"/>
              <w:rPr>
                <w:rFonts w:ascii="宋体" w:hAnsi="宋体" w:cs="宋体"/>
                <w:sz w:val="22"/>
                <w:szCs w:val="22"/>
              </w:rPr>
            </w:pPr>
            <w:r>
              <w:rPr>
                <w:rFonts w:ascii="宋体" w:hAnsi="宋体" w:cs="宋体" w:hint="eastAsia"/>
                <w:kern w:val="0"/>
                <w:sz w:val="22"/>
                <w:szCs w:val="22"/>
              </w:rPr>
              <w:t>氧化铝型材灯体,绝缘阻燃硅胶填充（防水、防火、抗紫外线）一体成形。</w:t>
            </w:r>
          </w:p>
        </w:tc>
      </w:tr>
      <w:tr w:rsidR="00D57A91">
        <w:trPr>
          <w:trHeight w:val="285"/>
        </w:trPr>
        <w:tc>
          <w:tcPr>
            <w:tcW w:w="1081" w:type="dxa"/>
            <w:vMerge/>
            <w:shd w:val="clear" w:color="auto" w:fill="auto"/>
            <w:vAlign w:val="center"/>
          </w:tcPr>
          <w:p w:rsidR="00D57A91" w:rsidRDefault="00D57A91">
            <w:pPr>
              <w:jc w:val="center"/>
              <w:rPr>
                <w:rFonts w:ascii="宋体" w:hAnsi="宋体" w:cs="宋体"/>
                <w:b/>
                <w:sz w:val="22"/>
                <w:szCs w:val="22"/>
              </w:rPr>
            </w:pPr>
          </w:p>
        </w:tc>
        <w:tc>
          <w:tcPr>
            <w:tcW w:w="945" w:type="dxa"/>
            <w:vMerge/>
            <w:shd w:val="clear" w:color="auto" w:fill="auto"/>
            <w:vAlign w:val="center"/>
          </w:tcPr>
          <w:p w:rsidR="00D57A91" w:rsidRDefault="00D57A91">
            <w:pPr>
              <w:jc w:val="center"/>
              <w:rPr>
                <w:rFonts w:ascii="宋体" w:hAnsi="宋体" w:cs="宋体"/>
                <w:b/>
                <w:sz w:val="22"/>
                <w:szCs w:val="22"/>
              </w:rPr>
            </w:pPr>
          </w:p>
        </w:tc>
        <w:tc>
          <w:tcPr>
            <w:tcW w:w="1854"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出光面</w:t>
            </w:r>
          </w:p>
        </w:tc>
        <w:tc>
          <w:tcPr>
            <w:tcW w:w="4866" w:type="dxa"/>
            <w:gridSpan w:val="3"/>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厚度5mm以上清光钢化玻璃</w:t>
            </w:r>
          </w:p>
        </w:tc>
      </w:tr>
      <w:tr w:rsidR="00D57A91">
        <w:trPr>
          <w:trHeight w:val="285"/>
        </w:trPr>
        <w:tc>
          <w:tcPr>
            <w:tcW w:w="1081" w:type="dxa"/>
            <w:vMerge/>
            <w:shd w:val="clear" w:color="auto" w:fill="auto"/>
            <w:vAlign w:val="center"/>
          </w:tcPr>
          <w:p w:rsidR="00D57A91" w:rsidRDefault="00D57A91">
            <w:pPr>
              <w:jc w:val="center"/>
              <w:rPr>
                <w:rFonts w:ascii="宋体" w:hAnsi="宋体" w:cs="宋体"/>
                <w:b/>
                <w:sz w:val="22"/>
                <w:szCs w:val="22"/>
              </w:rPr>
            </w:pPr>
          </w:p>
        </w:tc>
        <w:tc>
          <w:tcPr>
            <w:tcW w:w="2799" w:type="dxa"/>
            <w:gridSpan w:val="3"/>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外壳颜色</w:t>
            </w:r>
          </w:p>
        </w:tc>
        <w:tc>
          <w:tcPr>
            <w:tcW w:w="4866" w:type="dxa"/>
            <w:gridSpan w:val="3"/>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sz w:val="22"/>
                <w:szCs w:val="22"/>
              </w:rPr>
              <w:t>与安装位置的周边环境颜色一致</w:t>
            </w:r>
          </w:p>
        </w:tc>
      </w:tr>
      <w:tr w:rsidR="00D57A91">
        <w:trPr>
          <w:trHeight w:val="285"/>
        </w:trPr>
        <w:tc>
          <w:tcPr>
            <w:tcW w:w="1081" w:type="dxa"/>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光学</w:t>
            </w:r>
          </w:p>
        </w:tc>
        <w:tc>
          <w:tcPr>
            <w:tcW w:w="1155"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半峰发散角</w:t>
            </w:r>
          </w:p>
        </w:tc>
        <w:tc>
          <w:tcPr>
            <w:tcW w:w="1644"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0-10°</w:t>
            </w:r>
          </w:p>
        </w:tc>
        <w:tc>
          <w:tcPr>
            <w:tcW w:w="2642" w:type="dxa"/>
            <w:gridSpan w:val="2"/>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配光要求</w:t>
            </w:r>
          </w:p>
        </w:tc>
        <w:tc>
          <w:tcPr>
            <w:tcW w:w="2224" w:type="dxa"/>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对称配光</w:t>
            </w:r>
          </w:p>
        </w:tc>
      </w:tr>
      <w:tr w:rsidR="00D57A91">
        <w:trPr>
          <w:trHeight w:val="90"/>
        </w:trPr>
        <w:tc>
          <w:tcPr>
            <w:tcW w:w="1081" w:type="dxa"/>
            <w:shd w:val="clear" w:color="auto" w:fill="auto"/>
            <w:vAlign w:val="center"/>
          </w:tcPr>
          <w:p w:rsidR="00D57A91" w:rsidRDefault="00EF39CB">
            <w:pPr>
              <w:widowControl/>
              <w:jc w:val="center"/>
              <w:textAlignment w:val="center"/>
              <w:rPr>
                <w:rFonts w:ascii="宋体" w:hAnsi="宋体" w:cs="宋体"/>
                <w:b/>
                <w:sz w:val="22"/>
                <w:szCs w:val="22"/>
              </w:rPr>
            </w:pPr>
            <w:r>
              <w:rPr>
                <w:rFonts w:ascii="宋体" w:hAnsi="宋体" w:cs="宋体" w:hint="eastAsia"/>
                <w:b/>
                <w:kern w:val="0"/>
                <w:sz w:val="22"/>
                <w:szCs w:val="22"/>
              </w:rPr>
              <w:t>光效</w:t>
            </w:r>
          </w:p>
        </w:tc>
        <w:tc>
          <w:tcPr>
            <w:tcW w:w="7665" w:type="dxa"/>
            <w:gridSpan w:val="6"/>
            <w:shd w:val="clear" w:color="auto" w:fill="auto"/>
            <w:vAlign w:val="center"/>
          </w:tcPr>
          <w:p w:rsidR="00D57A91" w:rsidRDefault="00EF39CB">
            <w:pPr>
              <w:widowControl/>
              <w:jc w:val="center"/>
              <w:textAlignment w:val="center"/>
              <w:rPr>
                <w:rFonts w:ascii="宋体" w:hAnsi="宋体" w:cs="宋体"/>
                <w:sz w:val="22"/>
                <w:szCs w:val="22"/>
              </w:rPr>
            </w:pPr>
            <w:r>
              <w:rPr>
                <w:rFonts w:ascii="宋体" w:hAnsi="宋体" w:cs="宋体" w:hint="eastAsia"/>
                <w:kern w:val="0"/>
                <w:sz w:val="22"/>
                <w:szCs w:val="22"/>
              </w:rPr>
              <w:t>灯具光效≥70lm/W</w:t>
            </w:r>
          </w:p>
        </w:tc>
      </w:tr>
      <w:tr w:rsidR="00D57A91">
        <w:trPr>
          <w:trHeight w:val="390"/>
        </w:trPr>
        <w:tc>
          <w:tcPr>
            <w:tcW w:w="1081"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b/>
                <w:bCs/>
                <w:kern w:val="0"/>
                <w:sz w:val="22"/>
                <w:szCs w:val="22"/>
              </w:rPr>
              <w:t>备注</w:t>
            </w:r>
          </w:p>
        </w:tc>
        <w:tc>
          <w:tcPr>
            <w:tcW w:w="7665" w:type="dxa"/>
            <w:gridSpan w:val="6"/>
            <w:shd w:val="clear" w:color="auto" w:fill="auto"/>
            <w:vAlign w:val="center"/>
          </w:tcPr>
          <w:p w:rsidR="00D57A91" w:rsidRDefault="00EF39CB">
            <w:pPr>
              <w:widowControl/>
              <w:jc w:val="center"/>
              <w:textAlignment w:val="center"/>
              <w:rPr>
                <w:rFonts w:ascii="宋体" w:eastAsia="宋体" w:hAnsi="宋体" w:cs="宋体"/>
                <w:kern w:val="0"/>
                <w:sz w:val="22"/>
                <w:szCs w:val="22"/>
              </w:rPr>
            </w:pPr>
            <w:r>
              <w:rPr>
                <w:rFonts w:ascii="宋体" w:eastAsia="宋体" w:hAnsi="宋体" w:cs="宋体" w:hint="eastAsia"/>
                <w:kern w:val="0"/>
                <w:sz w:val="22"/>
                <w:szCs w:val="22"/>
              </w:rPr>
              <w:t>灯具支架</w:t>
            </w:r>
            <w:r>
              <w:rPr>
                <w:rFonts w:ascii="宋体" w:hAnsi="宋体" w:cs="宋体" w:hint="eastAsia"/>
                <w:kern w:val="0"/>
                <w:sz w:val="22"/>
                <w:szCs w:val="22"/>
              </w:rPr>
              <w:t>由中标单位根据现场情况深化</w:t>
            </w:r>
          </w:p>
        </w:tc>
      </w:tr>
    </w:tbl>
    <w:p w:rsidR="00D57A91" w:rsidRDefault="00D57A91"/>
    <w:p w:rsidR="00D57A91" w:rsidRDefault="00EF39CB">
      <w:pPr>
        <w:pStyle w:val="3"/>
        <w:ind w:leftChars="0" w:left="0" w:firstLineChars="0" w:firstLine="0"/>
      </w:pPr>
      <w:r>
        <w:rPr>
          <w:rFonts w:ascii="宋体" w:eastAsia="宋体" w:hAnsi="宋体" w:cs="宋体" w:hint="eastAsia"/>
          <w:szCs w:val="28"/>
        </w:rPr>
        <w:t>4）</w:t>
      </w:r>
      <w:r>
        <w:rPr>
          <w:rFonts w:hint="eastAsia"/>
        </w:rPr>
        <w:t>12w</w:t>
      </w:r>
      <w:r>
        <w:rPr>
          <w:rFonts w:hint="eastAsia"/>
        </w:rPr>
        <w:t>线形</w:t>
      </w:r>
      <w:r>
        <w:rPr>
          <w:rFonts w:hint="eastAsia"/>
        </w:rPr>
        <w:t>LED</w:t>
      </w:r>
      <w:r>
        <w:rPr>
          <w:rFonts w:hint="eastAsia"/>
        </w:rPr>
        <w:t>投光灯</w:t>
      </w:r>
      <w:r>
        <w:rPr>
          <w:rFonts w:ascii="宋体" w:eastAsia="宋体" w:hAnsi="宋体" w:cs="宋体" w:hint="eastAsia"/>
          <w:szCs w:val="28"/>
        </w:rPr>
        <w:t>（</w:t>
      </w:r>
      <w:r>
        <w:rPr>
          <w:rFonts w:hint="eastAsia"/>
        </w:rPr>
        <w:t>3000K</w:t>
      </w:r>
      <w:r>
        <w:rPr>
          <w:rFonts w:hint="eastAsia"/>
        </w:rPr>
        <w:t>，中光</w:t>
      </w:r>
      <w:r>
        <w:rPr>
          <w:rFonts w:ascii="宋体" w:eastAsia="宋体" w:hAnsi="宋体" w:cs="宋体" w:hint="eastAsia"/>
          <w:szCs w:val="28"/>
        </w:rPr>
        <w:t>）</w:t>
      </w:r>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18"/>
        <w:gridCol w:w="1156"/>
        <w:gridCol w:w="1767"/>
        <w:gridCol w:w="1500"/>
        <w:gridCol w:w="1084"/>
        <w:gridCol w:w="2343"/>
      </w:tblGrid>
      <w:tr w:rsidR="00D57A91">
        <w:trPr>
          <w:trHeight w:val="1830"/>
          <w:jc w:val="center"/>
        </w:trPr>
        <w:tc>
          <w:tcPr>
            <w:tcW w:w="918" w:type="dxa"/>
            <w:vMerge w:val="restart"/>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灯具</w:t>
            </w:r>
          </w:p>
        </w:tc>
        <w:tc>
          <w:tcPr>
            <w:tcW w:w="2923"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t>（仅供参考）</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noProof/>
                <w:kern w:val="0"/>
                <w:sz w:val="22"/>
                <w:szCs w:val="22"/>
              </w:rPr>
              <w:drawing>
                <wp:inline distT="0" distB="0" distL="114300" distR="114300">
                  <wp:extent cx="2705100" cy="1104900"/>
                  <wp:effectExtent l="0" t="0" r="7620" b="7620"/>
                  <wp:docPr id="2"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IMG_256"/>
                          <pic:cNvPicPr>
                            <a:picLocks noChangeAspect="1"/>
                          </pic:cNvPicPr>
                        </pic:nvPicPr>
                        <pic:blipFill>
                          <a:blip r:embed="rId9"/>
                          <a:stretch>
                            <a:fillRect/>
                          </a:stretch>
                        </pic:blipFill>
                        <pic:spPr>
                          <a:xfrm>
                            <a:off x="0" y="0"/>
                            <a:ext cx="2705100" cy="1104900"/>
                          </a:xfrm>
                          <a:prstGeom prst="rect">
                            <a:avLst/>
                          </a:prstGeom>
                          <a:noFill/>
                          <a:ln w="9525">
                            <a:noFill/>
                          </a:ln>
                        </pic:spPr>
                      </pic:pic>
                    </a:graphicData>
                  </a:graphic>
                </wp:inline>
              </w:drawing>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6" w:type="dxa"/>
            <w:vMerge w:val="restart"/>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尺寸</w:t>
            </w:r>
          </w:p>
        </w:tc>
        <w:tc>
          <w:tcPr>
            <w:tcW w:w="1767"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长度（L）</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1000mm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±1mm</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6" w:type="dxa"/>
            <w:vMerge/>
            <w:shd w:val="clear" w:color="auto" w:fill="auto"/>
            <w:vAlign w:val="center"/>
          </w:tcPr>
          <w:p w:rsidR="00D57A91" w:rsidRDefault="00D57A91">
            <w:pPr>
              <w:jc w:val="left"/>
              <w:rPr>
                <w:rFonts w:ascii="宋体" w:eastAsia="宋体" w:hAnsi="宋体" w:cs="宋体"/>
                <w:b/>
                <w:sz w:val="22"/>
                <w:szCs w:val="22"/>
              </w:rPr>
            </w:pPr>
          </w:p>
        </w:tc>
        <w:tc>
          <w:tcPr>
            <w:tcW w:w="1767"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宽度（W）</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hAnsi="宋体" w:cs="宋体" w:hint="eastAsia"/>
                <w:kern w:val="0"/>
                <w:sz w:val="22"/>
                <w:szCs w:val="22"/>
              </w:rPr>
              <w:t>30</w:t>
            </w:r>
            <w:r>
              <w:rPr>
                <w:rFonts w:ascii="宋体" w:eastAsia="宋体" w:hAnsi="宋体" w:cs="宋体" w:hint="eastAsia"/>
                <w:kern w:val="0"/>
                <w:sz w:val="22"/>
                <w:szCs w:val="22"/>
              </w:rPr>
              <w:t>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越小越好</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6" w:type="dxa"/>
            <w:vMerge/>
            <w:shd w:val="clear" w:color="auto" w:fill="auto"/>
            <w:vAlign w:val="center"/>
          </w:tcPr>
          <w:p w:rsidR="00D57A91" w:rsidRDefault="00D57A91">
            <w:pPr>
              <w:jc w:val="left"/>
              <w:rPr>
                <w:rFonts w:ascii="宋体" w:eastAsia="宋体" w:hAnsi="宋体" w:cs="宋体"/>
                <w:b/>
                <w:sz w:val="22"/>
                <w:szCs w:val="22"/>
              </w:rPr>
            </w:pPr>
          </w:p>
        </w:tc>
        <w:tc>
          <w:tcPr>
            <w:tcW w:w="1767"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高度（H）</w:t>
            </w:r>
          </w:p>
        </w:tc>
        <w:tc>
          <w:tcPr>
            <w:tcW w:w="1500"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w:t>
            </w:r>
            <w:r>
              <w:rPr>
                <w:rFonts w:ascii="宋体" w:hAnsi="宋体" w:cs="宋体" w:hint="eastAsia"/>
                <w:kern w:val="0"/>
                <w:sz w:val="22"/>
                <w:szCs w:val="22"/>
              </w:rPr>
              <w:t>30</w:t>
            </w:r>
            <w:r>
              <w:rPr>
                <w:rFonts w:ascii="宋体" w:eastAsia="宋体" w:hAnsi="宋体" w:cs="宋体" w:hint="eastAsia"/>
                <w:kern w:val="0"/>
                <w:sz w:val="22"/>
                <w:szCs w:val="22"/>
              </w:rPr>
              <w:t>mm</w:t>
            </w:r>
          </w:p>
        </w:tc>
        <w:tc>
          <w:tcPr>
            <w:tcW w:w="1084"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允许偏差</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越小越好</w:t>
            </w:r>
          </w:p>
        </w:tc>
      </w:tr>
      <w:tr w:rsidR="00D57A91">
        <w:trPr>
          <w:trHeight w:val="630"/>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6" w:type="dxa"/>
            <w:vMerge w:val="restart"/>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材质</w:t>
            </w:r>
          </w:p>
        </w:tc>
        <w:tc>
          <w:tcPr>
            <w:tcW w:w="1767"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灯具外壳</w:t>
            </w:r>
          </w:p>
        </w:tc>
        <w:tc>
          <w:tcPr>
            <w:tcW w:w="4927" w:type="dxa"/>
            <w:gridSpan w:val="3"/>
            <w:shd w:val="clear" w:color="auto" w:fill="auto"/>
            <w:vAlign w:val="center"/>
          </w:tcPr>
          <w:p w:rsidR="00D57A91" w:rsidRDefault="00EF39CB">
            <w:pPr>
              <w:widowControl/>
              <w:jc w:val="left"/>
              <w:textAlignment w:val="center"/>
              <w:rPr>
                <w:rFonts w:ascii="宋体" w:eastAsia="宋体" w:hAnsi="宋体" w:cs="宋体"/>
                <w:sz w:val="22"/>
                <w:szCs w:val="22"/>
              </w:rPr>
            </w:pPr>
            <w:r>
              <w:rPr>
                <w:rFonts w:ascii="宋体" w:eastAsia="宋体" w:hAnsi="宋体" w:cs="宋体" w:hint="eastAsia"/>
                <w:kern w:val="0"/>
                <w:sz w:val="22"/>
                <w:szCs w:val="22"/>
              </w:rPr>
              <w:t>氧化铝型材灯体,绝缘阻燃硅胶填充（防水、防火、抗紫外线）一体成形。</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1156" w:type="dxa"/>
            <w:vMerge/>
            <w:shd w:val="clear" w:color="auto" w:fill="auto"/>
            <w:vAlign w:val="center"/>
          </w:tcPr>
          <w:p w:rsidR="00D57A91" w:rsidRDefault="00D57A91">
            <w:pPr>
              <w:jc w:val="left"/>
              <w:rPr>
                <w:rFonts w:ascii="宋体" w:eastAsia="宋体" w:hAnsi="宋体" w:cs="宋体"/>
                <w:b/>
                <w:sz w:val="22"/>
                <w:szCs w:val="22"/>
              </w:rPr>
            </w:pPr>
          </w:p>
        </w:tc>
        <w:tc>
          <w:tcPr>
            <w:tcW w:w="1767"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出光面</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钢化玻璃或透明PC</w:t>
            </w:r>
          </w:p>
        </w:tc>
      </w:tr>
      <w:tr w:rsidR="00D57A91">
        <w:trPr>
          <w:trHeight w:val="285"/>
          <w:jc w:val="center"/>
        </w:trPr>
        <w:tc>
          <w:tcPr>
            <w:tcW w:w="918" w:type="dxa"/>
            <w:vMerge/>
            <w:shd w:val="clear" w:color="auto" w:fill="auto"/>
            <w:vAlign w:val="center"/>
          </w:tcPr>
          <w:p w:rsidR="00D57A91" w:rsidRDefault="00D57A91">
            <w:pPr>
              <w:jc w:val="center"/>
              <w:rPr>
                <w:rFonts w:ascii="宋体" w:eastAsia="宋体" w:hAnsi="宋体" w:cs="宋体"/>
                <w:b/>
                <w:sz w:val="22"/>
                <w:szCs w:val="22"/>
              </w:rPr>
            </w:pPr>
          </w:p>
        </w:tc>
        <w:tc>
          <w:tcPr>
            <w:tcW w:w="2923" w:type="dxa"/>
            <w:gridSpan w:val="2"/>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外壳颜色</w:t>
            </w:r>
          </w:p>
        </w:tc>
        <w:tc>
          <w:tcPr>
            <w:tcW w:w="4927" w:type="dxa"/>
            <w:gridSpan w:val="3"/>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与安装位置的周边环境颜色一致</w:t>
            </w:r>
          </w:p>
        </w:tc>
      </w:tr>
      <w:tr w:rsidR="00D57A91">
        <w:trPr>
          <w:trHeight w:val="285"/>
          <w:jc w:val="center"/>
        </w:trPr>
        <w:tc>
          <w:tcPr>
            <w:tcW w:w="9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56" w:type="dxa"/>
            <w:shd w:val="clear" w:color="auto" w:fill="auto"/>
            <w:vAlign w:val="center"/>
          </w:tcPr>
          <w:p w:rsidR="00D57A91" w:rsidRDefault="00EF39CB">
            <w:pPr>
              <w:widowControl/>
              <w:jc w:val="left"/>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767"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kern w:val="0"/>
                <w:sz w:val="22"/>
                <w:szCs w:val="22"/>
              </w:rPr>
              <w:t>0-45°</w:t>
            </w:r>
          </w:p>
        </w:tc>
        <w:tc>
          <w:tcPr>
            <w:tcW w:w="2584"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3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r w:rsidR="00D57A91">
        <w:trPr>
          <w:trHeight w:val="90"/>
          <w:jc w:val="center"/>
        </w:trPr>
        <w:tc>
          <w:tcPr>
            <w:tcW w:w="9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lastRenderedPageBreak/>
              <w:t>光效</w:t>
            </w:r>
          </w:p>
        </w:tc>
        <w:tc>
          <w:tcPr>
            <w:tcW w:w="7850" w:type="dxa"/>
            <w:gridSpan w:val="5"/>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灯具光效≥70lm/W</w:t>
            </w:r>
          </w:p>
        </w:tc>
      </w:tr>
    </w:tbl>
    <w:p w:rsidR="00D57A91" w:rsidRDefault="00D57A91"/>
    <w:p w:rsidR="00D57A91" w:rsidRDefault="00EF39CB">
      <w:pPr>
        <w:pStyle w:val="3"/>
        <w:ind w:leftChars="0" w:left="0" w:firstLineChars="0" w:firstLine="0"/>
      </w:pPr>
      <w:r>
        <w:rPr>
          <w:rFonts w:hint="eastAsia"/>
        </w:rPr>
        <w:t>5</w:t>
      </w:r>
      <w:r>
        <w:rPr>
          <w:rFonts w:hint="eastAsia"/>
        </w:rPr>
        <w:t>）</w:t>
      </w:r>
      <w:bookmarkStart w:id="8" w:name="_Toc32660"/>
      <w:r>
        <w:rPr>
          <w:rFonts w:hint="eastAsia"/>
        </w:rPr>
        <w:t>2W LED</w:t>
      </w:r>
      <w:bookmarkEnd w:id="8"/>
      <w:r>
        <w:rPr>
          <w:rFonts w:hint="eastAsia"/>
        </w:rPr>
        <w:t>投光灯（</w:t>
      </w:r>
      <w:r>
        <w:rPr>
          <w:rFonts w:hint="eastAsia"/>
        </w:rPr>
        <w:t>3000K</w:t>
      </w:r>
      <w:r>
        <w:rPr>
          <w:rFonts w:hint="eastAsia"/>
        </w:rPr>
        <w:t>，窄光）</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18"/>
        <w:gridCol w:w="1165"/>
        <w:gridCol w:w="1994"/>
        <w:gridCol w:w="1206"/>
        <w:gridCol w:w="1124"/>
        <w:gridCol w:w="2243"/>
      </w:tblGrid>
      <w:tr w:rsidR="00D57A91">
        <w:trPr>
          <w:trHeight w:val="285"/>
        </w:trPr>
        <w:tc>
          <w:tcPr>
            <w:tcW w:w="1118" w:type="dxa"/>
            <w:vMerge w:val="restart"/>
            <w:shd w:val="clear" w:color="auto" w:fill="auto"/>
            <w:vAlign w:val="center"/>
          </w:tcPr>
          <w:p w:rsidR="00D57A91" w:rsidRDefault="00EF39CB">
            <w:pPr>
              <w:jc w:val="center"/>
              <w:rPr>
                <w:rFonts w:ascii="宋体" w:eastAsia="宋体" w:hAnsi="宋体" w:cs="宋体"/>
                <w:b/>
                <w:sz w:val="22"/>
                <w:szCs w:val="22"/>
              </w:rPr>
            </w:pPr>
            <w:r>
              <w:rPr>
                <w:rFonts w:ascii="宋体" w:eastAsia="宋体" w:hAnsi="宋体" w:cs="宋体"/>
                <w:b/>
                <w:sz w:val="22"/>
                <w:szCs w:val="22"/>
              </w:rPr>
              <w:t>灯具</w:t>
            </w:r>
          </w:p>
        </w:tc>
        <w:tc>
          <w:tcPr>
            <w:tcW w:w="3159" w:type="dxa"/>
            <w:gridSpan w:val="2"/>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t>（仅供参考）</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noProof/>
                <w:sz w:val="22"/>
                <w:szCs w:val="22"/>
              </w:rPr>
              <w:drawing>
                <wp:inline distT="0" distB="0" distL="114300" distR="114300">
                  <wp:extent cx="2590165" cy="1038225"/>
                  <wp:effectExtent l="0" t="0" r="635" b="13335"/>
                  <wp:docPr id="3" name="图片 2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descr="图片2"/>
                          <pic:cNvPicPr>
                            <a:picLocks noChangeAspect="1"/>
                          </pic:cNvPicPr>
                        </pic:nvPicPr>
                        <pic:blipFill>
                          <a:blip r:embed="rId10"/>
                          <a:stretch>
                            <a:fillRect/>
                          </a:stretch>
                        </pic:blipFill>
                        <pic:spPr>
                          <a:xfrm>
                            <a:off x="0" y="0"/>
                            <a:ext cx="2590165" cy="1038225"/>
                          </a:xfrm>
                          <a:prstGeom prst="rect">
                            <a:avLst/>
                          </a:prstGeom>
                        </pic:spPr>
                      </pic:pic>
                    </a:graphicData>
                  </a:graphic>
                </wp:inline>
              </w:drawing>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val="restart"/>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尺寸</w:t>
            </w: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hAnsi="宋体" w:cs="宋体" w:hint="eastAsia"/>
                <w:b/>
                <w:kern w:val="0"/>
                <w:sz w:val="22"/>
                <w:szCs w:val="22"/>
              </w:rPr>
              <w:t>直径</w:t>
            </w:r>
            <w:r>
              <w:rPr>
                <w:rFonts w:ascii="宋体" w:eastAsia="宋体" w:hAnsi="宋体" w:cs="宋体" w:hint="eastAsia"/>
                <w:b/>
                <w:kern w:val="0"/>
                <w:sz w:val="22"/>
                <w:szCs w:val="22"/>
              </w:rPr>
              <w:t>（</w:t>
            </w:r>
            <w:r>
              <w:rPr>
                <w:rFonts w:ascii="宋体" w:hAnsi="宋体" w:cs="宋体" w:hint="eastAsia"/>
                <w:b/>
                <w:kern w:val="0"/>
                <w:sz w:val="22"/>
                <w:szCs w:val="22"/>
              </w:rPr>
              <w:t>φ1</w:t>
            </w:r>
            <w:r>
              <w:rPr>
                <w:rFonts w:ascii="宋体" w:eastAsia="宋体" w:hAnsi="宋体" w:cs="宋体" w:hint="eastAsia"/>
                <w:b/>
                <w:kern w:val="0"/>
                <w:sz w:val="22"/>
                <w:szCs w:val="22"/>
              </w:rPr>
              <w:t>）</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45</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5</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宽度（W）</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47</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5</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hAnsi="宋体" w:cs="宋体" w:hint="eastAsia"/>
                <w:b/>
                <w:kern w:val="0"/>
                <w:sz w:val="22"/>
                <w:szCs w:val="22"/>
              </w:rPr>
              <w:t>出光面直径</w:t>
            </w:r>
            <w:r>
              <w:rPr>
                <w:rFonts w:ascii="宋体" w:eastAsia="宋体" w:hAnsi="宋体" w:cs="宋体" w:hint="eastAsia"/>
                <w:b/>
                <w:kern w:val="0"/>
                <w:sz w:val="22"/>
                <w:szCs w:val="22"/>
              </w:rPr>
              <w:t>（</w:t>
            </w:r>
            <w:r>
              <w:rPr>
                <w:rFonts w:ascii="宋体" w:hAnsi="宋体" w:cs="宋体" w:hint="eastAsia"/>
                <w:b/>
                <w:kern w:val="0"/>
                <w:sz w:val="22"/>
                <w:szCs w:val="22"/>
              </w:rPr>
              <w:t>φ2</w:t>
            </w:r>
            <w:r>
              <w:rPr>
                <w:rFonts w:ascii="宋体" w:eastAsia="宋体" w:hAnsi="宋体" w:cs="宋体" w:hint="eastAsia"/>
                <w:b/>
                <w:kern w:val="0"/>
                <w:sz w:val="22"/>
                <w:szCs w:val="22"/>
              </w:rPr>
              <w:t>）</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30</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3</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val="restart"/>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材质</w:t>
            </w: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灯具外壳</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压铸铝</w:t>
            </w:r>
            <w:r>
              <w:rPr>
                <w:rFonts w:ascii="宋体" w:eastAsia="宋体" w:hAnsi="宋体" w:cs="宋体" w:hint="eastAsia"/>
                <w:kern w:val="0"/>
                <w:sz w:val="22"/>
                <w:szCs w:val="22"/>
              </w:rPr>
              <w:t>灯体</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出光面</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4mm以上钢化玻璃</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3159" w:type="dxa"/>
            <w:gridSpan w:val="2"/>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外壳颜色</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与安装位置的周边环境颜色一致</w:t>
            </w:r>
          </w:p>
        </w:tc>
      </w:tr>
      <w:tr w:rsidR="00D57A91">
        <w:trPr>
          <w:trHeight w:val="285"/>
        </w:trPr>
        <w:tc>
          <w:tcPr>
            <w:tcW w:w="11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4"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kern w:val="0"/>
                <w:sz w:val="22"/>
                <w:szCs w:val="22"/>
              </w:rPr>
              <w:t>0-20°</w:t>
            </w:r>
          </w:p>
        </w:tc>
        <w:tc>
          <w:tcPr>
            <w:tcW w:w="2330"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r w:rsidR="00D57A91">
        <w:trPr>
          <w:trHeight w:val="90"/>
        </w:trPr>
        <w:tc>
          <w:tcPr>
            <w:tcW w:w="11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光效</w:t>
            </w:r>
          </w:p>
        </w:tc>
        <w:tc>
          <w:tcPr>
            <w:tcW w:w="7732" w:type="dxa"/>
            <w:gridSpan w:val="5"/>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灯具光效≥70lm/W</w:t>
            </w:r>
          </w:p>
        </w:tc>
      </w:tr>
    </w:tbl>
    <w:p w:rsidR="00D57A91" w:rsidRDefault="00D57A91"/>
    <w:p w:rsidR="00D57A91" w:rsidRDefault="00EF39CB">
      <w:pPr>
        <w:pStyle w:val="3"/>
        <w:ind w:leftChars="0" w:left="0" w:firstLineChars="0" w:firstLine="0"/>
      </w:pPr>
      <w:r>
        <w:rPr>
          <w:rFonts w:hint="eastAsia"/>
        </w:rPr>
        <w:t>6</w:t>
      </w:r>
      <w:r>
        <w:rPr>
          <w:rFonts w:hint="eastAsia"/>
        </w:rPr>
        <w:t>）</w:t>
      </w:r>
      <w:r>
        <w:rPr>
          <w:rFonts w:hint="eastAsia"/>
        </w:rPr>
        <w:t>2W LED</w:t>
      </w:r>
      <w:r>
        <w:rPr>
          <w:rFonts w:hint="eastAsia"/>
        </w:rPr>
        <w:t>投光灯（琥珀色，窄光）</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18"/>
        <w:gridCol w:w="1165"/>
        <w:gridCol w:w="1994"/>
        <w:gridCol w:w="1206"/>
        <w:gridCol w:w="1124"/>
        <w:gridCol w:w="2243"/>
      </w:tblGrid>
      <w:tr w:rsidR="00D57A91">
        <w:trPr>
          <w:trHeight w:val="285"/>
        </w:trPr>
        <w:tc>
          <w:tcPr>
            <w:tcW w:w="1118" w:type="dxa"/>
            <w:vMerge w:val="restart"/>
            <w:shd w:val="clear" w:color="auto" w:fill="auto"/>
            <w:vAlign w:val="center"/>
          </w:tcPr>
          <w:p w:rsidR="00D57A91" w:rsidRDefault="00EF39CB">
            <w:pPr>
              <w:jc w:val="center"/>
              <w:rPr>
                <w:rFonts w:ascii="宋体" w:eastAsia="宋体" w:hAnsi="宋体" w:cs="宋体"/>
                <w:b/>
                <w:sz w:val="22"/>
                <w:szCs w:val="22"/>
              </w:rPr>
            </w:pPr>
            <w:r>
              <w:rPr>
                <w:rFonts w:ascii="宋体" w:eastAsia="宋体" w:hAnsi="宋体" w:cs="宋体"/>
                <w:b/>
                <w:sz w:val="22"/>
                <w:szCs w:val="22"/>
              </w:rPr>
              <w:t>灯具</w:t>
            </w:r>
          </w:p>
        </w:tc>
        <w:tc>
          <w:tcPr>
            <w:tcW w:w="3159" w:type="dxa"/>
            <w:gridSpan w:val="2"/>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t>（仅供参考）</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noProof/>
                <w:sz w:val="22"/>
                <w:szCs w:val="22"/>
              </w:rPr>
              <w:drawing>
                <wp:inline distT="0" distB="0" distL="114300" distR="114300">
                  <wp:extent cx="2590165" cy="1038225"/>
                  <wp:effectExtent l="0" t="0" r="635" b="13335"/>
                  <wp:docPr id="4" name="图片 2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4" descr="图片2"/>
                          <pic:cNvPicPr>
                            <a:picLocks noChangeAspect="1"/>
                          </pic:cNvPicPr>
                        </pic:nvPicPr>
                        <pic:blipFill>
                          <a:blip r:embed="rId10"/>
                          <a:stretch>
                            <a:fillRect/>
                          </a:stretch>
                        </pic:blipFill>
                        <pic:spPr>
                          <a:xfrm>
                            <a:off x="0" y="0"/>
                            <a:ext cx="2590165" cy="1038225"/>
                          </a:xfrm>
                          <a:prstGeom prst="rect">
                            <a:avLst/>
                          </a:prstGeom>
                        </pic:spPr>
                      </pic:pic>
                    </a:graphicData>
                  </a:graphic>
                </wp:inline>
              </w:drawing>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val="restart"/>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尺寸</w:t>
            </w: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hAnsi="宋体" w:cs="宋体" w:hint="eastAsia"/>
                <w:b/>
                <w:kern w:val="0"/>
                <w:sz w:val="22"/>
                <w:szCs w:val="22"/>
              </w:rPr>
              <w:t>直径</w:t>
            </w:r>
            <w:r>
              <w:rPr>
                <w:rFonts w:ascii="宋体" w:eastAsia="宋体" w:hAnsi="宋体" w:cs="宋体" w:hint="eastAsia"/>
                <w:b/>
                <w:kern w:val="0"/>
                <w:sz w:val="22"/>
                <w:szCs w:val="22"/>
              </w:rPr>
              <w:t>（</w:t>
            </w:r>
            <w:r>
              <w:rPr>
                <w:rFonts w:ascii="宋体" w:hAnsi="宋体" w:cs="宋体" w:hint="eastAsia"/>
                <w:b/>
                <w:kern w:val="0"/>
                <w:sz w:val="22"/>
                <w:szCs w:val="22"/>
              </w:rPr>
              <w:t>φ1</w:t>
            </w:r>
            <w:r>
              <w:rPr>
                <w:rFonts w:ascii="宋体" w:eastAsia="宋体" w:hAnsi="宋体" w:cs="宋体" w:hint="eastAsia"/>
                <w:b/>
                <w:kern w:val="0"/>
                <w:sz w:val="22"/>
                <w:szCs w:val="22"/>
              </w:rPr>
              <w:t>）</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45</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5</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宽度（W）</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47</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5</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hAnsi="宋体" w:cs="宋体" w:hint="eastAsia"/>
                <w:b/>
                <w:kern w:val="0"/>
                <w:sz w:val="22"/>
                <w:szCs w:val="22"/>
              </w:rPr>
              <w:t>出光面直径</w:t>
            </w:r>
            <w:r>
              <w:rPr>
                <w:rFonts w:ascii="宋体" w:eastAsia="宋体" w:hAnsi="宋体" w:cs="宋体" w:hint="eastAsia"/>
                <w:b/>
                <w:kern w:val="0"/>
                <w:sz w:val="22"/>
                <w:szCs w:val="22"/>
              </w:rPr>
              <w:t>（</w:t>
            </w:r>
            <w:r>
              <w:rPr>
                <w:rFonts w:ascii="宋体" w:hAnsi="宋体" w:cs="宋体" w:hint="eastAsia"/>
                <w:b/>
                <w:kern w:val="0"/>
                <w:sz w:val="22"/>
                <w:szCs w:val="22"/>
              </w:rPr>
              <w:t>φ2</w:t>
            </w:r>
            <w:r>
              <w:rPr>
                <w:rFonts w:ascii="宋体" w:eastAsia="宋体" w:hAnsi="宋体" w:cs="宋体" w:hint="eastAsia"/>
                <w:b/>
                <w:kern w:val="0"/>
                <w:sz w:val="22"/>
                <w:szCs w:val="22"/>
              </w:rPr>
              <w:t>）</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30</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3</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val="restart"/>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材质</w:t>
            </w: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灯具外壳</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压铸铝</w:t>
            </w:r>
            <w:r>
              <w:rPr>
                <w:rFonts w:ascii="宋体" w:eastAsia="宋体" w:hAnsi="宋体" w:cs="宋体" w:hint="eastAsia"/>
                <w:kern w:val="0"/>
                <w:sz w:val="22"/>
                <w:szCs w:val="22"/>
              </w:rPr>
              <w:t>灯体</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出光面</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4mm以上钢化玻璃</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3159" w:type="dxa"/>
            <w:gridSpan w:val="2"/>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外壳颜色</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与安装位置的周边环境颜色一致</w:t>
            </w:r>
          </w:p>
        </w:tc>
      </w:tr>
      <w:tr w:rsidR="00D57A91">
        <w:trPr>
          <w:trHeight w:val="285"/>
        </w:trPr>
        <w:tc>
          <w:tcPr>
            <w:tcW w:w="11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4"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kern w:val="0"/>
                <w:sz w:val="22"/>
                <w:szCs w:val="22"/>
              </w:rPr>
              <w:t>0-20°</w:t>
            </w:r>
          </w:p>
        </w:tc>
        <w:tc>
          <w:tcPr>
            <w:tcW w:w="2330"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r w:rsidR="00D57A91">
        <w:trPr>
          <w:trHeight w:val="90"/>
        </w:trPr>
        <w:tc>
          <w:tcPr>
            <w:tcW w:w="11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光效</w:t>
            </w:r>
          </w:p>
        </w:tc>
        <w:tc>
          <w:tcPr>
            <w:tcW w:w="7732" w:type="dxa"/>
            <w:gridSpan w:val="5"/>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灯具光效≥70lm/W</w:t>
            </w:r>
          </w:p>
        </w:tc>
      </w:tr>
    </w:tbl>
    <w:p w:rsidR="00D57A91" w:rsidRDefault="00D57A91"/>
    <w:p w:rsidR="00D57A91" w:rsidRDefault="00EF39CB">
      <w:pPr>
        <w:pStyle w:val="3"/>
        <w:ind w:leftChars="0" w:left="0" w:firstLineChars="0" w:firstLine="0"/>
      </w:pPr>
      <w:r>
        <w:rPr>
          <w:rFonts w:hint="eastAsia"/>
        </w:rPr>
        <w:lastRenderedPageBreak/>
        <w:t>7</w:t>
      </w:r>
      <w:r>
        <w:rPr>
          <w:rFonts w:hint="eastAsia"/>
        </w:rPr>
        <w:t>）</w:t>
      </w:r>
      <w:r>
        <w:rPr>
          <w:rFonts w:hint="eastAsia"/>
        </w:rPr>
        <w:t>6W LED</w:t>
      </w:r>
      <w:r>
        <w:rPr>
          <w:rFonts w:hint="eastAsia"/>
        </w:rPr>
        <w:t>投光灯（琥珀色，窄光）</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18"/>
        <w:gridCol w:w="1165"/>
        <w:gridCol w:w="1994"/>
        <w:gridCol w:w="1206"/>
        <w:gridCol w:w="1124"/>
        <w:gridCol w:w="2243"/>
      </w:tblGrid>
      <w:tr w:rsidR="00D57A91">
        <w:trPr>
          <w:trHeight w:val="285"/>
        </w:trPr>
        <w:tc>
          <w:tcPr>
            <w:tcW w:w="1118" w:type="dxa"/>
            <w:vMerge w:val="restart"/>
            <w:shd w:val="clear" w:color="auto" w:fill="auto"/>
            <w:vAlign w:val="center"/>
          </w:tcPr>
          <w:p w:rsidR="00D57A91" w:rsidRDefault="00EF39CB">
            <w:pPr>
              <w:jc w:val="center"/>
              <w:rPr>
                <w:rFonts w:ascii="宋体" w:eastAsia="宋体" w:hAnsi="宋体" w:cs="宋体"/>
                <w:b/>
                <w:sz w:val="22"/>
                <w:szCs w:val="22"/>
              </w:rPr>
            </w:pPr>
            <w:r>
              <w:rPr>
                <w:rFonts w:ascii="宋体" w:eastAsia="宋体" w:hAnsi="宋体" w:cs="宋体"/>
                <w:b/>
                <w:sz w:val="22"/>
                <w:szCs w:val="22"/>
              </w:rPr>
              <w:t>灯具</w:t>
            </w:r>
          </w:p>
        </w:tc>
        <w:tc>
          <w:tcPr>
            <w:tcW w:w="3159" w:type="dxa"/>
            <w:gridSpan w:val="2"/>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外形</w:t>
            </w:r>
            <w:r>
              <w:rPr>
                <w:rFonts w:ascii="宋体" w:eastAsia="宋体" w:hAnsi="宋体" w:cs="宋体" w:hint="eastAsia"/>
                <w:b/>
                <w:kern w:val="0"/>
                <w:sz w:val="22"/>
                <w:szCs w:val="22"/>
              </w:rPr>
              <w:br/>
              <w:t>（仅供参考）</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noProof/>
                <w:sz w:val="22"/>
                <w:szCs w:val="22"/>
              </w:rPr>
              <w:drawing>
                <wp:inline distT="0" distB="0" distL="114300" distR="114300">
                  <wp:extent cx="2590165" cy="1038225"/>
                  <wp:effectExtent l="0" t="0" r="635" b="13335"/>
                  <wp:docPr id="5" name="图片 2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descr="图片2"/>
                          <pic:cNvPicPr>
                            <a:picLocks noChangeAspect="1"/>
                          </pic:cNvPicPr>
                        </pic:nvPicPr>
                        <pic:blipFill>
                          <a:blip r:embed="rId10"/>
                          <a:stretch>
                            <a:fillRect/>
                          </a:stretch>
                        </pic:blipFill>
                        <pic:spPr>
                          <a:xfrm>
                            <a:off x="0" y="0"/>
                            <a:ext cx="2590165" cy="1038225"/>
                          </a:xfrm>
                          <a:prstGeom prst="rect">
                            <a:avLst/>
                          </a:prstGeom>
                        </pic:spPr>
                      </pic:pic>
                    </a:graphicData>
                  </a:graphic>
                </wp:inline>
              </w:drawing>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val="restart"/>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尺寸</w:t>
            </w: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hAnsi="宋体" w:cs="宋体" w:hint="eastAsia"/>
                <w:b/>
                <w:kern w:val="0"/>
                <w:sz w:val="22"/>
                <w:szCs w:val="22"/>
              </w:rPr>
              <w:t>直径</w:t>
            </w:r>
            <w:r>
              <w:rPr>
                <w:rFonts w:ascii="宋体" w:eastAsia="宋体" w:hAnsi="宋体" w:cs="宋体" w:hint="eastAsia"/>
                <w:b/>
                <w:kern w:val="0"/>
                <w:sz w:val="22"/>
                <w:szCs w:val="22"/>
              </w:rPr>
              <w:t>（</w:t>
            </w:r>
            <w:r>
              <w:rPr>
                <w:rFonts w:ascii="宋体" w:hAnsi="宋体" w:cs="宋体" w:hint="eastAsia"/>
                <w:b/>
                <w:kern w:val="0"/>
                <w:sz w:val="22"/>
                <w:szCs w:val="22"/>
              </w:rPr>
              <w:t>φ1</w:t>
            </w:r>
            <w:r>
              <w:rPr>
                <w:rFonts w:ascii="宋体" w:eastAsia="宋体" w:hAnsi="宋体" w:cs="宋体" w:hint="eastAsia"/>
                <w:b/>
                <w:kern w:val="0"/>
                <w:sz w:val="22"/>
                <w:szCs w:val="22"/>
              </w:rPr>
              <w:t>）</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91</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9</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宽度（W）</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96</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9</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hAnsi="宋体" w:cs="宋体" w:hint="eastAsia"/>
                <w:b/>
                <w:kern w:val="0"/>
                <w:sz w:val="22"/>
                <w:szCs w:val="22"/>
              </w:rPr>
              <w:t>出光面直径</w:t>
            </w:r>
            <w:r>
              <w:rPr>
                <w:rFonts w:ascii="宋体" w:eastAsia="宋体" w:hAnsi="宋体" w:cs="宋体" w:hint="eastAsia"/>
                <w:b/>
                <w:kern w:val="0"/>
                <w:sz w:val="22"/>
                <w:szCs w:val="22"/>
              </w:rPr>
              <w:t>（</w:t>
            </w:r>
            <w:r>
              <w:rPr>
                <w:rFonts w:ascii="宋体" w:hAnsi="宋体" w:cs="宋体" w:hint="eastAsia"/>
                <w:b/>
                <w:kern w:val="0"/>
                <w:sz w:val="22"/>
                <w:szCs w:val="22"/>
              </w:rPr>
              <w:t>φ2</w:t>
            </w:r>
            <w:r>
              <w:rPr>
                <w:rFonts w:ascii="宋体" w:eastAsia="宋体" w:hAnsi="宋体" w:cs="宋体" w:hint="eastAsia"/>
                <w:b/>
                <w:kern w:val="0"/>
                <w:sz w:val="22"/>
                <w:szCs w:val="22"/>
              </w:rPr>
              <w:t>）</w:t>
            </w:r>
          </w:p>
        </w:tc>
        <w:tc>
          <w:tcPr>
            <w:tcW w:w="1206"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65</w:t>
            </w:r>
            <w:r>
              <w:rPr>
                <w:rFonts w:ascii="宋体" w:eastAsia="宋体" w:hAnsi="宋体" w:cs="宋体" w:hint="eastAsia"/>
                <w:kern w:val="0"/>
                <w:sz w:val="22"/>
                <w:szCs w:val="22"/>
              </w:rPr>
              <w:t>mm</w:t>
            </w:r>
          </w:p>
        </w:tc>
        <w:tc>
          <w:tcPr>
            <w:tcW w:w="1124"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b/>
                <w:bCs/>
                <w:kern w:val="0"/>
                <w:sz w:val="22"/>
                <w:szCs w:val="22"/>
              </w:rPr>
              <w:t>允许偏差</w:t>
            </w:r>
          </w:p>
        </w:tc>
        <w:tc>
          <w:tcPr>
            <w:tcW w:w="2243" w:type="dxa"/>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eastAsia="宋体" w:hAnsi="宋体" w:cs="宋体" w:hint="eastAsia"/>
                <w:kern w:val="0"/>
                <w:sz w:val="22"/>
                <w:szCs w:val="22"/>
              </w:rPr>
              <w:t>±</w:t>
            </w:r>
            <w:r>
              <w:rPr>
                <w:rFonts w:ascii="宋体" w:hAnsi="宋体" w:cs="宋体" w:hint="eastAsia"/>
                <w:kern w:val="0"/>
                <w:sz w:val="22"/>
                <w:szCs w:val="22"/>
              </w:rPr>
              <w:t>6</w:t>
            </w:r>
            <w:r>
              <w:rPr>
                <w:rFonts w:ascii="宋体" w:eastAsia="宋体" w:hAnsi="宋体" w:cs="宋体" w:hint="eastAsia"/>
                <w:kern w:val="0"/>
                <w:sz w:val="22"/>
                <w:szCs w:val="22"/>
              </w:rPr>
              <w:t>mm</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val="restart"/>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材质</w:t>
            </w: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灯具外壳</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压铸铝</w:t>
            </w:r>
            <w:r>
              <w:rPr>
                <w:rFonts w:ascii="宋体" w:eastAsia="宋体" w:hAnsi="宋体" w:cs="宋体" w:hint="eastAsia"/>
                <w:kern w:val="0"/>
                <w:sz w:val="22"/>
                <w:szCs w:val="22"/>
              </w:rPr>
              <w:t>灯体</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1165" w:type="dxa"/>
            <w:vMerge/>
            <w:shd w:val="clear" w:color="auto" w:fill="auto"/>
            <w:vAlign w:val="center"/>
          </w:tcPr>
          <w:p w:rsidR="00D57A91" w:rsidRDefault="00D57A91">
            <w:pPr>
              <w:jc w:val="center"/>
              <w:rPr>
                <w:rFonts w:ascii="宋体" w:eastAsia="宋体" w:hAnsi="宋体" w:cs="宋体"/>
                <w:b/>
                <w:kern w:val="0"/>
                <w:sz w:val="22"/>
                <w:szCs w:val="22"/>
              </w:rPr>
            </w:pPr>
          </w:p>
        </w:tc>
        <w:tc>
          <w:tcPr>
            <w:tcW w:w="1994" w:type="dxa"/>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出光面</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4mm以上钢化玻璃</w:t>
            </w:r>
          </w:p>
        </w:tc>
      </w:tr>
      <w:tr w:rsidR="00D57A91">
        <w:trPr>
          <w:trHeight w:val="285"/>
        </w:trPr>
        <w:tc>
          <w:tcPr>
            <w:tcW w:w="1118" w:type="dxa"/>
            <w:vMerge/>
            <w:shd w:val="clear" w:color="auto" w:fill="auto"/>
            <w:vAlign w:val="center"/>
          </w:tcPr>
          <w:p w:rsidR="00D57A91" w:rsidRDefault="00D57A91">
            <w:pPr>
              <w:jc w:val="center"/>
              <w:rPr>
                <w:rFonts w:ascii="宋体" w:eastAsia="宋体" w:hAnsi="宋体" w:cs="宋体"/>
                <w:b/>
                <w:sz w:val="22"/>
                <w:szCs w:val="22"/>
              </w:rPr>
            </w:pPr>
          </w:p>
        </w:tc>
        <w:tc>
          <w:tcPr>
            <w:tcW w:w="3159" w:type="dxa"/>
            <w:gridSpan w:val="2"/>
            <w:shd w:val="clear" w:color="auto" w:fill="auto"/>
            <w:vAlign w:val="center"/>
          </w:tcPr>
          <w:p w:rsidR="00D57A91" w:rsidRDefault="00EF39CB">
            <w:pPr>
              <w:widowControl/>
              <w:jc w:val="center"/>
              <w:textAlignment w:val="center"/>
              <w:rPr>
                <w:rFonts w:ascii="宋体" w:eastAsia="宋体" w:hAnsi="宋体" w:cs="宋体"/>
                <w:b/>
                <w:kern w:val="0"/>
                <w:sz w:val="22"/>
                <w:szCs w:val="22"/>
              </w:rPr>
            </w:pPr>
            <w:r>
              <w:rPr>
                <w:rFonts w:ascii="宋体" w:eastAsia="宋体" w:hAnsi="宋体" w:cs="宋体" w:hint="eastAsia"/>
                <w:b/>
                <w:kern w:val="0"/>
                <w:sz w:val="22"/>
                <w:szCs w:val="22"/>
              </w:rPr>
              <w:t>外壳颜色</w:t>
            </w:r>
          </w:p>
        </w:tc>
        <w:tc>
          <w:tcPr>
            <w:tcW w:w="4573" w:type="dxa"/>
            <w:gridSpan w:val="3"/>
            <w:shd w:val="clear" w:color="auto" w:fill="auto"/>
            <w:vAlign w:val="center"/>
          </w:tcPr>
          <w:p w:rsidR="00D57A91" w:rsidRDefault="00EF39CB">
            <w:pPr>
              <w:widowControl/>
              <w:jc w:val="center"/>
              <w:textAlignment w:val="center"/>
              <w:rPr>
                <w:rFonts w:ascii="宋体" w:hAnsi="宋体" w:cs="宋体"/>
                <w:kern w:val="0"/>
                <w:sz w:val="22"/>
                <w:szCs w:val="22"/>
              </w:rPr>
            </w:pPr>
            <w:r>
              <w:rPr>
                <w:rFonts w:ascii="宋体" w:hAnsi="宋体" w:cs="宋体" w:hint="eastAsia"/>
                <w:kern w:val="0"/>
                <w:sz w:val="22"/>
                <w:szCs w:val="22"/>
              </w:rPr>
              <w:t>与安装位置的周边环境颜色一致</w:t>
            </w:r>
          </w:p>
        </w:tc>
      </w:tr>
      <w:tr w:rsidR="00D57A91">
        <w:trPr>
          <w:trHeight w:val="285"/>
        </w:trPr>
        <w:tc>
          <w:tcPr>
            <w:tcW w:w="11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光学</w:t>
            </w:r>
          </w:p>
        </w:tc>
        <w:tc>
          <w:tcPr>
            <w:tcW w:w="1165"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半峰发散角</w:t>
            </w:r>
          </w:p>
        </w:tc>
        <w:tc>
          <w:tcPr>
            <w:tcW w:w="1994"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kern w:val="0"/>
                <w:sz w:val="22"/>
                <w:szCs w:val="22"/>
              </w:rPr>
              <w:t>0-20°</w:t>
            </w:r>
          </w:p>
        </w:tc>
        <w:tc>
          <w:tcPr>
            <w:tcW w:w="2330" w:type="dxa"/>
            <w:gridSpan w:val="2"/>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配光要求</w:t>
            </w:r>
          </w:p>
        </w:tc>
        <w:tc>
          <w:tcPr>
            <w:tcW w:w="2243" w:type="dxa"/>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对称配光</w:t>
            </w:r>
          </w:p>
        </w:tc>
      </w:tr>
      <w:tr w:rsidR="00D57A91">
        <w:trPr>
          <w:trHeight w:val="90"/>
        </w:trPr>
        <w:tc>
          <w:tcPr>
            <w:tcW w:w="1118" w:type="dxa"/>
            <w:shd w:val="clear" w:color="auto" w:fill="auto"/>
            <w:vAlign w:val="center"/>
          </w:tcPr>
          <w:p w:rsidR="00D57A91" w:rsidRDefault="00EF39CB">
            <w:pPr>
              <w:widowControl/>
              <w:jc w:val="center"/>
              <w:textAlignment w:val="center"/>
              <w:rPr>
                <w:rFonts w:ascii="宋体" w:eastAsia="宋体" w:hAnsi="宋体" w:cs="宋体"/>
                <w:b/>
                <w:sz w:val="22"/>
                <w:szCs w:val="22"/>
              </w:rPr>
            </w:pPr>
            <w:r>
              <w:rPr>
                <w:rFonts w:ascii="宋体" w:eastAsia="宋体" w:hAnsi="宋体" w:cs="宋体" w:hint="eastAsia"/>
                <w:b/>
                <w:kern w:val="0"/>
                <w:sz w:val="22"/>
                <w:szCs w:val="22"/>
              </w:rPr>
              <w:t>光效</w:t>
            </w:r>
          </w:p>
        </w:tc>
        <w:tc>
          <w:tcPr>
            <w:tcW w:w="7732" w:type="dxa"/>
            <w:gridSpan w:val="5"/>
            <w:shd w:val="clear" w:color="auto" w:fill="auto"/>
            <w:vAlign w:val="center"/>
          </w:tcPr>
          <w:p w:rsidR="00D57A91" w:rsidRDefault="00EF39CB">
            <w:pPr>
              <w:widowControl/>
              <w:jc w:val="center"/>
              <w:textAlignment w:val="center"/>
              <w:rPr>
                <w:rFonts w:ascii="宋体" w:eastAsia="宋体" w:hAnsi="宋体" w:cs="宋体"/>
                <w:sz w:val="22"/>
                <w:szCs w:val="22"/>
              </w:rPr>
            </w:pPr>
            <w:r>
              <w:rPr>
                <w:rFonts w:ascii="宋体" w:eastAsia="宋体" w:hAnsi="宋体" w:cs="宋体" w:hint="eastAsia"/>
                <w:kern w:val="0"/>
                <w:sz w:val="22"/>
                <w:szCs w:val="22"/>
              </w:rPr>
              <w:t>灯具光效≥70lm/W</w:t>
            </w:r>
          </w:p>
        </w:tc>
      </w:tr>
    </w:tbl>
    <w:p w:rsidR="001850B9" w:rsidRPr="00DB3C95" w:rsidRDefault="001850B9" w:rsidP="001850B9">
      <w:pPr>
        <w:pStyle w:val="1"/>
        <w:numPr>
          <w:ilvl w:val="0"/>
          <w:numId w:val="1"/>
        </w:numPr>
        <w:spacing w:before="156" w:after="468" w:line="360" w:lineRule="auto"/>
        <w:rPr>
          <w:sz w:val="36"/>
          <w:szCs w:val="36"/>
        </w:rPr>
      </w:pPr>
      <w:r w:rsidRPr="00DB3C95">
        <w:rPr>
          <w:rFonts w:hint="eastAsia"/>
          <w:sz w:val="36"/>
          <w:szCs w:val="36"/>
        </w:rPr>
        <w:t>通则要求</w:t>
      </w:r>
    </w:p>
    <w:p w:rsidR="001850B9" w:rsidRDefault="001850B9" w:rsidP="001850B9">
      <w:pPr>
        <w:pStyle w:val="2"/>
        <w:numPr>
          <w:ilvl w:val="0"/>
          <w:numId w:val="2"/>
        </w:numPr>
        <w:spacing w:line="360" w:lineRule="auto"/>
      </w:pPr>
      <w:bookmarkStart w:id="9" w:name="_Toc25860"/>
      <w:r>
        <w:rPr>
          <w:rFonts w:hint="eastAsia"/>
        </w:rPr>
        <w:t>灯具应符合的技术标准</w:t>
      </w:r>
      <w:bookmarkEnd w:id="9"/>
    </w:p>
    <w:p w:rsidR="001850B9" w:rsidRDefault="001850B9" w:rsidP="001850B9">
      <w:pPr>
        <w:spacing w:line="360" w:lineRule="auto"/>
        <w:ind w:firstLineChars="200" w:firstLine="420"/>
      </w:pPr>
      <w:r>
        <w:rPr>
          <w:rFonts w:hint="eastAsia"/>
        </w:rPr>
        <w:t>凡是不注日期的引用文件，其最新版本（包括所有的修改单）适用于本文件。同时包括其他国家及江苏省现行标准规范、图集等；以及相关的灯具的现行的国家规范和标准。</w:t>
      </w:r>
    </w:p>
    <w:p w:rsidR="001850B9" w:rsidRDefault="001850B9" w:rsidP="001850B9">
      <w:pPr>
        <w:numPr>
          <w:ilvl w:val="0"/>
          <w:numId w:val="3"/>
        </w:numPr>
        <w:spacing w:line="360" w:lineRule="auto"/>
        <w:ind w:firstLine="403"/>
      </w:pPr>
      <w:r>
        <w:rPr>
          <w:rFonts w:hint="eastAsia"/>
        </w:rPr>
        <w:t>GB7000.1</w:t>
      </w:r>
      <w:r>
        <w:rPr>
          <w:rFonts w:hint="eastAsia"/>
        </w:rPr>
        <w:t>灯具</w:t>
      </w:r>
      <w:r>
        <w:rPr>
          <w:rFonts w:hint="eastAsia"/>
        </w:rPr>
        <w:t xml:space="preserve"> </w:t>
      </w:r>
      <w:r>
        <w:rPr>
          <w:rFonts w:hint="eastAsia"/>
        </w:rPr>
        <w:t>第</w:t>
      </w:r>
      <w:r>
        <w:rPr>
          <w:rFonts w:hint="eastAsia"/>
        </w:rPr>
        <w:t>1</w:t>
      </w:r>
      <w:r>
        <w:rPr>
          <w:rFonts w:hint="eastAsia"/>
        </w:rPr>
        <w:t>部分：一般要求与试验</w:t>
      </w:r>
    </w:p>
    <w:p w:rsidR="001850B9" w:rsidRDefault="001850B9" w:rsidP="001850B9">
      <w:pPr>
        <w:numPr>
          <w:ilvl w:val="0"/>
          <w:numId w:val="3"/>
        </w:numPr>
        <w:spacing w:line="360" w:lineRule="auto"/>
        <w:ind w:firstLine="403"/>
      </w:pPr>
      <w:r>
        <w:rPr>
          <w:rFonts w:hint="eastAsia"/>
        </w:rPr>
        <w:t>GB7000.203</w:t>
      </w:r>
      <w:r>
        <w:rPr>
          <w:rFonts w:hint="eastAsia"/>
        </w:rPr>
        <w:t>灯具</w:t>
      </w:r>
      <w:r>
        <w:rPr>
          <w:rFonts w:hint="eastAsia"/>
        </w:rPr>
        <w:t xml:space="preserve"> </w:t>
      </w:r>
      <w:r>
        <w:rPr>
          <w:rFonts w:hint="eastAsia"/>
        </w:rPr>
        <w:t>第</w:t>
      </w:r>
      <w:r>
        <w:rPr>
          <w:rFonts w:hint="eastAsia"/>
        </w:rPr>
        <w:t>2-3</w:t>
      </w:r>
      <w:r>
        <w:rPr>
          <w:rFonts w:hint="eastAsia"/>
        </w:rPr>
        <w:t>部分：特殊要求</w:t>
      </w:r>
      <w:r>
        <w:rPr>
          <w:rFonts w:hint="eastAsia"/>
        </w:rPr>
        <w:t xml:space="preserve"> </w:t>
      </w:r>
      <w:r>
        <w:rPr>
          <w:rFonts w:hint="eastAsia"/>
        </w:rPr>
        <w:t>道路与街路照明灯具</w:t>
      </w:r>
    </w:p>
    <w:p w:rsidR="001850B9" w:rsidRDefault="001850B9" w:rsidP="001850B9">
      <w:pPr>
        <w:numPr>
          <w:ilvl w:val="0"/>
          <w:numId w:val="3"/>
        </w:numPr>
        <w:spacing w:line="360" w:lineRule="auto"/>
        <w:ind w:firstLine="403"/>
      </w:pPr>
      <w:r>
        <w:rPr>
          <w:rFonts w:hint="eastAsia"/>
        </w:rPr>
        <w:t>GB7000.7</w:t>
      </w:r>
      <w:r>
        <w:rPr>
          <w:rFonts w:hint="eastAsia"/>
        </w:rPr>
        <w:t>投光灯具安全要求</w:t>
      </w:r>
    </w:p>
    <w:p w:rsidR="001850B9" w:rsidRDefault="001850B9" w:rsidP="001850B9">
      <w:pPr>
        <w:numPr>
          <w:ilvl w:val="0"/>
          <w:numId w:val="3"/>
        </w:numPr>
        <w:spacing w:line="360" w:lineRule="auto"/>
        <w:ind w:firstLine="403"/>
      </w:pPr>
      <w:r>
        <w:rPr>
          <w:rFonts w:hint="eastAsia"/>
        </w:rPr>
        <w:t>GB7000.10</w:t>
      </w:r>
      <w:r>
        <w:rPr>
          <w:rFonts w:hint="eastAsia"/>
        </w:rPr>
        <w:t>固定式通用灯具安全要求</w:t>
      </w:r>
    </w:p>
    <w:p w:rsidR="001850B9" w:rsidRDefault="001850B9" w:rsidP="001850B9">
      <w:pPr>
        <w:numPr>
          <w:ilvl w:val="0"/>
          <w:numId w:val="3"/>
        </w:numPr>
        <w:spacing w:line="360" w:lineRule="auto"/>
        <w:ind w:firstLine="403"/>
      </w:pPr>
      <w:r>
        <w:rPr>
          <w:rFonts w:hint="eastAsia"/>
        </w:rPr>
        <w:t>GB 4208</w:t>
      </w:r>
      <w:r>
        <w:rPr>
          <w:rFonts w:hint="eastAsia"/>
        </w:rPr>
        <w:t>外壳防护等级（</w:t>
      </w:r>
      <w:r>
        <w:rPr>
          <w:rFonts w:hint="eastAsia"/>
        </w:rPr>
        <w:t>IP</w:t>
      </w:r>
      <w:r>
        <w:rPr>
          <w:rFonts w:hint="eastAsia"/>
        </w:rPr>
        <w:t>代码）</w:t>
      </w:r>
    </w:p>
    <w:p w:rsidR="001850B9" w:rsidRDefault="001850B9" w:rsidP="001850B9">
      <w:pPr>
        <w:numPr>
          <w:ilvl w:val="0"/>
          <w:numId w:val="3"/>
        </w:numPr>
        <w:spacing w:line="360" w:lineRule="auto"/>
        <w:ind w:firstLine="403"/>
      </w:pPr>
      <w:r>
        <w:rPr>
          <w:rFonts w:hint="eastAsia"/>
        </w:rPr>
        <w:t>GB17743</w:t>
      </w:r>
      <w:r>
        <w:rPr>
          <w:rFonts w:hint="eastAsia"/>
        </w:rPr>
        <w:t>电气照明和类似设备的无线电骚扰特性的限值和测量方法</w:t>
      </w:r>
    </w:p>
    <w:p w:rsidR="001850B9" w:rsidRDefault="001850B9" w:rsidP="001850B9">
      <w:pPr>
        <w:numPr>
          <w:ilvl w:val="0"/>
          <w:numId w:val="3"/>
        </w:numPr>
        <w:spacing w:line="360" w:lineRule="auto"/>
        <w:ind w:firstLine="403"/>
      </w:pPr>
      <w:r>
        <w:rPr>
          <w:rFonts w:hint="eastAsia"/>
        </w:rPr>
        <w:t>GB17625.1</w:t>
      </w:r>
      <w:r>
        <w:rPr>
          <w:rFonts w:hint="eastAsia"/>
        </w:rPr>
        <w:t>电磁兼限值谐波电流发射限值容</w:t>
      </w:r>
    </w:p>
    <w:p w:rsidR="001850B9" w:rsidRDefault="001850B9" w:rsidP="001850B9">
      <w:pPr>
        <w:numPr>
          <w:ilvl w:val="0"/>
          <w:numId w:val="3"/>
        </w:numPr>
        <w:spacing w:line="360" w:lineRule="auto"/>
        <w:ind w:firstLine="403"/>
      </w:pPr>
      <w:r>
        <w:rPr>
          <w:rFonts w:hint="eastAsia"/>
        </w:rPr>
        <w:t>GB/T18595</w:t>
      </w:r>
      <w:r>
        <w:rPr>
          <w:rFonts w:hint="eastAsia"/>
        </w:rPr>
        <w:t>一般照明用设备电磁兼容抗扰度要求</w:t>
      </w:r>
    </w:p>
    <w:p w:rsidR="001850B9" w:rsidRDefault="001850B9" w:rsidP="001850B9">
      <w:pPr>
        <w:numPr>
          <w:ilvl w:val="0"/>
          <w:numId w:val="3"/>
        </w:numPr>
        <w:spacing w:line="360" w:lineRule="auto"/>
        <w:ind w:firstLine="403"/>
      </w:pPr>
      <w:r>
        <w:rPr>
          <w:rFonts w:hint="eastAsia"/>
        </w:rPr>
        <w:t>GB l7625.1</w:t>
      </w:r>
      <w:r>
        <w:rPr>
          <w:rFonts w:hint="eastAsia"/>
        </w:rPr>
        <w:t>电磁兼容限值谐波电流发射限值</w:t>
      </w:r>
      <w:r>
        <w:rPr>
          <w:rFonts w:hint="eastAsia"/>
        </w:rPr>
        <w:t>(</w:t>
      </w:r>
      <w:r>
        <w:rPr>
          <w:rFonts w:hint="eastAsia"/>
        </w:rPr>
        <w:t>设备每相输入电流≤</w:t>
      </w:r>
      <w:r>
        <w:rPr>
          <w:rFonts w:hint="eastAsia"/>
        </w:rPr>
        <w:t>16A)</w:t>
      </w:r>
    </w:p>
    <w:p w:rsidR="001850B9" w:rsidRDefault="001850B9" w:rsidP="001850B9">
      <w:pPr>
        <w:numPr>
          <w:ilvl w:val="0"/>
          <w:numId w:val="3"/>
        </w:numPr>
        <w:spacing w:line="360" w:lineRule="auto"/>
        <w:ind w:firstLine="403"/>
      </w:pPr>
      <w:r>
        <w:rPr>
          <w:rFonts w:hint="eastAsia"/>
        </w:rPr>
        <w:t>QB/T1551</w:t>
      </w:r>
      <w:r>
        <w:rPr>
          <w:rFonts w:hint="eastAsia"/>
        </w:rPr>
        <w:t>灯具油漆涂层</w:t>
      </w:r>
    </w:p>
    <w:p w:rsidR="001850B9" w:rsidRDefault="001850B9" w:rsidP="001850B9">
      <w:pPr>
        <w:numPr>
          <w:ilvl w:val="0"/>
          <w:numId w:val="3"/>
        </w:numPr>
        <w:spacing w:line="360" w:lineRule="auto"/>
        <w:ind w:firstLine="403"/>
      </w:pPr>
      <w:r>
        <w:rPr>
          <w:rFonts w:hint="eastAsia"/>
        </w:rPr>
        <w:t>QB/T3741</w:t>
      </w:r>
      <w:r>
        <w:rPr>
          <w:rFonts w:hint="eastAsia"/>
        </w:rPr>
        <w:t>灯具电镀、化学覆盖层</w:t>
      </w:r>
    </w:p>
    <w:p w:rsidR="001850B9" w:rsidRDefault="001850B9" w:rsidP="001850B9">
      <w:pPr>
        <w:numPr>
          <w:ilvl w:val="0"/>
          <w:numId w:val="3"/>
        </w:numPr>
        <w:spacing w:line="360" w:lineRule="auto"/>
        <w:ind w:firstLine="403"/>
      </w:pPr>
      <w:r>
        <w:rPr>
          <w:rFonts w:hint="eastAsia"/>
        </w:rPr>
        <w:t>GB/T33721 LED</w:t>
      </w:r>
      <w:r>
        <w:rPr>
          <w:rFonts w:hint="eastAsia"/>
        </w:rPr>
        <w:t>灯具可靠性试验方法</w:t>
      </w:r>
    </w:p>
    <w:p w:rsidR="001850B9" w:rsidRDefault="001850B9" w:rsidP="001850B9">
      <w:pPr>
        <w:numPr>
          <w:ilvl w:val="0"/>
          <w:numId w:val="3"/>
        </w:numPr>
        <w:spacing w:line="360" w:lineRule="auto"/>
        <w:ind w:firstLine="403"/>
      </w:pPr>
      <w:r>
        <w:rPr>
          <w:rFonts w:hint="eastAsia"/>
        </w:rPr>
        <w:lastRenderedPageBreak/>
        <w:t xml:space="preserve">CJJ45 </w:t>
      </w:r>
      <w:r>
        <w:rPr>
          <w:rFonts w:hint="eastAsia"/>
        </w:rPr>
        <w:t>城市道路照明设计标准</w:t>
      </w:r>
    </w:p>
    <w:p w:rsidR="001850B9" w:rsidRDefault="001850B9" w:rsidP="001850B9">
      <w:pPr>
        <w:numPr>
          <w:ilvl w:val="0"/>
          <w:numId w:val="3"/>
        </w:numPr>
        <w:spacing w:line="360" w:lineRule="auto"/>
        <w:ind w:firstLine="403"/>
      </w:pPr>
      <w:r>
        <w:rPr>
          <w:rFonts w:hint="eastAsia"/>
        </w:rPr>
        <w:t xml:space="preserve">JGJ/T 163 </w:t>
      </w:r>
      <w:r>
        <w:rPr>
          <w:rFonts w:hint="eastAsia"/>
        </w:rPr>
        <w:t>城市夜景照明设计规范</w:t>
      </w:r>
    </w:p>
    <w:p w:rsidR="001850B9" w:rsidRDefault="001850B9" w:rsidP="001850B9">
      <w:pPr>
        <w:pStyle w:val="2"/>
        <w:numPr>
          <w:ilvl w:val="0"/>
          <w:numId w:val="2"/>
        </w:numPr>
        <w:spacing w:line="360" w:lineRule="auto"/>
      </w:pPr>
      <w:bookmarkStart w:id="10" w:name="_Toc1793"/>
      <w:r>
        <w:rPr>
          <w:rFonts w:hint="eastAsia"/>
        </w:rPr>
        <w:t>灯具通则要求</w:t>
      </w:r>
      <w:bookmarkEnd w:id="10"/>
    </w:p>
    <w:p w:rsidR="001850B9" w:rsidRDefault="001850B9" w:rsidP="001850B9">
      <w:pPr>
        <w:pStyle w:val="3"/>
        <w:numPr>
          <w:ilvl w:val="0"/>
          <w:numId w:val="4"/>
        </w:numPr>
        <w:spacing w:line="360" w:lineRule="auto"/>
        <w:ind w:leftChars="0" w:firstLineChars="0" w:hanging="5"/>
      </w:pPr>
      <w:bookmarkStart w:id="11" w:name="_Toc2014"/>
      <w:r>
        <w:rPr>
          <w:rFonts w:hint="eastAsia"/>
        </w:rPr>
        <w:t>一般要求</w:t>
      </w:r>
      <w:bookmarkEnd w:id="11"/>
    </w:p>
    <w:p w:rsidR="001850B9" w:rsidRDefault="001850B9" w:rsidP="001850B9">
      <w:pPr>
        <w:numPr>
          <w:ilvl w:val="0"/>
          <w:numId w:val="5"/>
        </w:numPr>
        <w:spacing w:line="360" w:lineRule="auto"/>
        <w:ind w:firstLineChars="200" w:firstLine="420"/>
      </w:pPr>
      <w:r>
        <w:rPr>
          <w:rFonts w:hint="eastAsia"/>
        </w:rPr>
        <w:t>技术文件详参有规定的，按详参规定执行，没有详参规定的，按照本通则执行。</w:t>
      </w:r>
    </w:p>
    <w:p w:rsidR="001850B9" w:rsidRDefault="001850B9" w:rsidP="001850B9">
      <w:pPr>
        <w:numPr>
          <w:ilvl w:val="0"/>
          <w:numId w:val="5"/>
        </w:numPr>
        <w:spacing w:line="360" w:lineRule="auto"/>
        <w:ind w:firstLineChars="200" w:firstLine="420"/>
      </w:pPr>
      <w:r>
        <w:rPr>
          <w:rFonts w:hint="eastAsia"/>
        </w:rPr>
        <w:t>本次招标所涉及的所有灯具外观，仅供参考。投标单位应保证，其所提供的货物在提供给采购单位前具有完全的所有权，或取得专利权人的授权。采购单位在中华人民共和国使用该货物或货物的任何一部分时，免受第三方提出的包括但不限于侵犯其专利权、商标权、工业设计权或专有技术权等知识产权的起诉，免受可能存在的抵押权、担保权在内的物权权利瑕疵的起诉。</w:t>
      </w:r>
    </w:p>
    <w:p w:rsidR="001850B9" w:rsidRDefault="001850B9" w:rsidP="001850B9">
      <w:pPr>
        <w:numPr>
          <w:ilvl w:val="0"/>
          <w:numId w:val="5"/>
        </w:numPr>
        <w:spacing w:line="360" w:lineRule="auto"/>
        <w:ind w:firstLineChars="200" w:firstLine="420"/>
      </w:pPr>
      <w:r>
        <w:rPr>
          <w:rFonts w:hint="eastAsia"/>
        </w:rPr>
        <w:t>本次投标报价包含本技术文件所要求的所有配件及附件。包括：灯具、光源、电器、引出线、防盗框、防眩光附件、线性投光灯的桥架及桥架安装支架、灯具安装支架、螺杆、螺栓、垫片等。室外的螺杆、螺栓、垫片必须使用</w:t>
      </w:r>
      <w:r>
        <w:rPr>
          <w:rFonts w:hint="eastAsia"/>
        </w:rPr>
        <w:t>304</w:t>
      </w:r>
      <w:r>
        <w:rPr>
          <w:rFonts w:hint="eastAsia"/>
        </w:rPr>
        <w:t>不锈钢材质。</w:t>
      </w:r>
    </w:p>
    <w:p w:rsidR="001850B9" w:rsidRDefault="001850B9" w:rsidP="001850B9">
      <w:pPr>
        <w:numPr>
          <w:ilvl w:val="0"/>
          <w:numId w:val="5"/>
        </w:numPr>
        <w:spacing w:line="360" w:lineRule="auto"/>
        <w:ind w:firstLineChars="131" w:firstLine="421"/>
      </w:pPr>
      <w:r>
        <w:rPr>
          <w:rFonts w:hint="eastAsia"/>
          <w:b/>
          <w:bCs/>
          <w:sz w:val="32"/>
          <w:szCs w:val="32"/>
        </w:rPr>
        <w:t>所有投光灯类灯具必须配置防眩光遮罩，避免眩光和光污染。</w:t>
      </w:r>
      <w:r>
        <w:rPr>
          <w:rFonts w:hint="eastAsia"/>
        </w:rPr>
        <w:t>中标单位必须按照采购单位的要求和项目具体的实施情况及时调整。</w:t>
      </w:r>
    </w:p>
    <w:p w:rsidR="001850B9" w:rsidRDefault="001850B9" w:rsidP="001850B9">
      <w:pPr>
        <w:numPr>
          <w:ilvl w:val="0"/>
          <w:numId w:val="5"/>
        </w:numPr>
        <w:spacing w:line="360" w:lineRule="auto"/>
        <w:ind w:firstLineChars="139" w:firstLine="419"/>
        <w:rPr>
          <w:b/>
          <w:bCs/>
          <w:sz w:val="30"/>
          <w:szCs w:val="30"/>
          <w:u w:val="single"/>
        </w:rPr>
      </w:pPr>
      <w:r>
        <w:rPr>
          <w:rFonts w:hint="eastAsia"/>
          <w:b/>
          <w:bCs/>
          <w:sz w:val="30"/>
          <w:szCs w:val="30"/>
          <w:u w:val="single"/>
        </w:rPr>
        <w:t>所有投光灯类灯具必须按照采购方要求，可加装模式玻璃、扁光玻璃、布纹玻璃等。价格含在投标报价中。</w:t>
      </w:r>
    </w:p>
    <w:p w:rsidR="001850B9" w:rsidRDefault="001850B9" w:rsidP="001850B9">
      <w:pPr>
        <w:numPr>
          <w:ilvl w:val="0"/>
          <w:numId w:val="5"/>
        </w:numPr>
        <w:spacing w:line="360" w:lineRule="auto"/>
        <w:ind w:firstLineChars="139" w:firstLine="419"/>
        <w:rPr>
          <w:sz w:val="30"/>
          <w:szCs w:val="30"/>
        </w:rPr>
      </w:pPr>
      <w:r>
        <w:rPr>
          <w:rFonts w:hint="eastAsia"/>
          <w:b/>
          <w:bCs/>
          <w:sz w:val="30"/>
          <w:szCs w:val="30"/>
          <w:u w:val="single"/>
        </w:rPr>
        <w:t>所有连续照明的被照面安装的投光灯，照明效果需连续均匀，无暗斑。</w:t>
      </w:r>
    </w:p>
    <w:p w:rsidR="001850B9" w:rsidRDefault="001850B9" w:rsidP="001850B9">
      <w:pPr>
        <w:numPr>
          <w:ilvl w:val="0"/>
          <w:numId w:val="5"/>
        </w:numPr>
        <w:spacing w:line="360" w:lineRule="auto"/>
        <w:ind w:firstLineChars="200" w:firstLine="420"/>
      </w:pPr>
      <w:r>
        <w:rPr>
          <w:rFonts w:hint="eastAsia"/>
        </w:rPr>
        <w:t>中标后，中标单位踏勘现场，根据灯具安装条件，深化灯具颜色安装支架灯零配件的设计，按照采购单位的要求和项目具体的实施情况及时调整。所有灯具按规定提供灯具实样一款，经采购单位目视检验最终确认后，才能按照灯具订单批量提供灯具，并提供灯具安装说明书。</w:t>
      </w:r>
    </w:p>
    <w:p w:rsidR="001850B9" w:rsidRDefault="001850B9" w:rsidP="001850B9">
      <w:pPr>
        <w:numPr>
          <w:ilvl w:val="0"/>
          <w:numId w:val="5"/>
        </w:numPr>
        <w:spacing w:line="360" w:lineRule="auto"/>
        <w:ind w:firstLineChars="200" w:firstLine="420"/>
      </w:pPr>
      <w:r>
        <w:rPr>
          <w:rFonts w:hint="eastAsia"/>
        </w:rPr>
        <w:t>中标后灯具供应阶段，投标人确定的灯具抽样送国家权威机构检测。</w:t>
      </w:r>
    </w:p>
    <w:p w:rsidR="001850B9" w:rsidRDefault="001850B9" w:rsidP="001850B9">
      <w:pPr>
        <w:pStyle w:val="3"/>
        <w:numPr>
          <w:ilvl w:val="0"/>
          <w:numId w:val="4"/>
        </w:numPr>
        <w:spacing w:line="360" w:lineRule="auto"/>
        <w:ind w:leftChars="0" w:firstLineChars="0" w:hanging="5"/>
      </w:pPr>
      <w:bookmarkStart w:id="12" w:name="_Toc15096"/>
      <w:r>
        <w:rPr>
          <w:rFonts w:hint="eastAsia"/>
        </w:rPr>
        <w:lastRenderedPageBreak/>
        <w:t>LED</w:t>
      </w:r>
      <w:r>
        <w:rPr>
          <w:rFonts w:hint="eastAsia"/>
        </w:rPr>
        <w:t>光源要求</w:t>
      </w:r>
      <w:bookmarkEnd w:id="12"/>
    </w:p>
    <w:p w:rsidR="001850B9" w:rsidRDefault="001850B9" w:rsidP="001850B9">
      <w:pPr>
        <w:numPr>
          <w:ilvl w:val="0"/>
          <w:numId w:val="6"/>
        </w:numPr>
        <w:spacing w:line="360" w:lineRule="auto"/>
        <w:ind w:firstLineChars="200" w:firstLine="422"/>
        <w:rPr>
          <w:rFonts w:ascii="宋体" w:eastAsia="宋体" w:hAnsi="宋体" w:cs="宋体"/>
          <w:b/>
          <w:bCs/>
        </w:rPr>
      </w:pPr>
      <w:r>
        <w:rPr>
          <w:rFonts w:hint="eastAsia"/>
          <w:b/>
          <w:bCs/>
        </w:rPr>
        <w:t>该类灯具的主要原材料光源封装颗粒品牌应限定在科锐（</w:t>
      </w:r>
      <w:r>
        <w:rPr>
          <w:rFonts w:hint="eastAsia"/>
          <w:b/>
          <w:bCs/>
        </w:rPr>
        <w:t>CREE</w:t>
      </w:r>
      <w:r>
        <w:rPr>
          <w:rFonts w:hint="eastAsia"/>
          <w:b/>
          <w:bCs/>
        </w:rPr>
        <w:t>）、飞利浦</w:t>
      </w:r>
      <w:r>
        <w:rPr>
          <w:rFonts w:ascii="仿宋" w:eastAsia="仿宋" w:hAnsi="仿宋" w:cs="仿宋" w:hint="eastAsia"/>
          <w:b/>
          <w:bCs/>
          <w:kern w:val="0"/>
          <w:sz w:val="20"/>
          <w:szCs w:val="20"/>
        </w:rPr>
        <w:t>LUMILEDS</w:t>
      </w:r>
      <w:r>
        <w:rPr>
          <w:rFonts w:hint="eastAsia"/>
          <w:b/>
          <w:bCs/>
        </w:rPr>
        <w:t>）、欧司朗（</w:t>
      </w:r>
      <w:r>
        <w:rPr>
          <w:rFonts w:hint="eastAsia"/>
          <w:b/>
          <w:bCs/>
        </w:rPr>
        <w:t>OSRAM</w:t>
      </w:r>
      <w:r>
        <w:rPr>
          <w:rFonts w:hint="eastAsia"/>
          <w:b/>
          <w:bCs/>
        </w:rPr>
        <w:t>）、日亚（</w:t>
      </w:r>
      <w:r>
        <w:rPr>
          <w:rFonts w:hint="eastAsia"/>
          <w:b/>
          <w:bCs/>
        </w:rPr>
        <w:t>NICHIA</w:t>
      </w:r>
      <w:r>
        <w:rPr>
          <w:rFonts w:hint="eastAsia"/>
          <w:b/>
          <w:bCs/>
        </w:rPr>
        <w:t>）范围内。</w:t>
      </w:r>
    </w:p>
    <w:p w:rsidR="001850B9" w:rsidRDefault="001850B9" w:rsidP="001850B9">
      <w:pPr>
        <w:numPr>
          <w:ilvl w:val="0"/>
          <w:numId w:val="6"/>
        </w:numPr>
        <w:spacing w:line="360" w:lineRule="auto"/>
        <w:ind w:firstLineChars="200" w:firstLine="420"/>
      </w:pPr>
      <w:r>
        <w:rPr>
          <w:rFonts w:hint="eastAsia"/>
        </w:rPr>
        <w:t>LED</w:t>
      </w:r>
      <w:r>
        <w:rPr>
          <w:rFonts w:hint="eastAsia"/>
        </w:rPr>
        <w:t>单色芯片的色差必须符合下表的要求。</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369"/>
        <w:gridCol w:w="3872"/>
      </w:tblGrid>
      <w:tr w:rsidR="001850B9" w:rsidTr="009E1EFC">
        <w:trPr>
          <w:tblHeader/>
          <w:jc w:val="center"/>
        </w:trPr>
        <w:tc>
          <w:tcPr>
            <w:tcW w:w="1001" w:type="dxa"/>
            <w:shd w:val="clear" w:color="auto" w:fill="D8D8D8" w:themeFill="background1" w:themeFillShade="D8"/>
            <w:vAlign w:val="center"/>
          </w:tcPr>
          <w:p w:rsidR="001850B9" w:rsidRDefault="001850B9" w:rsidP="009E1EFC">
            <w:pPr>
              <w:spacing w:line="360" w:lineRule="auto"/>
            </w:pPr>
            <w:r>
              <w:rPr>
                <w:rFonts w:hint="eastAsia"/>
              </w:rPr>
              <w:t>序号</w:t>
            </w:r>
          </w:p>
        </w:tc>
        <w:tc>
          <w:tcPr>
            <w:tcW w:w="4369" w:type="dxa"/>
            <w:shd w:val="clear" w:color="auto" w:fill="D8D8D8" w:themeFill="background1" w:themeFillShade="D8"/>
            <w:vAlign w:val="center"/>
          </w:tcPr>
          <w:p w:rsidR="001850B9" w:rsidRDefault="001850B9" w:rsidP="009E1EFC">
            <w:pPr>
              <w:spacing w:line="360" w:lineRule="auto"/>
            </w:pPr>
            <w:r>
              <w:rPr>
                <w:rFonts w:hint="eastAsia"/>
              </w:rPr>
              <w:t>色温</w:t>
            </w:r>
            <w:r>
              <w:rPr>
                <w:rFonts w:hint="eastAsia"/>
              </w:rPr>
              <w:t>/</w:t>
            </w:r>
            <w:r>
              <w:rPr>
                <w:rFonts w:hint="eastAsia"/>
              </w:rPr>
              <w:t>色彩</w:t>
            </w:r>
          </w:p>
        </w:tc>
        <w:tc>
          <w:tcPr>
            <w:tcW w:w="3872" w:type="dxa"/>
            <w:shd w:val="clear" w:color="auto" w:fill="D8D8D8" w:themeFill="background1" w:themeFillShade="D8"/>
          </w:tcPr>
          <w:p w:rsidR="001850B9" w:rsidRDefault="001850B9" w:rsidP="009E1EFC">
            <w:pPr>
              <w:spacing w:line="360" w:lineRule="auto"/>
            </w:pPr>
            <w:r>
              <w:rPr>
                <w:rFonts w:hint="eastAsia"/>
              </w:rPr>
              <w:t>偏差</w:t>
            </w:r>
          </w:p>
        </w:tc>
      </w:tr>
      <w:tr w:rsidR="001850B9" w:rsidTr="009E1EFC">
        <w:trPr>
          <w:jc w:val="center"/>
        </w:trPr>
        <w:tc>
          <w:tcPr>
            <w:tcW w:w="1001" w:type="dxa"/>
            <w:vAlign w:val="center"/>
          </w:tcPr>
          <w:p w:rsidR="001850B9" w:rsidRDefault="001850B9" w:rsidP="009E1EFC">
            <w:pPr>
              <w:spacing w:line="360" w:lineRule="auto"/>
            </w:pPr>
            <w:r>
              <w:rPr>
                <w:rFonts w:hint="eastAsia"/>
              </w:rPr>
              <w:t>1</w:t>
            </w:r>
          </w:p>
        </w:tc>
        <w:tc>
          <w:tcPr>
            <w:tcW w:w="4369" w:type="dxa"/>
            <w:vAlign w:val="center"/>
          </w:tcPr>
          <w:p w:rsidR="001850B9" w:rsidRDefault="001850B9" w:rsidP="009E1EFC">
            <w:pPr>
              <w:spacing w:line="360" w:lineRule="auto"/>
            </w:pPr>
            <w:r>
              <w:rPr>
                <w:rFonts w:hint="eastAsia"/>
              </w:rPr>
              <w:t>2200K-3000K</w:t>
            </w:r>
          </w:p>
        </w:tc>
        <w:tc>
          <w:tcPr>
            <w:tcW w:w="3872" w:type="dxa"/>
            <w:vAlign w:val="center"/>
          </w:tcPr>
          <w:p w:rsidR="001850B9" w:rsidRDefault="001850B9" w:rsidP="009E1EFC">
            <w:pPr>
              <w:spacing w:line="360" w:lineRule="auto"/>
            </w:pPr>
            <w:r>
              <w:rPr>
                <w:rFonts w:hint="eastAsia"/>
              </w:rPr>
              <w:t>±</w:t>
            </w:r>
            <w:r>
              <w:rPr>
                <w:rFonts w:hint="eastAsia"/>
              </w:rPr>
              <w:t>100K</w:t>
            </w:r>
          </w:p>
        </w:tc>
      </w:tr>
      <w:tr w:rsidR="001850B9" w:rsidTr="009E1EFC">
        <w:trPr>
          <w:jc w:val="center"/>
        </w:trPr>
        <w:tc>
          <w:tcPr>
            <w:tcW w:w="1001" w:type="dxa"/>
            <w:vAlign w:val="center"/>
          </w:tcPr>
          <w:p w:rsidR="001850B9" w:rsidRDefault="001850B9" w:rsidP="009E1EFC">
            <w:pPr>
              <w:spacing w:line="360" w:lineRule="auto"/>
            </w:pPr>
            <w:r>
              <w:rPr>
                <w:rFonts w:hint="eastAsia"/>
              </w:rPr>
              <w:t>2</w:t>
            </w:r>
          </w:p>
        </w:tc>
        <w:tc>
          <w:tcPr>
            <w:tcW w:w="4369" w:type="dxa"/>
            <w:vAlign w:val="center"/>
          </w:tcPr>
          <w:p w:rsidR="001850B9" w:rsidRDefault="001850B9" w:rsidP="009E1EFC">
            <w:pPr>
              <w:spacing w:line="360" w:lineRule="auto"/>
            </w:pPr>
            <w:r>
              <w:rPr>
                <w:rFonts w:hint="eastAsia"/>
              </w:rPr>
              <w:t>3001K-5000K</w:t>
            </w:r>
          </w:p>
        </w:tc>
        <w:tc>
          <w:tcPr>
            <w:tcW w:w="3872" w:type="dxa"/>
            <w:vAlign w:val="center"/>
          </w:tcPr>
          <w:p w:rsidR="001850B9" w:rsidRDefault="001850B9" w:rsidP="009E1EFC">
            <w:pPr>
              <w:spacing w:line="360" w:lineRule="auto"/>
            </w:pPr>
            <w:r>
              <w:rPr>
                <w:rFonts w:hint="eastAsia"/>
              </w:rPr>
              <w:t>±</w:t>
            </w:r>
            <w:r>
              <w:rPr>
                <w:rFonts w:hint="eastAsia"/>
              </w:rPr>
              <w:t>150K</w:t>
            </w:r>
          </w:p>
        </w:tc>
      </w:tr>
      <w:tr w:rsidR="001850B9" w:rsidTr="009E1EFC">
        <w:trPr>
          <w:jc w:val="center"/>
        </w:trPr>
        <w:tc>
          <w:tcPr>
            <w:tcW w:w="1001" w:type="dxa"/>
            <w:vAlign w:val="center"/>
          </w:tcPr>
          <w:p w:rsidR="001850B9" w:rsidRDefault="001850B9" w:rsidP="009E1EFC">
            <w:pPr>
              <w:spacing w:line="360" w:lineRule="auto"/>
            </w:pPr>
            <w:r>
              <w:rPr>
                <w:rFonts w:hint="eastAsia"/>
              </w:rPr>
              <w:t>3</w:t>
            </w:r>
          </w:p>
        </w:tc>
        <w:tc>
          <w:tcPr>
            <w:tcW w:w="4369" w:type="dxa"/>
            <w:vAlign w:val="center"/>
          </w:tcPr>
          <w:p w:rsidR="001850B9" w:rsidRDefault="001850B9" w:rsidP="009E1EFC">
            <w:pPr>
              <w:spacing w:line="360" w:lineRule="auto"/>
            </w:pPr>
            <w:r>
              <w:rPr>
                <w:rFonts w:hint="eastAsia"/>
              </w:rPr>
              <w:t>5001K-6800K</w:t>
            </w:r>
          </w:p>
        </w:tc>
        <w:tc>
          <w:tcPr>
            <w:tcW w:w="3872" w:type="dxa"/>
            <w:vAlign w:val="center"/>
          </w:tcPr>
          <w:p w:rsidR="001850B9" w:rsidRDefault="001850B9" w:rsidP="009E1EFC">
            <w:pPr>
              <w:spacing w:line="360" w:lineRule="auto"/>
            </w:pPr>
            <w:r>
              <w:rPr>
                <w:rFonts w:hint="eastAsia"/>
              </w:rPr>
              <w:t>±</w:t>
            </w:r>
            <w:r>
              <w:rPr>
                <w:rFonts w:hint="eastAsia"/>
              </w:rPr>
              <w:t>200K</w:t>
            </w:r>
          </w:p>
        </w:tc>
      </w:tr>
      <w:tr w:rsidR="001850B9" w:rsidTr="009E1EFC">
        <w:trPr>
          <w:jc w:val="center"/>
        </w:trPr>
        <w:tc>
          <w:tcPr>
            <w:tcW w:w="1001" w:type="dxa"/>
            <w:vAlign w:val="center"/>
          </w:tcPr>
          <w:p w:rsidR="001850B9" w:rsidRDefault="001850B9" w:rsidP="009E1EFC">
            <w:pPr>
              <w:spacing w:line="360" w:lineRule="auto"/>
            </w:pPr>
            <w:r>
              <w:rPr>
                <w:rFonts w:hint="eastAsia"/>
              </w:rPr>
              <w:t>4</w:t>
            </w:r>
          </w:p>
        </w:tc>
        <w:tc>
          <w:tcPr>
            <w:tcW w:w="4369" w:type="dxa"/>
            <w:vAlign w:val="center"/>
          </w:tcPr>
          <w:p w:rsidR="001850B9" w:rsidRDefault="001850B9" w:rsidP="009E1EFC">
            <w:pPr>
              <w:spacing w:line="360" w:lineRule="auto"/>
            </w:pPr>
            <w:r>
              <w:rPr>
                <w:rFonts w:hint="eastAsia"/>
              </w:rPr>
              <w:t>380nm-780nm</w:t>
            </w:r>
          </w:p>
        </w:tc>
        <w:tc>
          <w:tcPr>
            <w:tcW w:w="3872" w:type="dxa"/>
            <w:vAlign w:val="center"/>
          </w:tcPr>
          <w:p w:rsidR="001850B9" w:rsidRDefault="001850B9" w:rsidP="009E1EFC">
            <w:pPr>
              <w:spacing w:line="360" w:lineRule="auto"/>
            </w:pPr>
            <w:r>
              <w:rPr>
                <w:rFonts w:hint="eastAsia"/>
              </w:rPr>
              <w:t>±</w:t>
            </w:r>
            <w:r>
              <w:rPr>
                <w:rFonts w:hint="eastAsia"/>
              </w:rPr>
              <w:t>5nm</w:t>
            </w:r>
          </w:p>
        </w:tc>
      </w:tr>
      <w:tr w:rsidR="001850B9" w:rsidTr="009E1EFC">
        <w:trPr>
          <w:jc w:val="center"/>
        </w:trPr>
        <w:tc>
          <w:tcPr>
            <w:tcW w:w="1001" w:type="dxa"/>
            <w:vAlign w:val="center"/>
          </w:tcPr>
          <w:p w:rsidR="001850B9" w:rsidRDefault="001850B9" w:rsidP="009E1EFC">
            <w:pPr>
              <w:spacing w:line="360" w:lineRule="auto"/>
            </w:pPr>
            <w:r>
              <w:rPr>
                <w:rFonts w:hint="eastAsia"/>
              </w:rPr>
              <w:t>2</w:t>
            </w:r>
          </w:p>
        </w:tc>
        <w:tc>
          <w:tcPr>
            <w:tcW w:w="4369" w:type="dxa"/>
            <w:vAlign w:val="center"/>
          </w:tcPr>
          <w:p w:rsidR="001850B9" w:rsidRDefault="001850B9" w:rsidP="009E1EFC">
            <w:pPr>
              <w:spacing w:line="360" w:lineRule="auto"/>
            </w:pPr>
            <w:r>
              <w:rPr>
                <w:rFonts w:hint="eastAsia"/>
              </w:rPr>
              <w:t>RGB/RGBW</w:t>
            </w:r>
          </w:p>
        </w:tc>
        <w:tc>
          <w:tcPr>
            <w:tcW w:w="3872" w:type="dxa"/>
            <w:vAlign w:val="center"/>
          </w:tcPr>
          <w:p w:rsidR="001850B9" w:rsidRDefault="001850B9" w:rsidP="009E1EFC">
            <w:pPr>
              <w:spacing w:line="360" w:lineRule="auto"/>
            </w:pPr>
            <w:r>
              <w:rPr>
                <w:rFonts w:hint="eastAsia"/>
              </w:rPr>
              <w:t>±</w:t>
            </w:r>
            <w:r>
              <w:rPr>
                <w:rFonts w:hint="eastAsia"/>
              </w:rPr>
              <w:t>5nm</w:t>
            </w:r>
          </w:p>
        </w:tc>
      </w:tr>
    </w:tbl>
    <w:p w:rsidR="001850B9" w:rsidRDefault="001850B9" w:rsidP="001850B9">
      <w:pPr>
        <w:numPr>
          <w:ilvl w:val="0"/>
          <w:numId w:val="6"/>
        </w:numPr>
        <w:spacing w:line="360" w:lineRule="auto"/>
        <w:ind w:firstLineChars="200" w:firstLine="420"/>
      </w:pPr>
      <w:r>
        <w:rPr>
          <w:rFonts w:hint="eastAsia"/>
        </w:rPr>
        <w:t>白光</w:t>
      </w:r>
      <w:r>
        <w:rPr>
          <w:rFonts w:hint="eastAsia"/>
        </w:rPr>
        <w:t>LED</w:t>
      </w:r>
      <w:r>
        <w:rPr>
          <w:rFonts w:hint="eastAsia"/>
        </w:rPr>
        <w:t>灯具的色容差应符合以下规定：同型号白光</w:t>
      </w:r>
      <w:r>
        <w:rPr>
          <w:rFonts w:hint="eastAsia"/>
        </w:rPr>
        <w:t>LED</w:t>
      </w:r>
      <w:r>
        <w:rPr>
          <w:rFonts w:hint="eastAsia"/>
        </w:rPr>
        <w:t>灯具，色容差不应大于</w:t>
      </w:r>
      <w:r>
        <w:rPr>
          <w:rFonts w:hint="eastAsia"/>
        </w:rPr>
        <w:t>7SDCM</w:t>
      </w:r>
      <w:r>
        <w:rPr>
          <w:rFonts w:hint="eastAsia"/>
        </w:rPr>
        <w:t>。</w:t>
      </w:r>
    </w:p>
    <w:p w:rsidR="001850B9" w:rsidRDefault="001850B9" w:rsidP="001850B9">
      <w:pPr>
        <w:numPr>
          <w:ilvl w:val="0"/>
          <w:numId w:val="6"/>
        </w:numPr>
        <w:spacing w:line="360" w:lineRule="auto"/>
        <w:ind w:firstLineChars="200" w:firstLine="420"/>
      </w:pPr>
      <w:r>
        <w:rPr>
          <w:rFonts w:hint="eastAsia"/>
        </w:rPr>
        <w:t>当照射对象为纯色物体时，灯具色容差不应大于</w:t>
      </w:r>
      <w:r>
        <w:rPr>
          <w:rFonts w:hint="eastAsia"/>
        </w:rPr>
        <w:t>5SDCM</w:t>
      </w:r>
      <w:r>
        <w:rPr>
          <w:rFonts w:hint="eastAsia"/>
        </w:rPr>
        <w:t>。</w:t>
      </w:r>
    </w:p>
    <w:p w:rsidR="001850B9" w:rsidRDefault="001850B9" w:rsidP="001850B9">
      <w:pPr>
        <w:numPr>
          <w:ilvl w:val="0"/>
          <w:numId w:val="6"/>
        </w:numPr>
        <w:spacing w:line="360" w:lineRule="auto"/>
        <w:ind w:firstLineChars="200" w:firstLine="420"/>
      </w:pPr>
      <w:r>
        <w:rPr>
          <w:rFonts w:hint="eastAsia"/>
        </w:rPr>
        <w:t>LED</w:t>
      </w:r>
      <w:r>
        <w:rPr>
          <w:rFonts w:hint="eastAsia"/>
        </w:rPr>
        <w:t>颗粒应满足拥有</w:t>
      </w:r>
      <w:r>
        <w:rPr>
          <w:rFonts w:hint="eastAsia"/>
        </w:rPr>
        <w:t>LM-80</w:t>
      </w:r>
      <w:r>
        <w:rPr>
          <w:rFonts w:hint="eastAsia"/>
        </w:rPr>
        <w:t>认证，颗粒寿命不低于</w:t>
      </w:r>
      <w:r>
        <w:rPr>
          <w:rFonts w:hint="eastAsia"/>
        </w:rPr>
        <w:t>5</w:t>
      </w:r>
      <w:r>
        <w:rPr>
          <w:rFonts w:hint="eastAsia"/>
        </w:rPr>
        <w:t>万小时。</w:t>
      </w:r>
    </w:p>
    <w:p w:rsidR="001850B9" w:rsidRDefault="001850B9" w:rsidP="001850B9">
      <w:pPr>
        <w:numPr>
          <w:ilvl w:val="0"/>
          <w:numId w:val="6"/>
        </w:numPr>
        <w:spacing w:line="360" w:lineRule="auto"/>
        <w:ind w:firstLineChars="200" w:firstLine="422"/>
        <w:rPr>
          <w:b/>
          <w:bCs/>
        </w:rPr>
      </w:pPr>
      <w:r>
        <w:rPr>
          <w:rFonts w:hint="eastAsia"/>
          <w:b/>
          <w:bCs/>
        </w:rPr>
        <w:t>LED</w:t>
      </w:r>
      <w:r>
        <w:rPr>
          <w:rFonts w:hint="eastAsia"/>
          <w:b/>
          <w:bCs/>
        </w:rPr>
        <w:t>颗粒的显色指数（</w:t>
      </w:r>
      <w:r>
        <w:rPr>
          <w:rFonts w:hint="eastAsia"/>
          <w:b/>
          <w:bCs/>
        </w:rPr>
        <w:t>CRI</w:t>
      </w:r>
      <w:r>
        <w:rPr>
          <w:rFonts w:hint="eastAsia"/>
          <w:b/>
          <w:bCs/>
        </w:rPr>
        <w:t>）：白光</w:t>
      </w:r>
      <w:r>
        <w:rPr>
          <w:rFonts w:hint="eastAsia"/>
          <w:b/>
          <w:bCs/>
        </w:rPr>
        <w:t>LED</w:t>
      </w:r>
      <w:r>
        <w:rPr>
          <w:rFonts w:hint="eastAsia"/>
          <w:b/>
          <w:bCs/>
        </w:rPr>
        <w:t>一般显色指数</w:t>
      </w:r>
      <w:r>
        <w:rPr>
          <w:rFonts w:hint="eastAsia"/>
          <w:b/>
          <w:bCs/>
        </w:rPr>
        <w:t>Ra</w:t>
      </w:r>
      <w:r>
        <w:rPr>
          <w:rFonts w:hint="eastAsia"/>
          <w:b/>
          <w:bCs/>
        </w:rPr>
        <w:t>≥</w:t>
      </w:r>
      <w:r>
        <w:rPr>
          <w:rFonts w:hint="eastAsia"/>
          <w:b/>
          <w:bCs/>
        </w:rPr>
        <w:t>80</w:t>
      </w:r>
      <w:r>
        <w:rPr>
          <w:rFonts w:hint="eastAsia"/>
          <w:b/>
          <w:bCs/>
        </w:rPr>
        <w:t>，且</w:t>
      </w:r>
      <w:r>
        <w:rPr>
          <w:rFonts w:hint="eastAsia"/>
          <w:b/>
          <w:bCs/>
        </w:rPr>
        <w:t>R9</w:t>
      </w:r>
      <w:r>
        <w:rPr>
          <w:rFonts w:hint="eastAsia"/>
          <w:b/>
          <w:bCs/>
        </w:rPr>
        <w:t>＞</w:t>
      </w:r>
      <w:r>
        <w:rPr>
          <w:rFonts w:hint="eastAsia"/>
          <w:b/>
          <w:bCs/>
        </w:rPr>
        <w:t>0</w:t>
      </w:r>
      <w:r>
        <w:rPr>
          <w:rFonts w:hint="eastAsia"/>
          <w:b/>
          <w:bCs/>
        </w:rPr>
        <w:t>。</w:t>
      </w:r>
    </w:p>
    <w:p w:rsidR="001850B9" w:rsidRDefault="001850B9" w:rsidP="001850B9">
      <w:pPr>
        <w:numPr>
          <w:ilvl w:val="0"/>
          <w:numId w:val="6"/>
        </w:numPr>
        <w:spacing w:line="360" w:lineRule="auto"/>
        <w:ind w:firstLineChars="200" w:firstLine="422"/>
        <w:rPr>
          <w:b/>
          <w:bCs/>
        </w:rPr>
      </w:pPr>
      <w:r>
        <w:rPr>
          <w:rFonts w:hint="eastAsia"/>
          <w:b/>
          <w:bCs/>
        </w:rPr>
        <w:t>琥珀色定义为</w:t>
      </w:r>
      <w:r>
        <w:rPr>
          <w:rFonts w:hint="eastAsia"/>
          <w:b/>
          <w:bCs/>
        </w:rPr>
        <w:t>590-595nm</w:t>
      </w:r>
      <w:r>
        <w:rPr>
          <w:rFonts w:hint="eastAsia"/>
          <w:b/>
          <w:bCs/>
        </w:rPr>
        <w:t>。</w:t>
      </w:r>
    </w:p>
    <w:p w:rsidR="001850B9" w:rsidRDefault="001850B9" w:rsidP="001850B9">
      <w:pPr>
        <w:pStyle w:val="3"/>
        <w:numPr>
          <w:ilvl w:val="0"/>
          <w:numId w:val="4"/>
        </w:numPr>
        <w:spacing w:line="360" w:lineRule="auto"/>
        <w:ind w:leftChars="0" w:firstLineChars="0" w:hanging="5"/>
      </w:pPr>
      <w:bookmarkStart w:id="13" w:name="_Toc517"/>
      <w:r>
        <w:rPr>
          <w:rFonts w:hint="eastAsia"/>
        </w:rPr>
        <w:t>LED</w:t>
      </w:r>
      <w:r>
        <w:rPr>
          <w:rFonts w:hint="eastAsia"/>
        </w:rPr>
        <w:t>灯具输入电压要求</w:t>
      </w:r>
      <w:bookmarkEnd w:id="13"/>
    </w:p>
    <w:p w:rsidR="001850B9" w:rsidRDefault="001850B9" w:rsidP="001850B9">
      <w:pPr>
        <w:numPr>
          <w:ilvl w:val="0"/>
          <w:numId w:val="7"/>
        </w:numPr>
        <w:spacing w:line="360" w:lineRule="auto"/>
        <w:ind w:firstLineChars="200" w:firstLine="602"/>
        <w:rPr>
          <w:b/>
          <w:bCs/>
          <w:sz w:val="30"/>
          <w:szCs w:val="30"/>
          <w:u w:val="single"/>
        </w:rPr>
      </w:pPr>
      <w:r>
        <w:rPr>
          <w:rFonts w:hint="eastAsia"/>
          <w:b/>
          <w:bCs/>
          <w:sz w:val="30"/>
          <w:szCs w:val="30"/>
          <w:u w:val="single"/>
        </w:rPr>
        <w:t>详细参数标明输入电压为</w:t>
      </w:r>
      <w:r>
        <w:rPr>
          <w:rFonts w:hint="eastAsia"/>
          <w:b/>
          <w:bCs/>
          <w:sz w:val="30"/>
          <w:szCs w:val="30"/>
          <w:u w:val="single"/>
        </w:rPr>
        <w:t>220V</w:t>
      </w:r>
      <w:r>
        <w:rPr>
          <w:rFonts w:hint="eastAsia"/>
          <w:b/>
          <w:bCs/>
          <w:sz w:val="30"/>
          <w:szCs w:val="30"/>
          <w:u w:val="single"/>
        </w:rPr>
        <w:t>的灯具为内置驱动电源。详细参数未标明输入电压的为外置驱动电源集中供电。</w:t>
      </w:r>
    </w:p>
    <w:p w:rsidR="001850B9" w:rsidRDefault="001850B9" w:rsidP="001850B9">
      <w:pPr>
        <w:numPr>
          <w:ilvl w:val="0"/>
          <w:numId w:val="7"/>
        </w:numPr>
        <w:spacing w:line="360" w:lineRule="auto"/>
        <w:ind w:firstLineChars="200" w:firstLine="602"/>
        <w:rPr>
          <w:b/>
          <w:bCs/>
          <w:sz w:val="30"/>
          <w:szCs w:val="30"/>
          <w:u w:val="single"/>
        </w:rPr>
      </w:pPr>
      <w:r>
        <w:rPr>
          <w:rFonts w:hint="eastAsia"/>
          <w:b/>
          <w:bCs/>
          <w:sz w:val="30"/>
          <w:szCs w:val="30"/>
          <w:u w:val="single"/>
        </w:rPr>
        <w:t>详细参数未标明输入电压的，其输入电压必须为</w:t>
      </w:r>
      <w:r>
        <w:rPr>
          <w:rFonts w:hint="eastAsia"/>
          <w:b/>
          <w:bCs/>
          <w:sz w:val="30"/>
          <w:szCs w:val="30"/>
          <w:u w:val="single"/>
        </w:rPr>
        <w:t>DC24V</w:t>
      </w:r>
      <w:r>
        <w:rPr>
          <w:rFonts w:hint="eastAsia"/>
          <w:b/>
          <w:bCs/>
          <w:sz w:val="30"/>
          <w:szCs w:val="30"/>
          <w:u w:val="single"/>
        </w:rPr>
        <w:t>。详细参数标明输入电压的，按详细参数执行。</w:t>
      </w:r>
    </w:p>
    <w:p w:rsidR="001850B9" w:rsidRDefault="001850B9" w:rsidP="001850B9">
      <w:pPr>
        <w:pStyle w:val="3"/>
        <w:numPr>
          <w:ilvl w:val="0"/>
          <w:numId w:val="4"/>
        </w:numPr>
        <w:spacing w:line="360" w:lineRule="auto"/>
        <w:ind w:leftChars="0" w:firstLineChars="0" w:hanging="5"/>
      </w:pPr>
      <w:bookmarkStart w:id="14" w:name="_Toc18301"/>
      <w:r>
        <w:rPr>
          <w:rFonts w:hint="eastAsia"/>
        </w:rPr>
        <w:t>有变化要求的</w:t>
      </w:r>
      <w:r>
        <w:rPr>
          <w:rFonts w:hint="eastAsia"/>
        </w:rPr>
        <w:t>LED</w:t>
      </w:r>
      <w:r>
        <w:rPr>
          <w:rFonts w:hint="eastAsia"/>
        </w:rPr>
        <w:t>灯具要求</w:t>
      </w:r>
      <w:bookmarkEnd w:id="14"/>
    </w:p>
    <w:p w:rsidR="001850B9" w:rsidRDefault="001850B9" w:rsidP="001850B9">
      <w:pPr>
        <w:numPr>
          <w:ilvl w:val="0"/>
          <w:numId w:val="8"/>
        </w:numPr>
        <w:spacing w:line="360" w:lineRule="auto"/>
        <w:ind w:firstLineChars="200" w:firstLine="420"/>
      </w:pPr>
      <w:r>
        <w:rPr>
          <w:rFonts w:hint="eastAsia"/>
        </w:rPr>
        <w:t>有变化要求的</w:t>
      </w:r>
      <w:r>
        <w:rPr>
          <w:rFonts w:hint="eastAsia"/>
        </w:rPr>
        <w:t>LED</w:t>
      </w:r>
      <w:r>
        <w:rPr>
          <w:rFonts w:hint="eastAsia"/>
        </w:rPr>
        <w:t>灯具须采用</w:t>
      </w:r>
      <w:r>
        <w:rPr>
          <w:rFonts w:hint="eastAsia"/>
        </w:rPr>
        <w:t>DMX512/1990</w:t>
      </w:r>
      <w:r>
        <w:rPr>
          <w:rFonts w:hint="eastAsia"/>
        </w:rPr>
        <w:t>或</w:t>
      </w:r>
      <w:r>
        <w:rPr>
          <w:rFonts w:hint="eastAsia"/>
        </w:rPr>
        <w:t>DMX512-A</w:t>
      </w:r>
      <w:r>
        <w:rPr>
          <w:rFonts w:hint="eastAsia"/>
        </w:rPr>
        <w:t>标准控制协议，或兼容于上述协议。</w:t>
      </w:r>
    </w:p>
    <w:p w:rsidR="001850B9" w:rsidRDefault="001850B9" w:rsidP="001850B9">
      <w:pPr>
        <w:numPr>
          <w:ilvl w:val="0"/>
          <w:numId w:val="8"/>
        </w:numPr>
        <w:spacing w:line="360" w:lineRule="auto"/>
        <w:ind w:firstLineChars="200" w:firstLine="420"/>
      </w:pPr>
      <w:r>
        <w:rPr>
          <w:rFonts w:hint="eastAsia"/>
        </w:rPr>
        <w:t>LED</w:t>
      </w:r>
      <w:r>
        <w:rPr>
          <w:rFonts w:hint="eastAsia"/>
        </w:rPr>
        <w:t>动态灯具，动态的速率可调，可缓慢连续变化也可跳变。芯片亮度可从</w:t>
      </w:r>
      <w:r>
        <w:rPr>
          <w:rFonts w:hint="eastAsia"/>
        </w:rPr>
        <w:t>0%-100%</w:t>
      </w:r>
      <w:r>
        <w:rPr>
          <w:rFonts w:hint="eastAsia"/>
        </w:rPr>
        <w:t>变化。有变化要求的</w:t>
      </w:r>
      <w:r>
        <w:rPr>
          <w:rFonts w:hint="eastAsia"/>
        </w:rPr>
        <w:t>LED</w:t>
      </w:r>
      <w:r>
        <w:rPr>
          <w:rFonts w:hint="eastAsia"/>
        </w:rPr>
        <w:t>灯具灰度级别必须达到</w:t>
      </w:r>
      <w:r>
        <w:rPr>
          <w:rFonts w:hint="eastAsia"/>
        </w:rPr>
        <w:t>256*256*256</w:t>
      </w:r>
      <w:r>
        <w:rPr>
          <w:rFonts w:hint="eastAsia"/>
        </w:rPr>
        <w:t>位灰度。灰度刷新频率不小于</w:t>
      </w:r>
      <w:r>
        <w:rPr>
          <w:rFonts w:hint="eastAsia"/>
        </w:rPr>
        <w:t>1000HZ</w:t>
      </w:r>
      <w:r>
        <w:rPr>
          <w:rFonts w:hint="eastAsia"/>
        </w:rPr>
        <w:t>。彩色的</w:t>
      </w:r>
      <w:r>
        <w:rPr>
          <w:rFonts w:hint="eastAsia"/>
        </w:rPr>
        <w:t>LED</w:t>
      </w:r>
      <w:r>
        <w:rPr>
          <w:rFonts w:hint="eastAsia"/>
        </w:rPr>
        <w:t>灯具必须发出</w:t>
      </w:r>
      <w:r>
        <w:rPr>
          <w:rFonts w:hint="eastAsia"/>
        </w:rPr>
        <w:t>1670</w:t>
      </w:r>
      <w:r>
        <w:rPr>
          <w:rFonts w:hint="eastAsia"/>
        </w:rPr>
        <w:t>万种真彩色。实现全场景同步色彩渐变及追光等</w:t>
      </w:r>
      <w:r>
        <w:rPr>
          <w:rFonts w:hint="eastAsia"/>
        </w:rPr>
        <w:lastRenderedPageBreak/>
        <w:t>各种动感色彩效果，色彩过渡要平稳、圆润，色彩还原要求逼真、细腻、自然。</w:t>
      </w:r>
    </w:p>
    <w:p w:rsidR="001850B9" w:rsidRDefault="001850B9" w:rsidP="001850B9">
      <w:pPr>
        <w:pStyle w:val="3"/>
        <w:numPr>
          <w:ilvl w:val="0"/>
          <w:numId w:val="4"/>
        </w:numPr>
        <w:spacing w:line="360" w:lineRule="auto"/>
        <w:ind w:leftChars="0" w:firstLineChars="0" w:hanging="5"/>
      </w:pPr>
      <w:bookmarkStart w:id="15" w:name="_Toc13353"/>
      <w:r>
        <w:rPr>
          <w:rFonts w:hint="eastAsia"/>
        </w:rPr>
        <w:t>外观及结构要求</w:t>
      </w:r>
      <w:bookmarkEnd w:id="15"/>
    </w:p>
    <w:p w:rsidR="001850B9" w:rsidRDefault="001850B9" w:rsidP="001850B9">
      <w:pPr>
        <w:numPr>
          <w:ilvl w:val="0"/>
          <w:numId w:val="9"/>
        </w:numPr>
        <w:spacing w:line="360" w:lineRule="auto"/>
        <w:ind w:firstLineChars="200" w:firstLine="420"/>
      </w:pPr>
      <w:r>
        <w:rPr>
          <w:rFonts w:hint="eastAsia"/>
        </w:rPr>
        <w:t>外观质量：灯具的表面应光滑，以防污物堆积和便于清洗</w:t>
      </w:r>
      <w:r>
        <w:rPr>
          <w:rFonts w:hint="eastAsia"/>
        </w:rPr>
        <w:t>;</w:t>
      </w:r>
      <w:r>
        <w:rPr>
          <w:rFonts w:hint="eastAsia"/>
        </w:rPr>
        <w:t>无损伤、变形、涂层剥落，玻璃罩应无气泡、明显划痕和裂纹等缺陷。</w:t>
      </w:r>
    </w:p>
    <w:p w:rsidR="001850B9" w:rsidRDefault="001850B9" w:rsidP="001850B9">
      <w:pPr>
        <w:numPr>
          <w:ilvl w:val="0"/>
          <w:numId w:val="9"/>
        </w:numPr>
        <w:spacing w:line="360" w:lineRule="auto"/>
        <w:ind w:firstLineChars="200" w:firstLine="420"/>
        <w:rPr>
          <w:b/>
          <w:bCs/>
          <w:sz w:val="30"/>
          <w:szCs w:val="30"/>
          <w:u w:val="single"/>
        </w:rPr>
      </w:pPr>
      <w:r>
        <w:rPr>
          <w:rFonts w:hint="eastAsia"/>
        </w:rPr>
        <w:t>外形尺寸：允许偏差范围标明区间的（例如：有≥、≤、±、</w:t>
      </w:r>
      <w:r>
        <w:rPr>
          <w:rFonts w:hint="eastAsia"/>
        </w:rPr>
        <w:t>~</w:t>
      </w:r>
      <w:r>
        <w:rPr>
          <w:rFonts w:hint="eastAsia"/>
        </w:rPr>
        <w:t>符号）灯具尺寸在要求范围内为满足要求；未标明尺寸允许偏差范围的灯具尺寸上下浮动</w:t>
      </w:r>
      <w:r>
        <w:rPr>
          <w:rFonts w:hint="eastAsia"/>
        </w:rPr>
        <w:t>10%</w:t>
      </w:r>
      <w:r>
        <w:rPr>
          <w:rFonts w:hint="eastAsia"/>
        </w:rPr>
        <w:t>为满足要求。线性投光灯长度尺寸上下浮动</w:t>
      </w:r>
      <w:r>
        <w:rPr>
          <w:rFonts w:hint="eastAsia"/>
        </w:rPr>
        <w:t>1%</w:t>
      </w:r>
      <w:r>
        <w:rPr>
          <w:rFonts w:hint="eastAsia"/>
        </w:rPr>
        <w:t>为满足要求。</w:t>
      </w:r>
    </w:p>
    <w:p w:rsidR="001850B9" w:rsidRDefault="001850B9" w:rsidP="001850B9">
      <w:pPr>
        <w:numPr>
          <w:ilvl w:val="0"/>
          <w:numId w:val="9"/>
        </w:numPr>
        <w:spacing w:line="360" w:lineRule="auto"/>
        <w:ind w:firstLineChars="200" w:firstLine="420"/>
      </w:pPr>
      <w:r>
        <w:rPr>
          <w:rFonts w:hint="eastAsia"/>
        </w:rPr>
        <w:t>安装和位置尺寸：未标明尺寸允许偏差范围的按照</w:t>
      </w:r>
      <w:r>
        <w:rPr>
          <w:rFonts w:hint="eastAsia"/>
        </w:rPr>
        <w:t>GB-T1804</w:t>
      </w:r>
      <w:r>
        <w:rPr>
          <w:rFonts w:hint="eastAsia"/>
        </w:rPr>
        <w:t>的精度</w:t>
      </w:r>
      <w:r>
        <w:rPr>
          <w:rFonts w:hint="eastAsia"/>
        </w:rPr>
        <w:t>M</w:t>
      </w:r>
      <w:r>
        <w:rPr>
          <w:rFonts w:hint="eastAsia"/>
        </w:rPr>
        <w:t>级别标准执行。</w:t>
      </w:r>
    </w:p>
    <w:p w:rsidR="001850B9" w:rsidRDefault="001850B9" w:rsidP="001850B9">
      <w:pPr>
        <w:numPr>
          <w:ilvl w:val="0"/>
          <w:numId w:val="9"/>
        </w:numPr>
        <w:spacing w:line="360" w:lineRule="auto"/>
        <w:ind w:firstLineChars="200" w:firstLine="420"/>
      </w:pPr>
      <w:r>
        <w:rPr>
          <w:rFonts w:hint="eastAsia"/>
        </w:rPr>
        <w:t>灯具应安装方便，灯具出线方式不能影响现场安装。投光类灯具安装角度应能灵活调节。灯具应有特设的导线出</w:t>
      </w:r>
      <w:r>
        <w:rPr>
          <w:rFonts w:hint="eastAsia"/>
        </w:rPr>
        <w:t>(</w:t>
      </w:r>
      <w:r>
        <w:rPr>
          <w:rFonts w:hint="eastAsia"/>
        </w:rPr>
        <w:t>入</w:t>
      </w:r>
      <w:r>
        <w:rPr>
          <w:rFonts w:hint="eastAsia"/>
        </w:rPr>
        <w:t>)</w:t>
      </w:r>
      <w:r>
        <w:rPr>
          <w:rFonts w:hint="eastAsia"/>
        </w:rPr>
        <w:t>口密封装置。灯具内应有电源接线端子，外部接线和内部接线穿过硬质材料时应有保护措施。灯具应配备一个耐温度骤变、废气、烟雾和其他化学物质的钢化玻璃罩。</w:t>
      </w:r>
    </w:p>
    <w:p w:rsidR="001850B9" w:rsidRDefault="001850B9" w:rsidP="001850B9">
      <w:pPr>
        <w:numPr>
          <w:ilvl w:val="0"/>
          <w:numId w:val="9"/>
        </w:numPr>
        <w:spacing w:line="360" w:lineRule="auto"/>
        <w:ind w:firstLineChars="200" w:firstLine="422"/>
        <w:rPr>
          <w:b/>
          <w:bCs/>
        </w:rPr>
      </w:pPr>
      <w:r>
        <w:rPr>
          <w:rFonts w:hint="eastAsia"/>
          <w:b/>
          <w:bCs/>
        </w:rPr>
        <w:t>灯具重量：大功率投光灯（≥</w:t>
      </w:r>
      <w:r>
        <w:rPr>
          <w:rFonts w:hint="eastAsia"/>
          <w:b/>
          <w:bCs/>
        </w:rPr>
        <w:t>50W</w:t>
      </w:r>
      <w:r>
        <w:rPr>
          <w:rFonts w:hint="eastAsia"/>
          <w:b/>
          <w:bCs/>
        </w:rPr>
        <w:t>）需结合安装位置合理控制灯具重量，经采购单位确认后批量供货。</w:t>
      </w:r>
    </w:p>
    <w:p w:rsidR="001850B9" w:rsidRDefault="001850B9" w:rsidP="001850B9">
      <w:pPr>
        <w:numPr>
          <w:ilvl w:val="0"/>
          <w:numId w:val="9"/>
        </w:numPr>
        <w:spacing w:line="360" w:lineRule="auto"/>
        <w:ind w:firstLineChars="200" w:firstLine="420"/>
      </w:pPr>
      <w:r>
        <w:rPr>
          <w:rFonts w:hint="eastAsia"/>
        </w:rPr>
        <w:t>所有</w:t>
      </w:r>
      <w:r>
        <w:rPr>
          <w:rFonts w:hint="eastAsia"/>
        </w:rPr>
        <w:t>LED</w:t>
      </w:r>
      <w:r>
        <w:rPr>
          <w:rFonts w:hint="eastAsia"/>
        </w:rPr>
        <w:t>灯具引出线线径应符合</w:t>
      </w:r>
      <w:r>
        <w:rPr>
          <w:rFonts w:hint="eastAsia"/>
        </w:rPr>
        <w:t>GB7000.1</w:t>
      </w:r>
      <w:r>
        <w:rPr>
          <w:rFonts w:hint="eastAsia"/>
        </w:rPr>
        <w:t>（灯具</w:t>
      </w:r>
      <w:r>
        <w:rPr>
          <w:rFonts w:hint="eastAsia"/>
        </w:rPr>
        <w:t xml:space="preserve"> </w:t>
      </w:r>
      <w:r>
        <w:rPr>
          <w:rFonts w:hint="eastAsia"/>
        </w:rPr>
        <w:t>第</w:t>
      </w:r>
      <w:r>
        <w:rPr>
          <w:rFonts w:hint="eastAsia"/>
        </w:rPr>
        <w:t>1</w:t>
      </w:r>
      <w:r>
        <w:rPr>
          <w:rFonts w:hint="eastAsia"/>
        </w:rPr>
        <w:t>部分：一般要求与试验）的要求，引出线长度按照现场安装情况提供，确保灯与灯之间连线符合最优化。一个回路的灯具可成串提供，灯具引出线满足现场安装要求。</w:t>
      </w:r>
      <w:r>
        <w:rPr>
          <w:rFonts w:hint="eastAsia"/>
        </w:rPr>
        <w:t xml:space="preserve"> </w:t>
      </w:r>
      <w:r>
        <w:rPr>
          <w:rFonts w:hint="eastAsia"/>
        </w:rPr>
        <w:t>芯线颜色必须符合国标要求，且有明显区别。</w:t>
      </w:r>
    </w:p>
    <w:p w:rsidR="001850B9" w:rsidRDefault="001850B9" w:rsidP="001850B9">
      <w:pPr>
        <w:numPr>
          <w:ilvl w:val="0"/>
          <w:numId w:val="9"/>
        </w:numPr>
        <w:spacing w:line="360" w:lineRule="auto"/>
        <w:ind w:firstLineChars="200" w:firstLine="420"/>
      </w:pPr>
      <w:r>
        <w:rPr>
          <w:rFonts w:hint="eastAsia"/>
        </w:rPr>
        <w:t>控制线采用专用</w:t>
      </w:r>
      <w:r>
        <w:rPr>
          <w:rFonts w:hint="eastAsia"/>
        </w:rPr>
        <w:t>RS485</w:t>
      </w:r>
      <w:r>
        <w:rPr>
          <w:rFonts w:hint="eastAsia"/>
        </w:rPr>
        <w:t>超五类屏蔽总线。接头必须具有防水措施、连接方便易操作。</w:t>
      </w:r>
    </w:p>
    <w:p w:rsidR="001850B9" w:rsidRDefault="001850B9" w:rsidP="001850B9">
      <w:pPr>
        <w:numPr>
          <w:ilvl w:val="0"/>
          <w:numId w:val="9"/>
        </w:numPr>
        <w:spacing w:line="360" w:lineRule="auto"/>
        <w:ind w:firstLineChars="200" w:firstLine="420"/>
      </w:pPr>
      <w:r>
        <w:rPr>
          <w:rFonts w:hint="eastAsia"/>
        </w:rPr>
        <w:t>有针对感应雷击及静电的专用防护元件，器件性能符合</w:t>
      </w:r>
      <w:r>
        <w:rPr>
          <w:rFonts w:hint="eastAsia"/>
        </w:rPr>
        <w:t>IEC61000-4-4</w:t>
      </w:r>
      <w:r>
        <w:rPr>
          <w:rFonts w:hint="eastAsia"/>
        </w:rPr>
        <w:t>（电磁兼容</w:t>
      </w:r>
      <w:r>
        <w:rPr>
          <w:rFonts w:hint="eastAsia"/>
        </w:rPr>
        <w:t>-</w:t>
      </w:r>
      <w:r>
        <w:rPr>
          <w:rFonts w:hint="eastAsia"/>
        </w:rPr>
        <w:t>第</w:t>
      </w:r>
      <w:r>
        <w:rPr>
          <w:rFonts w:hint="eastAsia"/>
        </w:rPr>
        <w:t>4-4</w:t>
      </w:r>
      <w:r>
        <w:rPr>
          <w:rFonts w:hint="eastAsia"/>
        </w:rPr>
        <w:t>部分</w:t>
      </w:r>
      <w:r>
        <w:rPr>
          <w:rFonts w:hint="eastAsia"/>
        </w:rPr>
        <w:t>:</w:t>
      </w:r>
      <w:r>
        <w:rPr>
          <w:rFonts w:hint="eastAsia"/>
        </w:rPr>
        <w:t>试验和测量技术</w:t>
      </w:r>
      <w:r>
        <w:rPr>
          <w:rFonts w:hint="eastAsia"/>
        </w:rPr>
        <w:t>-</w:t>
      </w:r>
      <w:r>
        <w:rPr>
          <w:rFonts w:hint="eastAsia"/>
        </w:rPr>
        <w:t>电快速瞬变脉冲群抗扰度试验）的检测标准。</w:t>
      </w:r>
    </w:p>
    <w:p w:rsidR="001850B9" w:rsidRDefault="001850B9" w:rsidP="001850B9">
      <w:pPr>
        <w:numPr>
          <w:ilvl w:val="0"/>
          <w:numId w:val="9"/>
        </w:numPr>
        <w:spacing w:line="360" w:lineRule="auto"/>
        <w:ind w:firstLineChars="200" w:firstLine="602"/>
        <w:rPr>
          <w:b/>
          <w:bCs/>
          <w:sz w:val="30"/>
          <w:szCs w:val="30"/>
          <w:u w:val="single"/>
        </w:rPr>
      </w:pPr>
      <w:r>
        <w:rPr>
          <w:rFonts w:hint="eastAsia"/>
          <w:b/>
          <w:bCs/>
          <w:sz w:val="30"/>
          <w:szCs w:val="30"/>
          <w:u w:val="single"/>
        </w:rPr>
        <w:t>灯具防护等级不小于</w:t>
      </w:r>
      <w:r>
        <w:rPr>
          <w:rFonts w:hint="eastAsia"/>
          <w:b/>
          <w:bCs/>
          <w:sz w:val="30"/>
          <w:szCs w:val="30"/>
          <w:u w:val="single"/>
        </w:rPr>
        <w:t>IP65</w:t>
      </w:r>
      <w:r>
        <w:rPr>
          <w:rFonts w:hint="eastAsia"/>
          <w:b/>
          <w:bCs/>
          <w:sz w:val="30"/>
          <w:szCs w:val="30"/>
          <w:u w:val="single"/>
        </w:rPr>
        <w:t>。</w:t>
      </w:r>
    </w:p>
    <w:p w:rsidR="001850B9" w:rsidRDefault="001850B9" w:rsidP="001850B9">
      <w:pPr>
        <w:pStyle w:val="3"/>
        <w:numPr>
          <w:ilvl w:val="0"/>
          <w:numId w:val="4"/>
        </w:numPr>
        <w:spacing w:line="360" w:lineRule="auto"/>
        <w:ind w:leftChars="0" w:firstLineChars="0" w:hanging="5"/>
      </w:pPr>
      <w:bookmarkStart w:id="16" w:name="_Toc20504"/>
      <w:r>
        <w:rPr>
          <w:rFonts w:hint="eastAsia"/>
        </w:rPr>
        <w:t>材料要求</w:t>
      </w:r>
      <w:bookmarkEnd w:id="16"/>
    </w:p>
    <w:p w:rsidR="001850B9" w:rsidRDefault="001850B9" w:rsidP="001850B9">
      <w:pPr>
        <w:numPr>
          <w:ilvl w:val="0"/>
          <w:numId w:val="10"/>
        </w:numPr>
        <w:spacing w:line="360" w:lineRule="auto"/>
        <w:ind w:firstLineChars="200" w:firstLine="420"/>
      </w:pPr>
      <w:r>
        <w:rPr>
          <w:rFonts w:hint="eastAsia"/>
        </w:rPr>
        <w:t>所有要求为不锈钢的材质，必须采用</w:t>
      </w:r>
      <w:r>
        <w:rPr>
          <w:rFonts w:hint="eastAsia"/>
        </w:rPr>
        <w:t>304/2B</w:t>
      </w:r>
      <w:r>
        <w:rPr>
          <w:rFonts w:hint="eastAsia"/>
        </w:rPr>
        <w:t>不锈钢标号；所有要求为铝材的，必须采用高镁防锈</w:t>
      </w:r>
      <w:r>
        <w:rPr>
          <w:rFonts w:hint="eastAsia"/>
        </w:rPr>
        <w:t>3404</w:t>
      </w:r>
      <w:r>
        <w:rPr>
          <w:rFonts w:hint="eastAsia"/>
        </w:rPr>
        <w:t>标号或同等、优于该材料。灯具所采用的电线</w:t>
      </w:r>
      <w:r>
        <w:rPr>
          <w:rFonts w:hint="eastAsia"/>
        </w:rPr>
        <w:t>(</w:t>
      </w:r>
      <w:r>
        <w:rPr>
          <w:rFonts w:hint="eastAsia"/>
        </w:rPr>
        <w:t>缆</w:t>
      </w:r>
      <w:r>
        <w:rPr>
          <w:rFonts w:hint="eastAsia"/>
        </w:rPr>
        <w:t>)</w:t>
      </w:r>
      <w:r>
        <w:rPr>
          <w:rFonts w:hint="eastAsia"/>
        </w:rPr>
        <w:t>、</w:t>
      </w:r>
      <w:r>
        <w:rPr>
          <w:rFonts w:hint="eastAsia"/>
        </w:rPr>
        <w:t>LED</w:t>
      </w:r>
      <w:r>
        <w:rPr>
          <w:rFonts w:hint="eastAsia"/>
        </w:rPr>
        <w:t>和其他电子部件均应符合相应的国家标准或行业标准的规定要求。</w:t>
      </w:r>
    </w:p>
    <w:p w:rsidR="001850B9" w:rsidRDefault="001850B9" w:rsidP="001850B9">
      <w:pPr>
        <w:numPr>
          <w:ilvl w:val="0"/>
          <w:numId w:val="10"/>
        </w:numPr>
        <w:spacing w:line="360" w:lineRule="auto"/>
        <w:ind w:firstLineChars="200" w:firstLine="420"/>
      </w:pPr>
      <w:r>
        <w:rPr>
          <w:rFonts w:hint="eastAsia"/>
        </w:rPr>
        <w:t>灯具密封圈需采用抗老化硅橡胶圈或同等、优于上标准。应耐温、耐老化和耐道路</w:t>
      </w:r>
      <w:r>
        <w:rPr>
          <w:rFonts w:hint="eastAsia"/>
        </w:rPr>
        <w:lastRenderedPageBreak/>
        <w:t>上可能出现的腐蚀性气体，并应方便更换。灯具密封若采用灌胶形式，灌胶材料必须采用有机硅胶或同等、优于以上标准。</w:t>
      </w:r>
      <w:r>
        <w:rPr>
          <w:rFonts w:hint="eastAsia"/>
        </w:rPr>
        <w:t xml:space="preserve"> </w:t>
      </w:r>
    </w:p>
    <w:p w:rsidR="001850B9" w:rsidRDefault="001850B9" w:rsidP="001850B9">
      <w:pPr>
        <w:numPr>
          <w:ilvl w:val="0"/>
          <w:numId w:val="10"/>
        </w:numPr>
        <w:spacing w:line="360" w:lineRule="auto"/>
        <w:ind w:firstLineChars="200" w:firstLine="420"/>
      </w:pPr>
      <w:r>
        <w:rPr>
          <w:rFonts w:hint="eastAsia"/>
        </w:rPr>
        <w:t>灯具的插销、铰链、螺钉和其他外部构件应用</w:t>
      </w:r>
      <w:r>
        <w:rPr>
          <w:rFonts w:hint="eastAsia"/>
        </w:rPr>
        <w:t>304/2B</w:t>
      </w:r>
      <w:r>
        <w:rPr>
          <w:rFonts w:hint="eastAsia"/>
        </w:rPr>
        <w:t>不锈钢或高镁防锈</w:t>
      </w:r>
      <w:r>
        <w:rPr>
          <w:rFonts w:hint="eastAsia"/>
        </w:rPr>
        <w:t>3404</w:t>
      </w:r>
      <w:r>
        <w:rPr>
          <w:rFonts w:hint="eastAsia"/>
        </w:rPr>
        <w:t>铝合金，其安装构件应不受混凝土的化学反应腐蚀。膨胀管、膨胀螺栓（含螺栓、胀管、平垫圈、弹簧垫和六角螺母等）必须采用不锈钢</w:t>
      </w:r>
      <w:r>
        <w:rPr>
          <w:rFonts w:hint="eastAsia"/>
        </w:rPr>
        <w:t>304/2B</w:t>
      </w:r>
      <w:r>
        <w:rPr>
          <w:rFonts w:hint="eastAsia"/>
        </w:rPr>
        <w:t>材料，且不受混凝土的化学反应腐蚀。</w:t>
      </w:r>
    </w:p>
    <w:p w:rsidR="001850B9" w:rsidRDefault="001850B9" w:rsidP="001850B9">
      <w:pPr>
        <w:pStyle w:val="3"/>
        <w:numPr>
          <w:ilvl w:val="0"/>
          <w:numId w:val="4"/>
        </w:numPr>
        <w:spacing w:line="360" w:lineRule="auto"/>
        <w:ind w:leftChars="0" w:firstLineChars="0" w:hanging="5"/>
      </w:pPr>
      <w:bookmarkStart w:id="17" w:name="_Toc19172"/>
      <w:r>
        <w:rPr>
          <w:rFonts w:hint="eastAsia"/>
        </w:rPr>
        <w:t>耐腐蚀性要求</w:t>
      </w:r>
      <w:bookmarkEnd w:id="17"/>
    </w:p>
    <w:p w:rsidR="001850B9" w:rsidRDefault="001850B9" w:rsidP="001850B9">
      <w:pPr>
        <w:spacing w:line="360" w:lineRule="auto"/>
        <w:ind w:firstLineChars="200" w:firstLine="420"/>
      </w:pPr>
      <w:r>
        <w:rPr>
          <w:rFonts w:hint="eastAsia"/>
        </w:rPr>
        <w:t>灯具应具有良好的耐腐蚀性能；灯具上的涂层部件，涂层应符合</w:t>
      </w:r>
      <w:r>
        <w:rPr>
          <w:rFonts w:hint="eastAsia"/>
        </w:rPr>
        <w:t>QB/T 1551</w:t>
      </w:r>
      <w:r>
        <w:rPr>
          <w:rFonts w:hint="eastAsia"/>
        </w:rPr>
        <w:t>（《灯具油漆涂层》国家标准）中</w:t>
      </w:r>
      <w:r>
        <w:rPr>
          <w:rFonts w:hint="eastAsia"/>
        </w:rPr>
        <w:t>II</w:t>
      </w:r>
      <w:r>
        <w:rPr>
          <w:rFonts w:hint="eastAsia"/>
        </w:rPr>
        <w:t>类（恶劣的使用环境，如含有工业废气或盐分，潮湿的使用场所）使用条件的要求；灯具上的电镀或化学覆盖件，覆盖层应符合</w:t>
      </w:r>
      <w:r>
        <w:rPr>
          <w:rFonts w:hint="eastAsia"/>
        </w:rPr>
        <w:t>QB/T3741</w:t>
      </w:r>
      <w:r>
        <w:rPr>
          <w:rFonts w:hint="eastAsia"/>
        </w:rPr>
        <w:t>（《灯具电镀、化学覆盖层》轻工行业标准）中Ⅲ类（严酷的使用条件，如空气中含有工业废气或盐分潮湿的环境）使用条件的要求。灯具灯体材质表面应有耐腐蚀、抗破坏处理手段，处理工艺需达</w:t>
      </w:r>
      <w:r>
        <w:rPr>
          <w:rFonts w:hint="eastAsia"/>
        </w:rPr>
        <w:t>10</w:t>
      </w:r>
      <w:r>
        <w:rPr>
          <w:rFonts w:hint="eastAsia"/>
        </w:rPr>
        <w:t>年使用寿命。压克力材料部分保证</w:t>
      </w:r>
      <w:r>
        <w:rPr>
          <w:rFonts w:hint="eastAsia"/>
        </w:rPr>
        <w:t>5</w:t>
      </w:r>
      <w:r>
        <w:rPr>
          <w:rFonts w:hint="eastAsia"/>
        </w:rPr>
        <w:t>年不发黄。</w:t>
      </w:r>
    </w:p>
    <w:p w:rsidR="001850B9" w:rsidRDefault="001850B9" w:rsidP="001850B9">
      <w:pPr>
        <w:pStyle w:val="3"/>
        <w:numPr>
          <w:ilvl w:val="0"/>
          <w:numId w:val="4"/>
        </w:numPr>
        <w:spacing w:line="360" w:lineRule="auto"/>
        <w:ind w:leftChars="0" w:firstLineChars="0" w:hanging="5"/>
      </w:pPr>
      <w:bookmarkStart w:id="18" w:name="_Toc4937"/>
      <w:bookmarkStart w:id="19" w:name="_Toc6693"/>
      <w:bookmarkStart w:id="20" w:name="_Toc2295"/>
      <w:bookmarkStart w:id="21" w:name="_Toc9926"/>
      <w:bookmarkStart w:id="22" w:name="_Toc20838"/>
      <w:r>
        <w:rPr>
          <w:rFonts w:hint="eastAsia"/>
        </w:rPr>
        <w:t>电磁兼容</w:t>
      </w:r>
      <w:bookmarkEnd w:id="18"/>
      <w:bookmarkEnd w:id="19"/>
      <w:bookmarkEnd w:id="20"/>
      <w:bookmarkEnd w:id="21"/>
      <w:r>
        <w:rPr>
          <w:rFonts w:hint="eastAsia"/>
        </w:rPr>
        <w:t>要求</w:t>
      </w:r>
      <w:bookmarkEnd w:id="22"/>
    </w:p>
    <w:p w:rsidR="001850B9" w:rsidRDefault="001850B9" w:rsidP="001850B9">
      <w:pPr>
        <w:numPr>
          <w:ilvl w:val="0"/>
          <w:numId w:val="11"/>
        </w:numPr>
        <w:spacing w:line="360" w:lineRule="auto"/>
        <w:ind w:firstLineChars="200" w:firstLine="420"/>
      </w:pPr>
      <w:r>
        <w:rPr>
          <w:rFonts w:hint="eastAsia"/>
        </w:rPr>
        <w:t>灯具的无线电骚扰特性应符合</w:t>
      </w:r>
      <w:r>
        <w:rPr>
          <w:rFonts w:hint="eastAsia"/>
        </w:rPr>
        <w:t>GB 17743</w:t>
      </w:r>
      <w:r>
        <w:rPr>
          <w:rFonts w:hint="eastAsia"/>
        </w:rPr>
        <w:t>的要求。</w:t>
      </w:r>
    </w:p>
    <w:p w:rsidR="001850B9" w:rsidRDefault="001850B9" w:rsidP="001850B9">
      <w:pPr>
        <w:numPr>
          <w:ilvl w:val="0"/>
          <w:numId w:val="11"/>
        </w:numPr>
        <w:spacing w:line="360" w:lineRule="auto"/>
        <w:ind w:firstLineChars="200" w:firstLine="420"/>
      </w:pPr>
      <w:r>
        <w:rPr>
          <w:rFonts w:hint="eastAsia"/>
        </w:rPr>
        <w:t>灯具电磁兼容抗扰度应符合</w:t>
      </w:r>
      <w:r>
        <w:rPr>
          <w:rFonts w:hint="eastAsia"/>
        </w:rPr>
        <w:t xml:space="preserve">GB/T 18595 </w:t>
      </w:r>
      <w:r>
        <w:rPr>
          <w:rFonts w:hint="eastAsia"/>
        </w:rPr>
        <w:t>的要求。</w:t>
      </w:r>
    </w:p>
    <w:p w:rsidR="001850B9" w:rsidRDefault="001850B9" w:rsidP="001850B9">
      <w:pPr>
        <w:numPr>
          <w:ilvl w:val="0"/>
          <w:numId w:val="11"/>
        </w:numPr>
        <w:spacing w:line="360" w:lineRule="auto"/>
        <w:ind w:firstLineChars="200" w:firstLine="420"/>
      </w:pPr>
      <w:r>
        <w:rPr>
          <w:rFonts w:hint="eastAsia"/>
        </w:rPr>
        <w:t>灯具的输入电流谐波应符合</w:t>
      </w:r>
      <w:r>
        <w:rPr>
          <w:rFonts w:hint="eastAsia"/>
        </w:rPr>
        <w:t>GB l7625.1</w:t>
      </w:r>
      <w:r>
        <w:rPr>
          <w:rFonts w:hint="eastAsia"/>
        </w:rPr>
        <w:t>的要求。</w:t>
      </w:r>
    </w:p>
    <w:p w:rsidR="001850B9" w:rsidRDefault="001850B9" w:rsidP="001850B9">
      <w:pPr>
        <w:numPr>
          <w:ilvl w:val="0"/>
          <w:numId w:val="11"/>
        </w:numPr>
        <w:spacing w:line="360" w:lineRule="auto"/>
        <w:ind w:firstLineChars="200" w:firstLine="420"/>
      </w:pPr>
      <w:r>
        <w:rPr>
          <w:rFonts w:hint="eastAsia"/>
        </w:rPr>
        <w:t>LED</w:t>
      </w:r>
      <w:r>
        <w:rPr>
          <w:rFonts w:hint="eastAsia"/>
        </w:rPr>
        <w:t>电子控制装置应采用高压输出的</w:t>
      </w:r>
      <w:r>
        <w:rPr>
          <w:rFonts w:hint="eastAsia"/>
        </w:rPr>
        <w:t>LED</w:t>
      </w:r>
      <w:r>
        <w:rPr>
          <w:rFonts w:hint="eastAsia"/>
        </w:rPr>
        <w:t>电子控制装置，输出电流不超过</w:t>
      </w:r>
      <w:r>
        <w:rPr>
          <w:rFonts w:hint="eastAsia"/>
        </w:rPr>
        <w:t>1.5A</w:t>
      </w:r>
      <w:r>
        <w:rPr>
          <w:rFonts w:hint="eastAsia"/>
        </w:rPr>
        <w:t>。并应符合</w:t>
      </w:r>
      <w:r>
        <w:rPr>
          <w:rFonts w:hint="eastAsia"/>
        </w:rPr>
        <w:t>GB 19510.14</w:t>
      </w:r>
      <w:r>
        <w:rPr>
          <w:rFonts w:hint="eastAsia"/>
        </w:rPr>
        <w:t>的规定。</w:t>
      </w:r>
    </w:p>
    <w:p w:rsidR="001850B9" w:rsidRDefault="001850B9" w:rsidP="001850B9">
      <w:pPr>
        <w:numPr>
          <w:ilvl w:val="0"/>
          <w:numId w:val="11"/>
        </w:numPr>
        <w:spacing w:line="360" w:lineRule="auto"/>
        <w:ind w:firstLineChars="200" w:firstLine="420"/>
      </w:pPr>
      <w:r>
        <w:rPr>
          <w:rFonts w:hint="eastAsia"/>
        </w:rPr>
        <w:t>LED</w:t>
      </w:r>
      <w:r>
        <w:rPr>
          <w:rFonts w:hint="eastAsia"/>
        </w:rPr>
        <w:t>灯具的蓝光控制应符合</w:t>
      </w:r>
      <w:r>
        <w:rPr>
          <w:rFonts w:hint="eastAsia"/>
        </w:rPr>
        <w:t>GB 7000.1</w:t>
      </w:r>
      <w:r>
        <w:rPr>
          <w:rFonts w:hint="eastAsia"/>
        </w:rPr>
        <w:t>的规定。</w:t>
      </w:r>
    </w:p>
    <w:p w:rsidR="001850B9" w:rsidRDefault="001850B9" w:rsidP="001850B9">
      <w:pPr>
        <w:pStyle w:val="3"/>
        <w:numPr>
          <w:ilvl w:val="0"/>
          <w:numId w:val="4"/>
        </w:numPr>
        <w:spacing w:line="360" w:lineRule="auto"/>
        <w:ind w:leftChars="0" w:firstLineChars="0" w:hanging="5"/>
      </w:pPr>
      <w:bookmarkStart w:id="23" w:name="_Toc28959"/>
      <w:r>
        <w:rPr>
          <w:rFonts w:hint="eastAsia"/>
        </w:rPr>
        <w:t>灯具寿命、光衰、散热等要求</w:t>
      </w:r>
      <w:bookmarkEnd w:id="23"/>
    </w:p>
    <w:p w:rsidR="001850B9" w:rsidRDefault="001850B9" w:rsidP="001850B9">
      <w:pPr>
        <w:numPr>
          <w:ilvl w:val="0"/>
          <w:numId w:val="12"/>
        </w:numPr>
        <w:spacing w:line="360" w:lineRule="auto"/>
        <w:ind w:firstLineChars="200" w:firstLine="420"/>
      </w:pPr>
      <w:r>
        <w:rPr>
          <w:rFonts w:hint="eastAsia"/>
        </w:rPr>
        <w:t>灯的光源寿命不低于</w:t>
      </w:r>
      <w:r>
        <w:rPr>
          <w:rFonts w:hint="eastAsia"/>
        </w:rPr>
        <w:t>5</w:t>
      </w:r>
      <w:r>
        <w:rPr>
          <w:rFonts w:hint="eastAsia"/>
        </w:rPr>
        <w:t>万小时。灯具的平均寿命应不低于</w:t>
      </w:r>
      <w:r>
        <w:rPr>
          <w:rFonts w:hint="eastAsia"/>
        </w:rPr>
        <w:t>3</w:t>
      </w:r>
      <w:r>
        <w:rPr>
          <w:rFonts w:hint="eastAsia"/>
        </w:rPr>
        <w:t>万小时。</w:t>
      </w:r>
    </w:p>
    <w:p w:rsidR="001850B9" w:rsidRDefault="001850B9" w:rsidP="001850B9">
      <w:pPr>
        <w:numPr>
          <w:ilvl w:val="0"/>
          <w:numId w:val="12"/>
        </w:numPr>
        <w:spacing w:line="360" w:lineRule="auto"/>
        <w:ind w:firstLineChars="131" w:firstLine="421"/>
        <w:rPr>
          <w:b/>
          <w:bCs/>
          <w:sz w:val="32"/>
          <w:szCs w:val="32"/>
        </w:rPr>
      </w:pPr>
      <w:r>
        <w:rPr>
          <w:rFonts w:hint="eastAsia"/>
          <w:b/>
          <w:bCs/>
          <w:sz w:val="32"/>
          <w:szCs w:val="32"/>
        </w:rPr>
        <w:t>灯在燃点</w:t>
      </w:r>
      <w:r>
        <w:rPr>
          <w:rFonts w:hint="eastAsia"/>
          <w:b/>
          <w:bCs/>
          <w:sz w:val="32"/>
          <w:szCs w:val="32"/>
        </w:rPr>
        <w:t>3</w:t>
      </w:r>
      <w:r>
        <w:rPr>
          <w:rFonts w:hint="eastAsia"/>
          <w:b/>
          <w:bCs/>
          <w:sz w:val="32"/>
          <w:szCs w:val="32"/>
        </w:rPr>
        <w:t>千小时时，其光通维持率应不低于</w:t>
      </w:r>
      <w:r>
        <w:rPr>
          <w:rFonts w:hint="eastAsia"/>
          <w:b/>
          <w:bCs/>
          <w:sz w:val="32"/>
          <w:szCs w:val="32"/>
        </w:rPr>
        <w:t>96%</w:t>
      </w:r>
      <w:r>
        <w:rPr>
          <w:rFonts w:hint="eastAsia"/>
          <w:b/>
          <w:bCs/>
          <w:sz w:val="32"/>
          <w:szCs w:val="32"/>
        </w:rPr>
        <w:t>；在燃点</w:t>
      </w:r>
      <w:r>
        <w:rPr>
          <w:rFonts w:hint="eastAsia"/>
          <w:b/>
          <w:bCs/>
          <w:sz w:val="32"/>
          <w:szCs w:val="32"/>
        </w:rPr>
        <w:t>6</w:t>
      </w:r>
      <w:r>
        <w:rPr>
          <w:rFonts w:hint="eastAsia"/>
          <w:b/>
          <w:bCs/>
          <w:sz w:val="32"/>
          <w:szCs w:val="32"/>
        </w:rPr>
        <w:t>千小时时，其光通维持率应不低于</w:t>
      </w:r>
      <w:r>
        <w:rPr>
          <w:rFonts w:hint="eastAsia"/>
          <w:b/>
          <w:bCs/>
          <w:sz w:val="32"/>
          <w:szCs w:val="32"/>
        </w:rPr>
        <w:t>92%</w:t>
      </w:r>
      <w:r>
        <w:rPr>
          <w:rFonts w:hint="eastAsia"/>
          <w:b/>
          <w:bCs/>
          <w:sz w:val="32"/>
          <w:szCs w:val="32"/>
        </w:rPr>
        <w:t>。</w:t>
      </w:r>
    </w:p>
    <w:p w:rsidR="001850B9" w:rsidRDefault="001850B9" w:rsidP="001850B9">
      <w:pPr>
        <w:numPr>
          <w:ilvl w:val="0"/>
          <w:numId w:val="12"/>
        </w:numPr>
        <w:spacing w:line="360" w:lineRule="auto"/>
        <w:ind w:firstLineChars="200" w:firstLine="420"/>
      </w:pPr>
      <w:r>
        <w:rPr>
          <w:rFonts w:hint="eastAsia"/>
        </w:rPr>
        <w:t>灯的初始光通量（灯具入库或到达安装现场的时间点）可由制造商或销售商标称，但其实测值不得低于标称值的</w:t>
      </w:r>
      <w:r>
        <w:rPr>
          <w:rFonts w:hint="eastAsia"/>
        </w:rPr>
        <w:t>95%</w:t>
      </w:r>
      <w:r>
        <w:rPr>
          <w:rFonts w:hint="eastAsia"/>
        </w:rPr>
        <w:t>，不得高于标称值的</w:t>
      </w:r>
      <w:r>
        <w:rPr>
          <w:rFonts w:hint="eastAsia"/>
        </w:rPr>
        <w:t>105%</w:t>
      </w:r>
      <w:r>
        <w:rPr>
          <w:rFonts w:hint="eastAsia"/>
        </w:rPr>
        <w:t>。</w:t>
      </w:r>
    </w:p>
    <w:p w:rsidR="001850B9" w:rsidRDefault="001850B9" w:rsidP="001850B9">
      <w:pPr>
        <w:numPr>
          <w:ilvl w:val="0"/>
          <w:numId w:val="12"/>
        </w:numPr>
        <w:spacing w:line="360" w:lineRule="auto"/>
        <w:ind w:firstLineChars="200" w:firstLine="420"/>
      </w:pPr>
      <w:r>
        <w:rPr>
          <w:rFonts w:hint="eastAsia"/>
        </w:rPr>
        <w:t>所有</w:t>
      </w:r>
      <w:r>
        <w:rPr>
          <w:rFonts w:hint="eastAsia"/>
        </w:rPr>
        <w:t>LED</w:t>
      </w:r>
      <w:r>
        <w:rPr>
          <w:rFonts w:hint="eastAsia"/>
        </w:rPr>
        <w:t>灯具外壳温度满载负荷两小时候后，温度升高不大于</w:t>
      </w:r>
      <w:r>
        <w:rPr>
          <w:rFonts w:hint="eastAsia"/>
        </w:rPr>
        <w:t>30</w:t>
      </w:r>
      <w:r>
        <w:rPr>
          <w:rFonts w:hint="eastAsia"/>
        </w:rPr>
        <w:t>℃。现场安装后抽检灯具的外壳温度。芯片引脚满载两小时后，温度升高不大于</w:t>
      </w:r>
      <w:r>
        <w:rPr>
          <w:rFonts w:hint="eastAsia"/>
        </w:rPr>
        <w:t>60</w:t>
      </w:r>
      <w:r>
        <w:rPr>
          <w:rFonts w:hint="eastAsia"/>
        </w:rPr>
        <w:t>℃。</w:t>
      </w:r>
    </w:p>
    <w:p w:rsidR="001850B9" w:rsidRDefault="001850B9" w:rsidP="001850B9">
      <w:pPr>
        <w:pStyle w:val="2"/>
        <w:numPr>
          <w:ilvl w:val="0"/>
          <w:numId w:val="2"/>
        </w:numPr>
        <w:spacing w:line="360" w:lineRule="auto"/>
      </w:pPr>
      <w:bookmarkStart w:id="24" w:name="_Toc11963"/>
      <w:bookmarkStart w:id="25" w:name="_Toc24646"/>
      <w:r>
        <w:rPr>
          <w:rFonts w:hint="eastAsia"/>
        </w:rPr>
        <w:lastRenderedPageBreak/>
        <w:t>灯具附属开关电源（驱动电源）技术通则</w:t>
      </w:r>
      <w:bookmarkEnd w:id="24"/>
    </w:p>
    <w:p w:rsidR="001850B9" w:rsidRDefault="001850B9" w:rsidP="001850B9">
      <w:pPr>
        <w:pStyle w:val="3"/>
        <w:numPr>
          <w:ilvl w:val="0"/>
          <w:numId w:val="13"/>
        </w:numPr>
        <w:spacing w:line="360" w:lineRule="auto"/>
        <w:ind w:leftChars="0" w:firstLineChars="0" w:hanging="5"/>
      </w:pPr>
      <w:bookmarkStart w:id="26" w:name="_Toc30970"/>
      <w:r>
        <w:rPr>
          <w:rFonts w:hint="eastAsia"/>
        </w:rPr>
        <w:t>说明</w:t>
      </w:r>
      <w:bookmarkEnd w:id="26"/>
    </w:p>
    <w:p w:rsidR="001850B9" w:rsidRDefault="001850B9" w:rsidP="001850B9">
      <w:pPr>
        <w:spacing w:line="360" w:lineRule="auto"/>
        <w:ind w:firstLineChars="139" w:firstLine="419"/>
        <w:rPr>
          <w:b/>
          <w:bCs/>
          <w:sz w:val="30"/>
          <w:szCs w:val="30"/>
          <w:u w:val="single"/>
        </w:rPr>
      </w:pPr>
      <w:r>
        <w:rPr>
          <w:rFonts w:hint="eastAsia"/>
          <w:b/>
          <w:bCs/>
          <w:sz w:val="30"/>
          <w:szCs w:val="30"/>
          <w:u w:val="single"/>
        </w:rPr>
        <w:t>灯具必须按照采购单位要求，提供全部驱动电源，价格含在灯具中。</w:t>
      </w:r>
    </w:p>
    <w:p w:rsidR="001850B9" w:rsidRDefault="001850B9" w:rsidP="001850B9">
      <w:pPr>
        <w:spacing w:line="360" w:lineRule="auto"/>
        <w:ind w:firstLineChars="200" w:firstLine="420"/>
      </w:pPr>
      <w:r>
        <w:rPr>
          <w:rFonts w:hint="eastAsia"/>
        </w:rPr>
        <w:t>所有灯具附属驱动电源的深化设计、相关参数按照下表执行。</w:t>
      </w:r>
    </w:p>
    <w:tbl>
      <w:tblPr>
        <w:tblW w:w="7738"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60"/>
        <w:gridCol w:w="1369"/>
        <w:gridCol w:w="5809"/>
      </w:tblGrid>
      <w:tr w:rsidR="001850B9" w:rsidTr="009E1EFC">
        <w:trPr>
          <w:trHeight w:val="564"/>
          <w:tblHeader/>
        </w:trPr>
        <w:tc>
          <w:tcPr>
            <w:tcW w:w="560" w:type="dxa"/>
            <w:shd w:val="clear" w:color="auto" w:fill="D8D8D8" w:themeFill="background1" w:themeFillShade="D8"/>
            <w:vAlign w:val="center"/>
          </w:tcPr>
          <w:p w:rsidR="001850B9" w:rsidRDefault="001850B9" w:rsidP="009E1EFC">
            <w:pPr>
              <w:spacing w:line="360" w:lineRule="auto"/>
              <w:jc w:val="center"/>
            </w:pPr>
            <w:r>
              <w:rPr>
                <w:rFonts w:hint="eastAsia"/>
              </w:rPr>
              <w:t>序号</w:t>
            </w:r>
          </w:p>
        </w:tc>
        <w:tc>
          <w:tcPr>
            <w:tcW w:w="1369" w:type="dxa"/>
            <w:shd w:val="clear" w:color="auto" w:fill="D8D8D8" w:themeFill="background1" w:themeFillShade="D8"/>
            <w:vAlign w:val="center"/>
          </w:tcPr>
          <w:p w:rsidR="001850B9" w:rsidRDefault="001850B9" w:rsidP="009E1EFC">
            <w:pPr>
              <w:spacing w:line="360" w:lineRule="auto"/>
              <w:jc w:val="center"/>
            </w:pPr>
            <w:r>
              <w:rPr>
                <w:rFonts w:hint="eastAsia"/>
              </w:rPr>
              <w:t>内容</w:t>
            </w:r>
          </w:p>
        </w:tc>
        <w:tc>
          <w:tcPr>
            <w:tcW w:w="5809" w:type="dxa"/>
            <w:shd w:val="clear" w:color="auto" w:fill="D8D8D8" w:themeFill="background1" w:themeFillShade="D8"/>
            <w:vAlign w:val="center"/>
          </w:tcPr>
          <w:p w:rsidR="001850B9" w:rsidRDefault="001850B9" w:rsidP="009E1EFC">
            <w:pPr>
              <w:spacing w:line="360" w:lineRule="auto"/>
              <w:jc w:val="center"/>
            </w:pPr>
            <w:r>
              <w:rPr>
                <w:rFonts w:hint="eastAsia"/>
              </w:rPr>
              <w:t>要求</w:t>
            </w:r>
          </w:p>
        </w:tc>
      </w:tr>
      <w:tr w:rsidR="001850B9" w:rsidTr="009E1EFC">
        <w:trPr>
          <w:trHeight w:val="564"/>
        </w:trPr>
        <w:tc>
          <w:tcPr>
            <w:tcW w:w="560" w:type="dxa"/>
            <w:shd w:val="clear" w:color="auto" w:fill="auto"/>
            <w:vAlign w:val="center"/>
          </w:tcPr>
          <w:p w:rsidR="001850B9" w:rsidRDefault="001850B9" w:rsidP="009E1EFC">
            <w:pPr>
              <w:spacing w:line="360" w:lineRule="auto"/>
              <w:jc w:val="center"/>
            </w:pPr>
            <w:r>
              <w:rPr>
                <w:rFonts w:hint="eastAsia"/>
              </w:rPr>
              <w:t>1</w:t>
            </w:r>
          </w:p>
        </w:tc>
        <w:tc>
          <w:tcPr>
            <w:tcW w:w="1369" w:type="dxa"/>
            <w:shd w:val="clear" w:color="auto" w:fill="auto"/>
            <w:vAlign w:val="center"/>
          </w:tcPr>
          <w:p w:rsidR="001850B9" w:rsidRDefault="001850B9" w:rsidP="009E1EFC">
            <w:pPr>
              <w:spacing w:line="360" w:lineRule="auto"/>
              <w:jc w:val="center"/>
            </w:pPr>
            <w:r>
              <w:rPr>
                <w:rFonts w:hint="eastAsia"/>
              </w:rPr>
              <w:t>深化设计</w:t>
            </w:r>
          </w:p>
        </w:tc>
        <w:tc>
          <w:tcPr>
            <w:tcW w:w="5809" w:type="dxa"/>
            <w:shd w:val="clear" w:color="auto" w:fill="auto"/>
            <w:vAlign w:val="center"/>
          </w:tcPr>
          <w:p w:rsidR="001850B9" w:rsidRDefault="001850B9" w:rsidP="009E1EFC">
            <w:pPr>
              <w:spacing w:line="360" w:lineRule="auto"/>
              <w:jc w:val="center"/>
            </w:pPr>
            <w:r>
              <w:rPr>
                <w:rFonts w:hint="eastAsia"/>
              </w:rPr>
              <w:t>中标单位根据现场安装条件优化使用方案，由业主最终确认</w:t>
            </w:r>
          </w:p>
        </w:tc>
      </w:tr>
      <w:tr w:rsidR="001850B9" w:rsidTr="009E1EFC">
        <w:trPr>
          <w:trHeight w:val="564"/>
        </w:trPr>
        <w:tc>
          <w:tcPr>
            <w:tcW w:w="560" w:type="dxa"/>
            <w:shd w:val="clear" w:color="auto" w:fill="auto"/>
            <w:vAlign w:val="center"/>
          </w:tcPr>
          <w:p w:rsidR="001850B9" w:rsidRDefault="001850B9" w:rsidP="009E1EFC">
            <w:pPr>
              <w:spacing w:line="360" w:lineRule="auto"/>
              <w:jc w:val="center"/>
            </w:pPr>
            <w:r>
              <w:rPr>
                <w:rFonts w:hint="eastAsia"/>
              </w:rPr>
              <w:t>2</w:t>
            </w:r>
          </w:p>
        </w:tc>
        <w:tc>
          <w:tcPr>
            <w:tcW w:w="1369" w:type="dxa"/>
            <w:shd w:val="clear" w:color="auto" w:fill="auto"/>
            <w:vAlign w:val="center"/>
          </w:tcPr>
          <w:p w:rsidR="001850B9" w:rsidRDefault="001850B9" w:rsidP="009E1EFC">
            <w:pPr>
              <w:spacing w:line="360" w:lineRule="auto"/>
              <w:jc w:val="center"/>
            </w:pPr>
            <w:r>
              <w:rPr>
                <w:rFonts w:hint="eastAsia"/>
              </w:rPr>
              <w:t>型号</w:t>
            </w:r>
          </w:p>
        </w:tc>
        <w:tc>
          <w:tcPr>
            <w:tcW w:w="5809" w:type="dxa"/>
            <w:shd w:val="clear" w:color="auto" w:fill="auto"/>
            <w:vAlign w:val="center"/>
          </w:tcPr>
          <w:p w:rsidR="001850B9" w:rsidRDefault="001850B9" w:rsidP="009E1EFC">
            <w:pPr>
              <w:spacing w:line="360" w:lineRule="auto"/>
              <w:jc w:val="center"/>
            </w:pPr>
            <w:r>
              <w:rPr>
                <w:rFonts w:hint="eastAsia"/>
              </w:rPr>
              <w:t>厂家深化，设计确认</w:t>
            </w:r>
          </w:p>
        </w:tc>
      </w:tr>
      <w:tr w:rsidR="001850B9" w:rsidTr="009E1EFC">
        <w:trPr>
          <w:trHeight w:val="578"/>
        </w:trPr>
        <w:tc>
          <w:tcPr>
            <w:tcW w:w="560" w:type="dxa"/>
            <w:vMerge w:val="restart"/>
            <w:shd w:val="clear" w:color="auto" w:fill="auto"/>
            <w:vAlign w:val="center"/>
          </w:tcPr>
          <w:p w:rsidR="001850B9" w:rsidRDefault="001850B9" w:rsidP="009E1EFC">
            <w:pPr>
              <w:spacing w:line="360" w:lineRule="auto"/>
              <w:jc w:val="center"/>
            </w:pPr>
            <w:r>
              <w:rPr>
                <w:rFonts w:hint="eastAsia"/>
              </w:rPr>
              <w:t>3</w:t>
            </w:r>
          </w:p>
        </w:tc>
        <w:tc>
          <w:tcPr>
            <w:tcW w:w="1369" w:type="dxa"/>
            <w:vMerge w:val="restart"/>
            <w:shd w:val="clear" w:color="auto" w:fill="auto"/>
            <w:vAlign w:val="center"/>
          </w:tcPr>
          <w:p w:rsidR="001850B9" w:rsidRDefault="001850B9" w:rsidP="009E1EFC">
            <w:pPr>
              <w:spacing w:line="360" w:lineRule="auto"/>
              <w:jc w:val="center"/>
            </w:pPr>
            <w:r>
              <w:rPr>
                <w:rFonts w:hint="eastAsia"/>
              </w:rPr>
              <w:t>输出属性</w:t>
            </w:r>
          </w:p>
        </w:tc>
        <w:tc>
          <w:tcPr>
            <w:tcW w:w="5809" w:type="dxa"/>
            <w:shd w:val="clear" w:color="auto" w:fill="auto"/>
            <w:vAlign w:val="center"/>
          </w:tcPr>
          <w:p w:rsidR="001850B9" w:rsidRDefault="001850B9" w:rsidP="009E1EFC">
            <w:pPr>
              <w:spacing w:line="360" w:lineRule="auto"/>
              <w:jc w:val="center"/>
            </w:pPr>
            <w:r>
              <w:rPr>
                <w:rFonts w:hint="eastAsia"/>
              </w:rPr>
              <w:t>详细参数输入电压标明为</w:t>
            </w:r>
            <w:r>
              <w:rPr>
                <w:rFonts w:hint="eastAsia"/>
              </w:rPr>
              <w:t>220V</w:t>
            </w:r>
            <w:r>
              <w:rPr>
                <w:rFonts w:hint="eastAsia"/>
              </w:rPr>
              <w:t>的灯具为内置驱动电源。</w:t>
            </w:r>
          </w:p>
        </w:tc>
      </w:tr>
      <w:tr w:rsidR="001850B9" w:rsidTr="009E1EFC">
        <w:trPr>
          <w:trHeight w:val="1046"/>
        </w:trPr>
        <w:tc>
          <w:tcPr>
            <w:tcW w:w="560" w:type="dxa"/>
            <w:vMerge/>
            <w:shd w:val="clear" w:color="auto" w:fill="auto"/>
            <w:vAlign w:val="center"/>
          </w:tcPr>
          <w:p w:rsidR="001850B9" w:rsidRDefault="001850B9" w:rsidP="009E1EFC">
            <w:pPr>
              <w:spacing w:line="360" w:lineRule="auto"/>
              <w:jc w:val="center"/>
            </w:pPr>
          </w:p>
        </w:tc>
        <w:tc>
          <w:tcPr>
            <w:tcW w:w="1369" w:type="dxa"/>
            <w:vMerge/>
            <w:shd w:val="clear" w:color="auto" w:fill="auto"/>
            <w:vAlign w:val="center"/>
          </w:tcPr>
          <w:p w:rsidR="001850B9" w:rsidRDefault="001850B9" w:rsidP="009E1EFC">
            <w:pPr>
              <w:spacing w:line="360" w:lineRule="auto"/>
              <w:jc w:val="center"/>
            </w:pPr>
          </w:p>
        </w:tc>
        <w:tc>
          <w:tcPr>
            <w:tcW w:w="5809" w:type="dxa"/>
            <w:shd w:val="clear" w:color="auto" w:fill="auto"/>
            <w:vAlign w:val="center"/>
          </w:tcPr>
          <w:p w:rsidR="001850B9" w:rsidRDefault="001850B9" w:rsidP="009E1EFC">
            <w:pPr>
              <w:spacing w:line="360" w:lineRule="auto"/>
              <w:jc w:val="center"/>
            </w:pPr>
            <w:r>
              <w:rPr>
                <w:rFonts w:hint="eastAsia"/>
              </w:rPr>
              <w:t>工作电压为安全电压（≤</w:t>
            </w:r>
            <w:r>
              <w:rPr>
                <w:rFonts w:hint="eastAsia"/>
              </w:rPr>
              <w:t>36V</w:t>
            </w:r>
            <w:r>
              <w:rPr>
                <w:rFonts w:hint="eastAsia"/>
              </w:rPr>
              <w:t>）的灯具，有明暗及动态变化的灯具，必须采用“普通驱动电源”外置驱动。</w:t>
            </w:r>
          </w:p>
        </w:tc>
      </w:tr>
      <w:tr w:rsidR="001850B9" w:rsidTr="009E1EFC">
        <w:trPr>
          <w:trHeight w:val="1438"/>
        </w:trPr>
        <w:tc>
          <w:tcPr>
            <w:tcW w:w="560" w:type="dxa"/>
            <w:vMerge/>
            <w:shd w:val="clear" w:color="auto" w:fill="auto"/>
            <w:vAlign w:val="center"/>
          </w:tcPr>
          <w:p w:rsidR="001850B9" w:rsidRDefault="001850B9" w:rsidP="009E1EFC">
            <w:pPr>
              <w:spacing w:line="360" w:lineRule="auto"/>
              <w:jc w:val="center"/>
            </w:pPr>
          </w:p>
        </w:tc>
        <w:tc>
          <w:tcPr>
            <w:tcW w:w="1369" w:type="dxa"/>
            <w:vMerge/>
            <w:shd w:val="clear" w:color="auto" w:fill="auto"/>
            <w:vAlign w:val="center"/>
          </w:tcPr>
          <w:p w:rsidR="001850B9" w:rsidRDefault="001850B9" w:rsidP="009E1EFC">
            <w:pPr>
              <w:spacing w:line="360" w:lineRule="auto"/>
              <w:jc w:val="center"/>
            </w:pPr>
          </w:p>
        </w:tc>
        <w:tc>
          <w:tcPr>
            <w:tcW w:w="5809" w:type="dxa"/>
            <w:shd w:val="clear" w:color="auto" w:fill="auto"/>
            <w:vAlign w:val="center"/>
          </w:tcPr>
          <w:p w:rsidR="001850B9" w:rsidRDefault="001850B9" w:rsidP="009E1EFC">
            <w:pPr>
              <w:spacing w:line="360" w:lineRule="auto"/>
              <w:jc w:val="center"/>
            </w:pPr>
            <w:r>
              <w:rPr>
                <w:rFonts w:hint="eastAsia"/>
              </w:rPr>
              <w:t>工作电压为安全电压（≤</w:t>
            </w:r>
            <w:r>
              <w:rPr>
                <w:rFonts w:hint="eastAsia"/>
              </w:rPr>
              <w:t>36V</w:t>
            </w:r>
            <w:r>
              <w:rPr>
                <w:rFonts w:hint="eastAsia"/>
              </w:rPr>
              <w:t>）的灯具，没有明暗及动态变化、必须采用“电箱式调压电源”。若使用恒压输出电源，需经采购单位认可。</w:t>
            </w:r>
          </w:p>
        </w:tc>
      </w:tr>
      <w:tr w:rsidR="001850B9" w:rsidTr="009E1EFC">
        <w:trPr>
          <w:trHeight w:val="564"/>
        </w:trPr>
        <w:tc>
          <w:tcPr>
            <w:tcW w:w="560" w:type="dxa"/>
            <w:shd w:val="clear" w:color="auto" w:fill="auto"/>
            <w:vAlign w:val="center"/>
          </w:tcPr>
          <w:p w:rsidR="001850B9" w:rsidRDefault="001850B9" w:rsidP="009E1EFC">
            <w:pPr>
              <w:spacing w:line="360" w:lineRule="auto"/>
              <w:jc w:val="center"/>
            </w:pPr>
            <w:r>
              <w:rPr>
                <w:rFonts w:hint="eastAsia"/>
              </w:rPr>
              <w:t>4</w:t>
            </w:r>
          </w:p>
        </w:tc>
        <w:tc>
          <w:tcPr>
            <w:tcW w:w="1369" w:type="dxa"/>
            <w:shd w:val="clear" w:color="auto" w:fill="auto"/>
            <w:vAlign w:val="center"/>
          </w:tcPr>
          <w:p w:rsidR="001850B9" w:rsidRDefault="001850B9" w:rsidP="009E1EFC">
            <w:pPr>
              <w:spacing w:line="360" w:lineRule="auto"/>
              <w:jc w:val="center"/>
            </w:pPr>
            <w:r>
              <w:rPr>
                <w:rFonts w:hint="eastAsia"/>
              </w:rPr>
              <w:t>功率</w:t>
            </w:r>
          </w:p>
        </w:tc>
        <w:tc>
          <w:tcPr>
            <w:tcW w:w="5809" w:type="dxa"/>
            <w:shd w:val="clear" w:color="auto" w:fill="auto"/>
            <w:vAlign w:val="center"/>
          </w:tcPr>
          <w:p w:rsidR="001850B9" w:rsidRDefault="001850B9" w:rsidP="009E1EFC">
            <w:pPr>
              <w:spacing w:line="360" w:lineRule="auto"/>
              <w:jc w:val="center"/>
            </w:pPr>
            <w:r>
              <w:rPr>
                <w:rFonts w:hint="eastAsia"/>
              </w:rPr>
              <w:t>根据现场合理配置</w:t>
            </w:r>
          </w:p>
        </w:tc>
      </w:tr>
      <w:tr w:rsidR="001850B9" w:rsidTr="009E1EFC">
        <w:trPr>
          <w:trHeight w:val="564"/>
        </w:trPr>
        <w:tc>
          <w:tcPr>
            <w:tcW w:w="560" w:type="dxa"/>
            <w:shd w:val="clear" w:color="auto" w:fill="auto"/>
            <w:vAlign w:val="center"/>
          </w:tcPr>
          <w:p w:rsidR="001850B9" w:rsidRDefault="001850B9" w:rsidP="009E1EFC">
            <w:pPr>
              <w:spacing w:line="360" w:lineRule="auto"/>
              <w:jc w:val="center"/>
            </w:pPr>
            <w:r>
              <w:rPr>
                <w:rFonts w:hint="eastAsia"/>
              </w:rPr>
              <w:t>5</w:t>
            </w:r>
          </w:p>
        </w:tc>
        <w:tc>
          <w:tcPr>
            <w:tcW w:w="1369" w:type="dxa"/>
            <w:shd w:val="clear" w:color="auto" w:fill="auto"/>
            <w:vAlign w:val="center"/>
          </w:tcPr>
          <w:p w:rsidR="001850B9" w:rsidRDefault="001850B9" w:rsidP="009E1EFC">
            <w:pPr>
              <w:spacing w:line="360" w:lineRule="auto"/>
              <w:jc w:val="center"/>
            </w:pPr>
            <w:r>
              <w:rPr>
                <w:rFonts w:hint="eastAsia"/>
              </w:rPr>
              <w:t>功率因数</w:t>
            </w:r>
          </w:p>
        </w:tc>
        <w:tc>
          <w:tcPr>
            <w:tcW w:w="5809" w:type="dxa"/>
            <w:shd w:val="clear" w:color="auto" w:fill="auto"/>
            <w:vAlign w:val="center"/>
          </w:tcPr>
          <w:p w:rsidR="001850B9" w:rsidRDefault="001850B9" w:rsidP="009E1EFC">
            <w:pPr>
              <w:spacing w:line="360" w:lineRule="auto"/>
              <w:jc w:val="center"/>
            </w:pPr>
            <w:r>
              <w:rPr>
                <w:rFonts w:hint="eastAsia"/>
              </w:rPr>
              <w:t>≥</w:t>
            </w:r>
            <w:r>
              <w:rPr>
                <w:rFonts w:hint="eastAsia"/>
              </w:rPr>
              <w:t>0.9</w:t>
            </w:r>
          </w:p>
        </w:tc>
      </w:tr>
      <w:tr w:rsidR="001850B9" w:rsidTr="009E1EFC">
        <w:trPr>
          <w:trHeight w:val="564"/>
        </w:trPr>
        <w:tc>
          <w:tcPr>
            <w:tcW w:w="560" w:type="dxa"/>
            <w:shd w:val="clear" w:color="auto" w:fill="auto"/>
            <w:vAlign w:val="center"/>
          </w:tcPr>
          <w:p w:rsidR="001850B9" w:rsidRDefault="001850B9" w:rsidP="009E1EFC">
            <w:pPr>
              <w:spacing w:line="360" w:lineRule="auto"/>
              <w:jc w:val="center"/>
            </w:pPr>
            <w:r>
              <w:rPr>
                <w:rFonts w:hint="eastAsia"/>
              </w:rPr>
              <w:t>6</w:t>
            </w:r>
          </w:p>
        </w:tc>
        <w:tc>
          <w:tcPr>
            <w:tcW w:w="1369" w:type="dxa"/>
            <w:shd w:val="clear" w:color="auto" w:fill="auto"/>
            <w:vAlign w:val="center"/>
          </w:tcPr>
          <w:p w:rsidR="001850B9" w:rsidRDefault="001850B9" w:rsidP="009E1EFC">
            <w:pPr>
              <w:spacing w:line="360" w:lineRule="auto"/>
              <w:jc w:val="center"/>
            </w:pPr>
            <w:r>
              <w:rPr>
                <w:rFonts w:hint="eastAsia"/>
              </w:rPr>
              <w:t>3C</w:t>
            </w:r>
            <w:r>
              <w:rPr>
                <w:rFonts w:hint="eastAsia"/>
              </w:rPr>
              <w:t>认证</w:t>
            </w:r>
          </w:p>
        </w:tc>
        <w:tc>
          <w:tcPr>
            <w:tcW w:w="5809" w:type="dxa"/>
            <w:shd w:val="clear" w:color="auto" w:fill="auto"/>
            <w:vAlign w:val="center"/>
          </w:tcPr>
          <w:p w:rsidR="001850B9" w:rsidRDefault="001850B9" w:rsidP="009E1EFC">
            <w:pPr>
              <w:spacing w:line="360" w:lineRule="auto"/>
              <w:jc w:val="center"/>
            </w:pPr>
            <w:r>
              <w:rPr>
                <w:rFonts w:hint="eastAsia"/>
              </w:rPr>
              <w:t>必须提供</w:t>
            </w:r>
          </w:p>
        </w:tc>
      </w:tr>
      <w:tr w:rsidR="001850B9" w:rsidTr="009E1EFC">
        <w:trPr>
          <w:trHeight w:val="564"/>
        </w:trPr>
        <w:tc>
          <w:tcPr>
            <w:tcW w:w="560" w:type="dxa"/>
            <w:shd w:val="clear" w:color="auto" w:fill="auto"/>
            <w:vAlign w:val="center"/>
          </w:tcPr>
          <w:p w:rsidR="001850B9" w:rsidRDefault="001850B9" w:rsidP="009E1EFC">
            <w:pPr>
              <w:spacing w:line="360" w:lineRule="auto"/>
              <w:jc w:val="center"/>
            </w:pPr>
            <w:r>
              <w:rPr>
                <w:rFonts w:hint="eastAsia"/>
              </w:rPr>
              <w:t>7</w:t>
            </w:r>
          </w:p>
        </w:tc>
        <w:tc>
          <w:tcPr>
            <w:tcW w:w="1369" w:type="dxa"/>
            <w:shd w:val="clear" w:color="auto" w:fill="auto"/>
            <w:vAlign w:val="center"/>
          </w:tcPr>
          <w:p w:rsidR="001850B9" w:rsidRDefault="001850B9" w:rsidP="009E1EFC">
            <w:pPr>
              <w:spacing w:line="360" w:lineRule="auto"/>
              <w:jc w:val="center"/>
            </w:pPr>
            <w:r>
              <w:rPr>
                <w:rFonts w:hint="eastAsia"/>
              </w:rPr>
              <w:t>效率</w:t>
            </w:r>
          </w:p>
        </w:tc>
        <w:tc>
          <w:tcPr>
            <w:tcW w:w="5809" w:type="dxa"/>
            <w:shd w:val="clear" w:color="auto" w:fill="auto"/>
            <w:vAlign w:val="center"/>
          </w:tcPr>
          <w:p w:rsidR="001850B9" w:rsidRDefault="001850B9" w:rsidP="009E1EFC">
            <w:pPr>
              <w:spacing w:line="360" w:lineRule="auto"/>
              <w:jc w:val="center"/>
            </w:pPr>
            <w:r>
              <w:rPr>
                <w:rFonts w:hint="eastAsia"/>
              </w:rPr>
              <w:t>≥</w:t>
            </w:r>
            <w:r>
              <w:rPr>
                <w:rFonts w:hint="eastAsia"/>
              </w:rPr>
              <w:t>90%</w:t>
            </w:r>
          </w:p>
        </w:tc>
      </w:tr>
      <w:tr w:rsidR="001850B9" w:rsidTr="009E1EFC">
        <w:trPr>
          <w:trHeight w:val="564"/>
        </w:trPr>
        <w:tc>
          <w:tcPr>
            <w:tcW w:w="560" w:type="dxa"/>
            <w:vMerge w:val="restart"/>
            <w:shd w:val="clear" w:color="auto" w:fill="auto"/>
            <w:vAlign w:val="center"/>
          </w:tcPr>
          <w:p w:rsidR="001850B9" w:rsidRDefault="001850B9" w:rsidP="009E1EFC">
            <w:pPr>
              <w:spacing w:line="360" w:lineRule="auto"/>
              <w:jc w:val="center"/>
            </w:pPr>
            <w:r>
              <w:rPr>
                <w:rFonts w:hint="eastAsia"/>
              </w:rPr>
              <w:t>8</w:t>
            </w:r>
          </w:p>
        </w:tc>
        <w:tc>
          <w:tcPr>
            <w:tcW w:w="1369" w:type="dxa"/>
            <w:vMerge w:val="restart"/>
            <w:shd w:val="clear" w:color="auto" w:fill="auto"/>
            <w:vAlign w:val="center"/>
          </w:tcPr>
          <w:p w:rsidR="001850B9" w:rsidRDefault="001850B9" w:rsidP="009E1EFC">
            <w:pPr>
              <w:spacing w:line="360" w:lineRule="auto"/>
              <w:jc w:val="center"/>
            </w:pPr>
            <w:r>
              <w:rPr>
                <w:rFonts w:hint="eastAsia"/>
              </w:rPr>
              <w:t>防护等级</w:t>
            </w:r>
          </w:p>
        </w:tc>
        <w:tc>
          <w:tcPr>
            <w:tcW w:w="5809" w:type="dxa"/>
            <w:shd w:val="clear" w:color="auto" w:fill="auto"/>
            <w:vAlign w:val="center"/>
          </w:tcPr>
          <w:p w:rsidR="001850B9" w:rsidRDefault="001850B9" w:rsidP="009E1EFC">
            <w:pPr>
              <w:spacing w:line="360" w:lineRule="auto"/>
              <w:jc w:val="center"/>
            </w:pPr>
            <w:r>
              <w:rPr>
                <w:rFonts w:hint="eastAsia"/>
              </w:rPr>
              <w:t>输出额定功率≤</w:t>
            </w:r>
            <w:r>
              <w:rPr>
                <w:rFonts w:hint="eastAsia"/>
              </w:rPr>
              <w:t>600W</w:t>
            </w:r>
            <w:r>
              <w:rPr>
                <w:rFonts w:hint="eastAsia"/>
              </w:rPr>
              <w:t>的驱动电源防护等级为</w:t>
            </w:r>
            <w:r>
              <w:rPr>
                <w:rFonts w:hint="eastAsia"/>
              </w:rPr>
              <w:t>IP67</w:t>
            </w:r>
          </w:p>
        </w:tc>
      </w:tr>
      <w:tr w:rsidR="001850B9" w:rsidTr="009E1EFC">
        <w:trPr>
          <w:trHeight w:val="564"/>
        </w:trPr>
        <w:tc>
          <w:tcPr>
            <w:tcW w:w="560" w:type="dxa"/>
            <w:vMerge/>
            <w:shd w:val="clear" w:color="auto" w:fill="auto"/>
            <w:vAlign w:val="center"/>
          </w:tcPr>
          <w:p w:rsidR="001850B9" w:rsidRDefault="001850B9" w:rsidP="009E1EFC">
            <w:pPr>
              <w:spacing w:line="360" w:lineRule="auto"/>
              <w:jc w:val="center"/>
            </w:pPr>
          </w:p>
        </w:tc>
        <w:tc>
          <w:tcPr>
            <w:tcW w:w="1369" w:type="dxa"/>
            <w:vMerge/>
            <w:shd w:val="clear" w:color="auto" w:fill="auto"/>
            <w:vAlign w:val="center"/>
          </w:tcPr>
          <w:p w:rsidR="001850B9" w:rsidRDefault="001850B9" w:rsidP="009E1EFC">
            <w:pPr>
              <w:spacing w:line="360" w:lineRule="auto"/>
              <w:jc w:val="center"/>
            </w:pPr>
          </w:p>
        </w:tc>
        <w:tc>
          <w:tcPr>
            <w:tcW w:w="5809" w:type="dxa"/>
            <w:shd w:val="clear" w:color="auto" w:fill="auto"/>
            <w:vAlign w:val="center"/>
          </w:tcPr>
          <w:p w:rsidR="001850B9" w:rsidRDefault="001850B9" w:rsidP="009E1EFC">
            <w:pPr>
              <w:spacing w:line="360" w:lineRule="auto"/>
              <w:jc w:val="center"/>
            </w:pPr>
            <w:r>
              <w:rPr>
                <w:rFonts w:hint="eastAsia"/>
              </w:rPr>
              <w:t>输出额定功率＞</w:t>
            </w:r>
            <w:r>
              <w:rPr>
                <w:rFonts w:hint="eastAsia"/>
              </w:rPr>
              <w:t>600W</w:t>
            </w:r>
            <w:r>
              <w:rPr>
                <w:rFonts w:hint="eastAsia"/>
              </w:rPr>
              <w:t>的驱动电源为非防水电源</w:t>
            </w:r>
          </w:p>
        </w:tc>
      </w:tr>
      <w:tr w:rsidR="001850B9" w:rsidTr="009E1EFC">
        <w:trPr>
          <w:trHeight w:val="584"/>
        </w:trPr>
        <w:tc>
          <w:tcPr>
            <w:tcW w:w="560" w:type="dxa"/>
            <w:shd w:val="clear" w:color="auto" w:fill="auto"/>
            <w:vAlign w:val="center"/>
          </w:tcPr>
          <w:p w:rsidR="001850B9" w:rsidRDefault="001850B9" w:rsidP="009E1EFC">
            <w:pPr>
              <w:spacing w:line="360" w:lineRule="auto"/>
              <w:jc w:val="center"/>
            </w:pPr>
            <w:r>
              <w:rPr>
                <w:rFonts w:hint="eastAsia"/>
              </w:rPr>
              <w:t>9</w:t>
            </w:r>
          </w:p>
        </w:tc>
        <w:tc>
          <w:tcPr>
            <w:tcW w:w="1369" w:type="dxa"/>
            <w:shd w:val="clear" w:color="auto" w:fill="auto"/>
            <w:vAlign w:val="center"/>
          </w:tcPr>
          <w:p w:rsidR="001850B9" w:rsidRDefault="001850B9" w:rsidP="009E1EFC">
            <w:pPr>
              <w:spacing w:line="360" w:lineRule="auto"/>
              <w:jc w:val="center"/>
            </w:pPr>
            <w:r>
              <w:rPr>
                <w:rFonts w:hint="eastAsia"/>
              </w:rPr>
              <w:t>电磁兼容</w:t>
            </w:r>
          </w:p>
        </w:tc>
        <w:tc>
          <w:tcPr>
            <w:tcW w:w="5809" w:type="dxa"/>
            <w:shd w:val="clear" w:color="auto" w:fill="auto"/>
            <w:vAlign w:val="center"/>
          </w:tcPr>
          <w:p w:rsidR="001850B9" w:rsidRDefault="001850B9" w:rsidP="009E1EFC">
            <w:pPr>
              <w:spacing w:line="360" w:lineRule="auto"/>
              <w:jc w:val="center"/>
            </w:pPr>
            <w:r>
              <w:rPr>
                <w:rFonts w:hint="eastAsia"/>
              </w:rPr>
              <w:t>合格</w:t>
            </w:r>
          </w:p>
        </w:tc>
      </w:tr>
    </w:tbl>
    <w:p w:rsidR="001850B9" w:rsidRDefault="001850B9" w:rsidP="001850B9">
      <w:pPr>
        <w:pStyle w:val="3"/>
        <w:numPr>
          <w:ilvl w:val="0"/>
          <w:numId w:val="13"/>
        </w:numPr>
        <w:spacing w:line="360" w:lineRule="auto"/>
        <w:ind w:leftChars="0" w:firstLineChars="0" w:hanging="5"/>
      </w:pPr>
      <w:bookmarkStart w:id="27" w:name="_Toc7509"/>
      <w:r>
        <w:rPr>
          <w:rFonts w:hint="eastAsia"/>
        </w:rPr>
        <w:t>普通驱动电源技术要求</w:t>
      </w:r>
      <w:bookmarkEnd w:id="27"/>
    </w:p>
    <w:p w:rsidR="001850B9" w:rsidRDefault="001850B9" w:rsidP="001850B9">
      <w:pPr>
        <w:numPr>
          <w:ilvl w:val="0"/>
          <w:numId w:val="14"/>
        </w:numPr>
        <w:spacing w:line="360" w:lineRule="auto"/>
        <w:ind w:firstLineChars="200" w:firstLine="420"/>
      </w:pPr>
      <w:r>
        <w:rPr>
          <w:rFonts w:hint="eastAsia"/>
        </w:rPr>
        <w:t>普通驱动电源品牌限定使用“台湾明纬”、“茂硕”、“英飞特”、“欧司朗（</w:t>
      </w:r>
      <w:r>
        <w:rPr>
          <w:rFonts w:hint="eastAsia"/>
        </w:rPr>
        <w:t>OSRAM</w:t>
      </w:r>
      <w:r>
        <w:rPr>
          <w:rFonts w:hint="eastAsia"/>
        </w:rPr>
        <w:t>）”、“飞利浦（</w:t>
      </w:r>
      <w:r>
        <w:rPr>
          <w:rFonts w:hint="eastAsia"/>
        </w:rPr>
        <w:t>PHILIPS</w:t>
      </w:r>
      <w:r>
        <w:rPr>
          <w:rFonts w:hint="eastAsia"/>
        </w:rPr>
        <w:t>）”；</w:t>
      </w:r>
    </w:p>
    <w:p w:rsidR="001850B9" w:rsidRDefault="001850B9" w:rsidP="001850B9">
      <w:pPr>
        <w:numPr>
          <w:ilvl w:val="0"/>
          <w:numId w:val="14"/>
        </w:numPr>
        <w:spacing w:line="360" w:lineRule="auto"/>
        <w:ind w:firstLineChars="200" w:firstLine="420"/>
      </w:pPr>
      <w:r>
        <w:rPr>
          <w:rFonts w:hint="eastAsia"/>
        </w:rPr>
        <w:lastRenderedPageBreak/>
        <w:t>详细参数输入电压标明为</w:t>
      </w:r>
      <w:r>
        <w:rPr>
          <w:rFonts w:hint="eastAsia"/>
        </w:rPr>
        <w:t>220V</w:t>
      </w:r>
      <w:r>
        <w:rPr>
          <w:rFonts w:hint="eastAsia"/>
        </w:rPr>
        <w:t>的灯具为内置驱动电源。详细参数未标明输入电压或标明为安全电压（≤</w:t>
      </w:r>
      <w:r>
        <w:rPr>
          <w:rFonts w:hint="eastAsia"/>
        </w:rPr>
        <w:t>36V</w:t>
      </w:r>
      <w:r>
        <w:rPr>
          <w:rFonts w:hint="eastAsia"/>
        </w:rPr>
        <w:t>）的灯具为外置恒压驱动电源集中供电。</w:t>
      </w:r>
    </w:p>
    <w:p w:rsidR="001850B9" w:rsidRDefault="001850B9" w:rsidP="001850B9">
      <w:pPr>
        <w:numPr>
          <w:ilvl w:val="0"/>
          <w:numId w:val="14"/>
        </w:numPr>
        <w:spacing w:line="360" w:lineRule="auto"/>
        <w:ind w:firstLineChars="200" w:firstLine="420"/>
      </w:pPr>
      <w:r>
        <w:rPr>
          <w:rFonts w:hint="eastAsia"/>
        </w:rPr>
        <w:t>电源必须符合国家相关标准。小于</w:t>
      </w:r>
      <w:r>
        <w:rPr>
          <w:rFonts w:hint="eastAsia"/>
        </w:rPr>
        <w:t>70W</w:t>
      </w:r>
      <w:r>
        <w:rPr>
          <w:rFonts w:hint="eastAsia"/>
        </w:rPr>
        <w:t>的灯具必须配置恒压驱动电源。所有</w:t>
      </w:r>
      <w:r>
        <w:rPr>
          <w:rFonts w:hint="eastAsia"/>
        </w:rPr>
        <w:t>LED</w:t>
      </w:r>
      <w:r>
        <w:rPr>
          <w:rFonts w:hint="eastAsia"/>
        </w:rPr>
        <w:t>灯具必须结合现场安装条件配置适当的防水驱动电源（含内置电源），电源功率及数量由业主根据现场安装条件确定，电源的价格含在灯具总价中。电源数量不作为影响灯具价格的因素。根据具体灯具要求配置内置或外置。该电源必须为灯具标配，不得随意更换。</w:t>
      </w:r>
    </w:p>
    <w:p w:rsidR="001850B9" w:rsidRDefault="001850B9" w:rsidP="001850B9">
      <w:pPr>
        <w:numPr>
          <w:ilvl w:val="0"/>
          <w:numId w:val="14"/>
        </w:numPr>
        <w:spacing w:line="360" w:lineRule="auto"/>
        <w:ind w:firstLineChars="200" w:firstLine="420"/>
      </w:pPr>
      <w:r>
        <w:rPr>
          <w:rFonts w:hint="eastAsia"/>
        </w:rPr>
        <w:t>外置驱动电源、内置外露驱动电源应考虑一体式防水和散热。</w:t>
      </w:r>
    </w:p>
    <w:p w:rsidR="001850B9" w:rsidRDefault="001850B9" w:rsidP="001850B9">
      <w:pPr>
        <w:numPr>
          <w:ilvl w:val="0"/>
          <w:numId w:val="14"/>
        </w:numPr>
        <w:spacing w:line="360" w:lineRule="auto"/>
        <w:ind w:firstLineChars="200" w:firstLine="420"/>
      </w:pPr>
      <w:r>
        <w:rPr>
          <w:rFonts w:hint="eastAsia"/>
        </w:rPr>
        <w:t>单颗芯片功率不小于</w:t>
      </w:r>
      <w:r>
        <w:rPr>
          <w:rFonts w:hint="eastAsia"/>
        </w:rPr>
        <w:t>1W</w:t>
      </w:r>
      <w:r>
        <w:rPr>
          <w:rFonts w:hint="eastAsia"/>
        </w:rPr>
        <w:t>的大功率</w:t>
      </w:r>
      <w:r>
        <w:rPr>
          <w:rFonts w:hint="eastAsia"/>
        </w:rPr>
        <w:t>LED</w:t>
      </w:r>
      <w:r>
        <w:rPr>
          <w:rFonts w:hint="eastAsia"/>
        </w:rPr>
        <w:t>灯具电源要有过载过压短路保护，自动温控保护。</w:t>
      </w:r>
    </w:p>
    <w:p w:rsidR="001850B9" w:rsidRDefault="001850B9" w:rsidP="001850B9">
      <w:pPr>
        <w:numPr>
          <w:ilvl w:val="0"/>
          <w:numId w:val="14"/>
        </w:numPr>
        <w:spacing w:line="360" w:lineRule="auto"/>
        <w:ind w:firstLineChars="200" w:firstLine="420"/>
      </w:pPr>
      <w:r>
        <w:rPr>
          <w:rFonts w:hint="eastAsia"/>
        </w:rPr>
        <w:t>外置电源集中供电时，所提供的电源必须满足现场实际安装需要，每个电源的功率根据现场条件，由设计及业主确定。</w:t>
      </w:r>
    </w:p>
    <w:p w:rsidR="001850B9" w:rsidRDefault="001850B9" w:rsidP="001850B9">
      <w:pPr>
        <w:numPr>
          <w:ilvl w:val="0"/>
          <w:numId w:val="14"/>
        </w:numPr>
        <w:spacing w:line="360" w:lineRule="auto"/>
        <w:ind w:firstLineChars="200" w:firstLine="420"/>
      </w:pPr>
      <w:r>
        <w:rPr>
          <w:rFonts w:hint="eastAsia"/>
        </w:rPr>
        <w:t>外置驱动电源：输入交流电压</w:t>
      </w:r>
      <w:r>
        <w:rPr>
          <w:rFonts w:hint="eastAsia"/>
        </w:rPr>
        <w:t>220VAC</w:t>
      </w:r>
      <w:r>
        <w:rPr>
          <w:rFonts w:hint="eastAsia"/>
        </w:rPr>
        <w:t>，输出直流电压</w:t>
      </w:r>
      <w:r>
        <w:rPr>
          <w:rFonts w:hint="eastAsia"/>
        </w:rPr>
        <w:t>24V</w:t>
      </w:r>
      <w:r>
        <w:rPr>
          <w:rFonts w:hint="eastAsia"/>
        </w:rPr>
        <w:t>恒压（以灯具技术参数为准）；输入输出引出线长不低于</w:t>
      </w:r>
      <w:r>
        <w:rPr>
          <w:rFonts w:hint="eastAsia"/>
        </w:rPr>
        <w:t>0.3</w:t>
      </w:r>
      <w:r>
        <w:rPr>
          <w:rFonts w:hint="eastAsia"/>
        </w:rPr>
        <w:t>米。防护等级</w:t>
      </w:r>
      <w:r>
        <w:rPr>
          <w:rFonts w:hint="eastAsia"/>
        </w:rPr>
        <w:t>IP67</w:t>
      </w:r>
      <w:r>
        <w:rPr>
          <w:rFonts w:hint="eastAsia"/>
        </w:rPr>
        <w:t>。防雷等级线对线</w:t>
      </w:r>
      <w:r>
        <w:rPr>
          <w:rFonts w:hint="eastAsia"/>
        </w:rPr>
        <w:t>4KV</w:t>
      </w:r>
      <w:r>
        <w:rPr>
          <w:rFonts w:hint="eastAsia"/>
        </w:rPr>
        <w:t>、线对地</w:t>
      </w:r>
      <w:r>
        <w:rPr>
          <w:rFonts w:hint="eastAsia"/>
        </w:rPr>
        <w:t>6KV</w:t>
      </w:r>
      <w:r>
        <w:rPr>
          <w:rFonts w:hint="eastAsia"/>
        </w:rPr>
        <w:t>。无风扇设计，自然风冷。功率小于</w:t>
      </w:r>
      <w:r>
        <w:rPr>
          <w:rFonts w:hint="eastAsia"/>
        </w:rPr>
        <w:t>36W</w:t>
      </w:r>
      <w:r>
        <w:rPr>
          <w:rFonts w:hint="eastAsia"/>
        </w:rPr>
        <w:t>的驱动电源效率不低于</w:t>
      </w:r>
      <w:r>
        <w:rPr>
          <w:rFonts w:hint="eastAsia"/>
        </w:rPr>
        <w:t>85%</w:t>
      </w:r>
      <w:r>
        <w:rPr>
          <w:rFonts w:hint="eastAsia"/>
        </w:rPr>
        <w:t>，功率大于</w:t>
      </w:r>
      <w:r>
        <w:rPr>
          <w:rFonts w:hint="eastAsia"/>
        </w:rPr>
        <w:t>36W</w:t>
      </w:r>
      <w:r>
        <w:rPr>
          <w:rFonts w:hint="eastAsia"/>
        </w:rPr>
        <w:t>的驱动电源效率不低于</w:t>
      </w:r>
      <w:r>
        <w:rPr>
          <w:rFonts w:hint="eastAsia"/>
        </w:rPr>
        <w:t>90%</w:t>
      </w:r>
      <w:r>
        <w:rPr>
          <w:rFonts w:hint="eastAsia"/>
        </w:rPr>
        <w:t>，有短路、过电流、过电压、过温度保护。功率因素不小于</w:t>
      </w:r>
      <w:r>
        <w:rPr>
          <w:rFonts w:hint="eastAsia"/>
        </w:rPr>
        <w:t>90%</w:t>
      </w:r>
      <w:r>
        <w:rPr>
          <w:rFonts w:hint="eastAsia"/>
        </w:rPr>
        <w:t>，安规和电磁兼容符合相关国家、国际标准。</w:t>
      </w:r>
    </w:p>
    <w:p w:rsidR="001850B9" w:rsidRDefault="001850B9" w:rsidP="001850B9">
      <w:pPr>
        <w:numPr>
          <w:ilvl w:val="0"/>
          <w:numId w:val="14"/>
        </w:numPr>
        <w:spacing w:line="360" w:lineRule="auto"/>
        <w:ind w:firstLineChars="200" w:firstLine="420"/>
      </w:pPr>
      <w:r>
        <w:rPr>
          <w:rFonts w:hint="eastAsia"/>
        </w:rPr>
        <w:t>外置驱动电源在电源箱内设置数量</w:t>
      </w:r>
      <w:r>
        <w:rPr>
          <w:rFonts w:hint="eastAsia"/>
        </w:rPr>
        <w:t>3~6</w:t>
      </w:r>
      <w:r>
        <w:rPr>
          <w:rFonts w:hint="eastAsia"/>
        </w:rPr>
        <w:t>个，在干燥、潮湿、淋雨环境下工作温度为</w:t>
      </w:r>
      <w:r>
        <w:rPr>
          <w:rFonts w:hint="eastAsia"/>
        </w:rPr>
        <w:t>-20</w:t>
      </w:r>
      <w:r>
        <w:rPr>
          <w:rFonts w:hint="eastAsia"/>
        </w:rPr>
        <w:t>℃</w:t>
      </w:r>
      <w:r>
        <w:rPr>
          <w:rFonts w:hint="eastAsia"/>
        </w:rPr>
        <w:t>~+60</w:t>
      </w:r>
      <w:r>
        <w:rPr>
          <w:rFonts w:hint="eastAsia"/>
        </w:rPr>
        <w:t>℃，潮湿环境为</w:t>
      </w:r>
      <w:r>
        <w:rPr>
          <w:rFonts w:hint="eastAsia"/>
        </w:rPr>
        <w:t>20~90%RH</w:t>
      </w:r>
      <w:r>
        <w:rPr>
          <w:rFonts w:hint="eastAsia"/>
        </w:rPr>
        <w:t>，质保期不小于</w:t>
      </w:r>
      <w:r>
        <w:rPr>
          <w:rFonts w:hint="eastAsia"/>
        </w:rPr>
        <w:t>5</w:t>
      </w:r>
      <w:r>
        <w:rPr>
          <w:rFonts w:hint="eastAsia"/>
        </w:rPr>
        <w:t>年。</w:t>
      </w:r>
    </w:p>
    <w:p w:rsidR="001850B9" w:rsidRDefault="001850B9" w:rsidP="001850B9">
      <w:pPr>
        <w:pStyle w:val="3"/>
        <w:numPr>
          <w:ilvl w:val="0"/>
          <w:numId w:val="13"/>
        </w:numPr>
        <w:spacing w:line="360" w:lineRule="auto"/>
        <w:ind w:leftChars="0" w:firstLineChars="0" w:hanging="5"/>
      </w:pPr>
      <w:bookmarkStart w:id="28" w:name="_Toc11820"/>
      <w:r>
        <w:rPr>
          <w:rFonts w:hint="eastAsia"/>
        </w:rPr>
        <w:t>电箱式调压电源技术要求</w:t>
      </w:r>
      <w:bookmarkEnd w:id="28"/>
    </w:p>
    <w:p w:rsidR="001850B9" w:rsidRDefault="001850B9" w:rsidP="001850B9">
      <w:pPr>
        <w:numPr>
          <w:ilvl w:val="0"/>
          <w:numId w:val="15"/>
        </w:numPr>
        <w:spacing w:line="360" w:lineRule="auto"/>
        <w:ind w:firstLineChars="200" w:firstLine="420"/>
      </w:pPr>
      <w:r>
        <w:rPr>
          <w:rFonts w:hint="eastAsia"/>
        </w:rPr>
        <w:t>灯具需根据采购单位的要求，配置相应的电箱式调压电源，电源品牌限定使用“台湾明纬”、“茂硕”、“英飞特”、“欧司朗（</w:t>
      </w:r>
      <w:r>
        <w:rPr>
          <w:rFonts w:hint="eastAsia"/>
        </w:rPr>
        <w:t>OSRAM</w:t>
      </w:r>
      <w:r>
        <w:rPr>
          <w:rFonts w:hint="eastAsia"/>
        </w:rPr>
        <w:t>）”、“飞利浦（</w:t>
      </w:r>
      <w:r>
        <w:rPr>
          <w:rFonts w:hint="eastAsia"/>
        </w:rPr>
        <w:t>PHILIPS</w:t>
      </w:r>
      <w:r>
        <w:rPr>
          <w:rFonts w:hint="eastAsia"/>
        </w:rPr>
        <w:t>）”、“三鑫虹”；</w:t>
      </w:r>
    </w:p>
    <w:p w:rsidR="001850B9" w:rsidRDefault="001850B9" w:rsidP="001850B9">
      <w:pPr>
        <w:numPr>
          <w:ilvl w:val="0"/>
          <w:numId w:val="15"/>
        </w:numPr>
        <w:spacing w:line="360" w:lineRule="auto"/>
        <w:ind w:firstLineChars="200" w:firstLine="420"/>
      </w:pPr>
      <w:r>
        <w:rPr>
          <w:rFonts w:hint="eastAsia"/>
        </w:rPr>
        <w:t>功率大于</w:t>
      </w:r>
      <w:r>
        <w:rPr>
          <w:rFonts w:hint="eastAsia"/>
        </w:rPr>
        <w:t>150W</w:t>
      </w:r>
      <w:r>
        <w:rPr>
          <w:rFonts w:hint="eastAsia"/>
        </w:rPr>
        <w:t>。电箱式智能电源。</w:t>
      </w:r>
    </w:p>
    <w:p w:rsidR="001850B9" w:rsidRDefault="001850B9" w:rsidP="001850B9">
      <w:pPr>
        <w:numPr>
          <w:ilvl w:val="0"/>
          <w:numId w:val="15"/>
        </w:numPr>
        <w:spacing w:line="360" w:lineRule="auto"/>
        <w:ind w:firstLineChars="200" w:firstLine="420"/>
      </w:pPr>
      <w:r>
        <w:rPr>
          <w:rFonts w:hint="eastAsia"/>
        </w:rPr>
        <w:t>调节灯具发光亮度；解决长距离拉线所产生的压降问题。</w:t>
      </w:r>
    </w:p>
    <w:p w:rsidR="001850B9" w:rsidRDefault="001850B9" w:rsidP="001850B9">
      <w:pPr>
        <w:numPr>
          <w:ilvl w:val="0"/>
          <w:numId w:val="15"/>
        </w:numPr>
        <w:spacing w:line="360" w:lineRule="auto"/>
        <w:ind w:firstLineChars="200" w:firstLine="420"/>
      </w:pPr>
      <w:r>
        <w:rPr>
          <w:rFonts w:hint="eastAsia"/>
        </w:rPr>
        <w:t>用电更安全，集中式供电，规范工程布线。</w:t>
      </w:r>
    </w:p>
    <w:p w:rsidR="001850B9" w:rsidRDefault="001850B9" w:rsidP="001850B9">
      <w:pPr>
        <w:numPr>
          <w:ilvl w:val="0"/>
          <w:numId w:val="15"/>
        </w:numPr>
        <w:spacing w:line="360" w:lineRule="auto"/>
        <w:ind w:firstLineChars="200" w:firstLine="420"/>
      </w:pPr>
      <w:r>
        <w:rPr>
          <w:rFonts w:hint="eastAsia"/>
        </w:rPr>
        <w:t>电箱式结构，安装方便，无需额外安装电箱或防雨装置；双冷式对流散热结构，大幅度提升散热效率及产品寿命，安全稳定；电箱式结构以及内设缓风风道，更适用于恶劣环境：如沿海多台风地带、东北等多雨雪地带、沙尘暴地区、高山森林地区（蚊虫等）。</w:t>
      </w:r>
    </w:p>
    <w:p w:rsidR="001850B9" w:rsidRDefault="001850B9" w:rsidP="001850B9">
      <w:pPr>
        <w:numPr>
          <w:ilvl w:val="0"/>
          <w:numId w:val="15"/>
        </w:numPr>
        <w:spacing w:line="360" w:lineRule="auto"/>
        <w:ind w:firstLineChars="200" w:firstLine="420"/>
      </w:pPr>
      <w:r>
        <w:rPr>
          <w:rFonts w:hint="eastAsia"/>
        </w:rPr>
        <w:t>智能调压、调光功能，适用于</w:t>
      </w:r>
      <w:r>
        <w:rPr>
          <w:rFonts w:hint="eastAsia"/>
        </w:rPr>
        <w:t>LED</w:t>
      </w:r>
      <w:r>
        <w:rPr>
          <w:rFonts w:hint="eastAsia"/>
        </w:rPr>
        <w:t>标识标牌、广告灯箱、大型户外亮化工程及照明</w:t>
      </w:r>
      <w:r>
        <w:rPr>
          <w:rFonts w:hint="eastAsia"/>
        </w:rPr>
        <w:lastRenderedPageBreak/>
        <w:t>工程。</w:t>
      </w:r>
    </w:p>
    <w:p w:rsidR="001850B9" w:rsidRDefault="001850B9" w:rsidP="001850B9">
      <w:pPr>
        <w:numPr>
          <w:ilvl w:val="0"/>
          <w:numId w:val="15"/>
        </w:numPr>
        <w:spacing w:line="360" w:lineRule="auto"/>
        <w:ind w:firstLineChars="200" w:firstLine="420"/>
      </w:pPr>
      <w:r>
        <w:rPr>
          <w:rFonts w:hint="eastAsia"/>
        </w:rPr>
        <w:t>保护功能齐全：</w:t>
      </w:r>
      <w:r>
        <w:rPr>
          <w:rFonts w:hint="eastAsia"/>
        </w:rPr>
        <w:t>2-5</w:t>
      </w:r>
      <w:r>
        <w:rPr>
          <w:rFonts w:hint="eastAsia"/>
        </w:rPr>
        <w:t>秒的延时检测保护、短路保护、过载保护、过热保护等。</w:t>
      </w:r>
    </w:p>
    <w:p w:rsidR="001850B9" w:rsidRDefault="001850B9" w:rsidP="001850B9">
      <w:pPr>
        <w:numPr>
          <w:ilvl w:val="0"/>
          <w:numId w:val="15"/>
        </w:numPr>
        <w:spacing w:line="360" w:lineRule="auto"/>
        <w:ind w:firstLineChars="200" w:firstLine="420"/>
      </w:pPr>
      <w:r>
        <w:rPr>
          <w:rFonts w:hint="eastAsia"/>
        </w:rPr>
        <w:t>能最大限度的减少发光源因通电瞬间输出的电压突变所造成的光衰及死灯。</w:t>
      </w:r>
    </w:p>
    <w:p w:rsidR="001850B9" w:rsidRDefault="001850B9" w:rsidP="001850B9">
      <w:pPr>
        <w:numPr>
          <w:ilvl w:val="0"/>
          <w:numId w:val="15"/>
        </w:numPr>
        <w:spacing w:line="360" w:lineRule="auto"/>
        <w:ind w:firstLineChars="200" w:firstLine="420"/>
      </w:pPr>
      <w:r>
        <w:rPr>
          <w:rFonts w:hint="eastAsia"/>
        </w:rPr>
        <w:t>产品输出功率规格：</w:t>
      </w:r>
      <w:r>
        <w:rPr>
          <w:rFonts w:hint="eastAsia"/>
        </w:rPr>
        <w:t>450W / 550W/650W / 1000W / 1200W / 2000W</w:t>
      </w:r>
      <w:r>
        <w:rPr>
          <w:rFonts w:hint="eastAsia"/>
        </w:rPr>
        <w:t>；</w:t>
      </w:r>
    </w:p>
    <w:p w:rsidR="001850B9" w:rsidRDefault="001850B9" w:rsidP="001850B9">
      <w:pPr>
        <w:numPr>
          <w:ilvl w:val="0"/>
          <w:numId w:val="15"/>
        </w:numPr>
        <w:spacing w:line="360" w:lineRule="auto"/>
        <w:ind w:firstLineChars="200" w:firstLine="420"/>
      </w:pPr>
      <w:r>
        <w:rPr>
          <w:rFonts w:hint="eastAsia"/>
        </w:rPr>
        <w:t>产品输出电压：带调压功能：</w:t>
      </w:r>
      <w:r>
        <w:rPr>
          <w:rFonts w:hint="eastAsia"/>
        </w:rPr>
        <w:t xml:space="preserve">9V-16V / 17-27V / 30-39V </w:t>
      </w:r>
      <w:r>
        <w:rPr>
          <w:rFonts w:hint="eastAsia"/>
        </w:rPr>
        <w:t>等。</w:t>
      </w:r>
    </w:p>
    <w:p w:rsidR="001850B9" w:rsidRDefault="001850B9" w:rsidP="001850B9">
      <w:pPr>
        <w:numPr>
          <w:ilvl w:val="0"/>
          <w:numId w:val="15"/>
        </w:numPr>
        <w:spacing w:line="360" w:lineRule="auto"/>
        <w:ind w:firstLineChars="200" w:firstLine="420"/>
      </w:pPr>
      <w:r>
        <w:rPr>
          <w:rFonts w:hint="eastAsia"/>
        </w:rPr>
        <w:t>电箱式调压电源集中，需提供多路出线，具体由现场决定。</w:t>
      </w:r>
    </w:p>
    <w:p w:rsidR="001850B9" w:rsidRDefault="001850B9" w:rsidP="001850B9">
      <w:pPr>
        <w:numPr>
          <w:ilvl w:val="0"/>
          <w:numId w:val="15"/>
        </w:numPr>
        <w:spacing w:line="360" w:lineRule="auto"/>
        <w:ind w:firstLineChars="200" w:firstLine="420"/>
      </w:pPr>
      <w:r>
        <w:rPr>
          <w:rFonts w:hint="eastAsia"/>
        </w:rPr>
        <w:t>电箱式调压电源必须符合国家相关标准。必须配置可调驱动电源。</w:t>
      </w:r>
    </w:p>
    <w:p w:rsidR="001850B9" w:rsidRDefault="001850B9" w:rsidP="001850B9">
      <w:pPr>
        <w:numPr>
          <w:ilvl w:val="0"/>
          <w:numId w:val="15"/>
        </w:numPr>
        <w:spacing w:line="360" w:lineRule="auto"/>
        <w:ind w:firstLineChars="200" w:firstLine="420"/>
      </w:pPr>
      <w:r>
        <w:rPr>
          <w:rFonts w:hint="eastAsia"/>
        </w:rPr>
        <w:t>电箱式调压电源应考虑一体式防水和散热。</w:t>
      </w:r>
    </w:p>
    <w:p w:rsidR="001850B9" w:rsidRDefault="001850B9" w:rsidP="001850B9">
      <w:pPr>
        <w:numPr>
          <w:ilvl w:val="0"/>
          <w:numId w:val="15"/>
        </w:numPr>
        <w:spacing w:line="360" w:lineRule="auto"/>
        <w:ind w:firstLineChars="200" w:firstLine="420"/>
      </w:pPr>
      <w:r>
        <w:rPr>
          <w:rFonts w:hint="eastAsia"/>
        </w:rPr>
        <w:t>要有过载过压短路保护，自动温控保护。</w:t>
      </w:r>
    </w:p>
    <w:p w:rsidR="001850B9" w:rsidRDefault="001850B9" w:rsidP="001850B9">
      <w:pPr>
        <w:numPr>
          <w:ilvl w:val="0"/>
          <w:numId w:val="15"/>
        </w:numPr>
        <w:spacing w:line="360" w:lineRule="auto"/>
        <w:ind w:firstLineChars="200" w:firstLine="420"/>
      </w:pPr>
      <w:r>
        <w:rPr>
          <w:rFonts w:hint="eastAsia"/>
        </w:rPr>
        <w:t>电箱式调压电源集中供电时，所提供的电源必须满足现场实际安装需要，每个电源的功率根据现场条件，由设计及业主确定。</w:t>
      </w:r>
    </w:p>
    <w:p w:rsidR="001850B9" w:rsidRDefault="001850B9" w:rsidP="001850B9">
      <w:pPr>
        <w:numPr>
          <w:ilvl w:val="0"/>
          <w:numId w:val="15"/>
        </w:numPr>
        <w:spacing w:line="360" w:lineRule="auto"/>
        <w:ind w:firstLineChars="200" w:firstLine="420"/>
      </w:pPr>
      <w:r>
        <w:rPr>
          <w:rFonts w:hint="eastAsia"/>
        </w:rPr>
        <w:t>输入电压</w:t>
      </w:r>
      <w:r>
        <w:rPr>
          <w:rFonts w:hint="eastAsia"/>
        </w:rPr>
        <w:t>AC220V</w:t>
      </w:r>
      <w:r>
        <w:rPr>
          <w:rFonts w:hint="eastAsia"/>
        </w:rPr>
        <w:t>±</w:t>
      </w:r>
      <w:r>
        <w:rPr>
          <w:rFonts w:hint="eastAsia"/>
        </w:rPr>
        <w:t>15</w:t>
      </w:r>
      <w:r>
        <w:rPr>
          <w:rFonts w:hint="eastAsia"/>
        </w:rPr>
        <w:t>，输出电压</w:t>
      </w:r>
      <w:r>
        <w:rPr>
          <w:rFonts w:hint="eastAsia"/>
        </w:rPr>
        <w:t>DC18V-26V</w:t>
      </w:r>
      <w:r>
        <w:rPr>
          <w:rFonts w:hint="eastAsia"/>
        </w:rPr>
        <w:t>；输入输出引出线长不低于</w:t>
      </w:r>
      <w:r>
        <w:rPr>
          <w:rFonts w:hint="eastAsia"/>
        </w:rPr>
        <w:t>0.3</w:t>
      </w:r>
      <w:r>
        <w:rPr>
          <w:rFonts w:hint="eastAsia"/>
        </w:rPr>
        <w:t>米。防护等级</w:t>
      </w:r>
      <w:r>
        <w:rPr>
          <w:rFonts w:hint="eastAsia"/>
        </w:rPr>
        <w:t>IP67</w:t>
      </w:r>
      <w:r>
        <w:rPr>
          <w:rFonts w:hint="eastAsia"/>
        </w:rPr>
        <w:t>。防雷等级线对线</w:t>
      </w:r>
      <w:r>
        <w:rPr>
          <w:rFonts w:hint="eastAsia"/>
        </w:rPr>
        <w:t>4KV</w:t>
      </w:r>
      <w:r>
        <w:rPr>
          <w:rFonts w:hint="eastAsia"/>
        </w:rPr>
        <w:t>、线对地</w:t>
      </w:r>
      <w:r>
        <w:rPr>
          <w:rFonts w:hint="eastAsia"/>
        </w:rPr>
        <w:t>6KV</w:t>
      </w:r>
      <w:r>
        <w:rPr>
          <w:rFonts w:hint="eastAsia"/>
        </w:rPr>
        <w:t>。无风扇设计，自然风冷，有短路、过电流、过电压、过温度保护。功率因素不小于</w:t>
      </w:r>
      <w:r>
        <w:rPr>
          <w:rFonts w:hint="eastAsia"/>
        </w:rPr>
        <w:t>90%</w:t>
      </w:r>
      <w:r>
        <w:rPr>
          <w:rFonts w:hint="eastAsia"/>
        </w:rPr>
        <w:t>，安规和电磁兼容符合相关国家、国际标准。</w:t>
      </w:r>
    </w:p>
    <w:p w:rsidR="001850B9" w:rsidRDefault="001850B9" w:rsidP="001850B9">
      <w:pPr>
        <w:numPr>
          <w:ilvl w:val="0"/>
          <w:numId w:val="15"/>
        </w:numPr>
        <w:spacing w:line="360" w:lineRule="auto"/>
        <w:ind w:firstLineChars="200" w:firstLine="420"/>
      </w:pPr>
      <w:r>
        <w:rPr>
          <w:rFonts w:hint="eastAsia"/>
        </w:rPr>
        <w:t>电箱式调压电源在干燥、潮湿、淋雨环境下工作温度为</w:t>
      </w:r>
      <w:r>
        <w:rPr>
          <w:rFonts w:hint="eastAsia"/>
        </w:rPr>
        <w:t>-20</w:t>
      </w:r>
      <w:r>
        <w:rPr>
          <w:rFonts w:hint="eastAsia"/>
        </w:rPr>
        <w:t>℃</w:t>
      </w:r>
      <w:r>
        <w:rPr>
          <w:rFonts w:hint="eastAsia"/>
        </w:rPr>
        <w:t>~+70</w:t>
      </w:r>
      <w:r>
        <w:rPr>
          <w:rFonts w:hint="eastAsia"/>
        </w:rPr>
        <w:t>℃，潮湿环境为</w:t>
      </w:r>
      <w:r>
        <w:rPr>
          <w:rFonts w:hint="eastAsia"/>
        </w:rPr>
        <w:t>20~90%RH</w:t>
      </w:r>
      <w:r>
        <w:rPr>
          <w:rFonts w:hint="eastAsia"/>
        </w:rPr>
        <w:t>，质保期不小于</w:t>
      </w:r>
      <w:r>
        <w:rPr>
          <w:rFonts w:hint="eastAsia"/>
        </w:rPr>
        <w:t>5</w:t>
      </w:r>
      <w:r>
        <w:rPr>
          <w:rFonts w:hint="eastAsia"/>
        </w:rPr>
        <w:t>年。</w:t>
      </w:r>
    </w:p>
    <w:p w:rsidR="001850B9" w:rsidRDefault="001850B9" w:rsidP="001850B9">
      <w:pPr>
        <w:pStyle w:val="3"/>
        <w:numPr>
          <w:ilvl w:val="0"/>
          <w:numId w:val="13"/>
        </w:numPr>
        <w:spacing w:line="360" w:lineRule="auto"/>
        <w:ind w:leftChars="0" w:firstLineChars="0" w:hanging="5"/>
      </w:pPr>
      <w:r>
        <w:rPr>
          <w:rFonts w:hint="eastAsia"/>
        </w:rPr>
        <w:t xml:space="preserve"> </w:t>
      </w:r>
      <w:r>
        <w:rPr>
          <w:rFonts w:hint="eastAsia"/>
        </w:rPr>
        <w:t>中标单位根据采购单位的要求，配置“电箱式调压电源”或“普通恒压驱动电源”。</w:t>
      </w:r>
    </w:p>
    <w:p w:rsidR="001850B9" w:rsidRDefault="001850B9" w:rsidP="001850B9">
      <w:pPr>
        <w:pStyle w:val="2"/>
        <w:numPr>
          <w:ilvl w:val="0"/>
          <w:numId w:val="2"/>
        </w:numPr>
        <w:spacing w:line="360" w:lineRule="auto"/>
      </w:pPr>
      <w:r>
        <w:rPr>
          <w:rFonts w:hint="eastAsia"/>
        </w:rPr>
        <w:t>灯具附属控制系统技术通则</w:t>
      </w:r>
    </w:p>
    <w:p w:rsidR="001850B9" w:rsidRDefault="001850B9" w:rsidP="001850B9">
      <w:pPr>
        <w:pStyle w:val="3"/>
        <w:numPr>
          <w:ilvl w:val="0"/>
          <w:numId w:val="16"/>
        </w:numPr>
        <w:spacing w:line="360" w:lineRule="auto"/>
        <w:ind w:leftChars="0" w:firstLineChars="0" w:hanging="5"/>
      </w:pPr>
      <w:bookmarkStart w:id="29" w:name="_Toc14069"/>
      <w:r>
        <w:rPr>
          <w:rFonts w:hint="eastAsia"/>
        </w:rPr>
        <w:t>说明</w:t>
      </w:r>
      <w:bookmarkEnd w:id="29"/>
    </w:p>
    <w:p w:rsidR="001850B9" w:rsidRDefault="001850B9" w:rsidP="001850B9">
      <w:pPr>
        <w:spacing w:line="360" w:lineRule="auto"/>
        <w:ind w:firstLineChars="200" w:firstLine="420"/>
      </w:pPr>
      <w:r>
        <w:rPr>
          <w:rFonts w:hint="eastAsia"/>
        </w:rPr>
        <w:t>技术文件详参有规定的，按详参规定执行，没有详参规定的，按照本通则执行。</w:t>
      </w:r>
    </w:p>
    <w:p w:rsidR="001850B9" w:rsidRDefault="001850B9" w:rsidP="001850B9">
      <w:pPr>
        <w:spacing w:line="360" w:lineRule="auto"/>
        <w:ind w:firstLineChars="200" w:firstLine="422"/>
        <w:rPr>
          <w:b/>
          <w:bCs/>
          <w:u w:val="single"/>
        </w:rPr>
      </w:pPr>
      <w:r>
        <w:rPr>
          <w:rFonts w:hint="eastAsia"/>
          <w:b/>
          <w:bCs/>
          <w:u w:val="single"/>
        </w:rPr>
        <w:t>灯具要求有动态变化的，必须配置符合采购文件要求的控制系统及其所有附件，价格含在灯具中。</w:t>
      </w:r>
    </w:p>
    <w:p w:rsidR="001850B9" w:rsidRDefault="001850B9" w:rsidP="001850B9">
      <w:pPr>
        <w:spacing w:line="360" w:lineRule="auto"/>
        <w:ind w:firstLineChars="131" w:firstLine="421"/>
        <w:rPr>
          <w:b/>
          <w:bCs/>
          <w:sz w:val="32"/>
          <w:szCs w:val="32"/>
          <w:u w:val="single"/>
        </w:rPr>
      </w:pPr>
      <w:r>
        <w:rPr>
          <w:rFonts w:hint="eastAsia"/>
          <w:b/>
          <w:bCs/>
          <w:sz w:val="32"/>
          <w:szCs w:val="32"/>
          <w:u w:val="single"/>
        </w:rPr>
        <w:t>网线由采购单位提供，价格不含在此次报价中。</w:t>
      </w:r>
    </w:p>
    <w:p w:rsidR="001850B9" w:rsidRDefault="001850B9" w:rsidP="001850B9">
      <w:pPr>
        <w:spacing w:line="360" w:lineRule="auto"/>
        <w:ind w:firstLineChars="200" w:firstLine="420"/>
      </w:pPr>
      <w:r>
        <w:rPr>
          <w:rFonts w:hint="eastAsia"/>
        </w:rPr>
        <w:t>中标单位必须依据设计施工图纸和技术文件要求，本工程项目的材料、设备、施工必须达到现行中华人民共和国及省、市、行业的一切有关法规、规范的要求，如设计施工图纸、技术文件、标准及规范要求有出入则以较严格者为准。</w:t>
      </w:r>
    </w:p>
    <w:p w:rsidR="001850B9" w:rsidRDefault="001850B9" w:rsidP="001850B9">
      <w:pPr>
        <w:spacing w:line="360" w:lineRule="auto"/>
        <w:ind w:firstLineChars="200" w:firstLine="420"/>
      </w:pPr>
      <w:r>
        <w:rPr>
          <w:rFonts w:hint="eastAsia"/>
        </w:rPr>
        <w:lastRenderedPageBreak/>
        <w:t>下列技术参数为各类综合控制系统的总体要求，中标单位应根据所投灯具的情况，按照控制系统不同控制要求合理配置。</w:t>
      </w:r>
    </w:p>
    <w:p w:rsidR="001850B9" w:rsidRDefault="001850B9" w:rsidP="001850B9">
      <w:pPr>
        <w:pStyle w:val="3"/>
        <w:numPr>
          <w:ilvl w:val="0"/>
          <w:numId w:val="16"/>
        </w:numPr>
        <w:spacing w:line="360" w:lineRule="auto"/>
        <w:ind w:leftChars="0" w:firstLineChars="0" w:hanging="5"/>
      </w:pPr>
      <w:bookmarkStart w:id="30" w:name="_Toc8710"/>
      <w:r>
        <w:rPr>
          <w:rFonts w:hint="eastAsia"/>
        </w:rPr>
        <w:t>通信网络技术要求</w:t>
      </w:r>
      <w:bookmarkEnd w:id="30"/>
    </w:p>
    <w:p w:rsidR="001850B9" w:rsidRDefault="001850B9" w:rsidP="001850B9">
      <w:pPr>
        <w:numPr>
          <w:ilvl w:val="1"/>
          <w:numId w:val="17"/>
        </w:numPr>
        <w:spacing w:line="360" w:lineRule="auto"/>
      </w:pPr>
      <w:r>
        <w:rPr>
          <w:rFonts w:hint="eastAsia"/>
        </w:rPr>
        <w:t>网络</w:t>
      </w:r>
      <w:r>
        <w:t>架构</w:t>
      </w:r>
      <w:r>
        <w:rPr>
          <w:rFonts w:hint="eastAsia"/>
        </w:rPr>
        <w:t>采用</w:t>
      </w:r>
      <w:r>
        <w:t>VPN</w:t>
      </w:r>
      <w:r>
        <w:t>专线方式</w:t>
      </w:r>
      <w:r>
        <w:rPr>
          <w:rFonts w:hint="eastAsia"/>
        </w:rPr>
        <w:t>，</w:t>
      </w:r>
      <w:r>
        <w:t>具有独立网络安全防范能力</w:t>
      </w:r>
      <w:r>
        <w:rPr>
          <w:rFonts w:hint="eastAsia"/>
        </w:rPr>
        <w:t>。</w:t>
      </w:r>
    </w:p>
    <w:p w:rsidR="001850B9" w:rsidRDefault="001850B9" w:rsidP="001850B9">
      <w:pPr>
        <w:numPr>
          <w:ilvl w:val="1"/>
          <w:numId w:val="17"/>
        </w:numPr>
        <w:spacing w:line="360" w:lineRule="auto"/>
      </w:pPr>
      <w:r>
        <w:rPr>
          <w:rFonts w:hint="eastAsia"/>
        </w:rPr>
        <w:t>各网关</w:t>
      </w:r>
      <w:r>
        <w:t>接口</w:t>
      </w:r>
      <w:r>
        <w:rPr>
          <w:rFonts w:hint="eastAsia"/>
        </w:rPr>
        <w:t>具有独立</w:t>
      </w:r>
      <w:r>
        <w:rPr>
          <w:rFonts w:hint="eastAsia"/>
        </w:rPr>
        <w:t>IP</w:t>
      </w:r>
      <w:r>
        <w:rPr>
          <w:rFonts w:hint="eastAsia"/>
        </w:rPr>
        <w:t>地址。</w:t>
      </w:r>
    </w:p>
    <w:p w:rsidR="001850B9" w:rsidRDefault="001850B9" w:rsidP="001850B9">
      <w:pPr>
        <w:numPr>
          <w:ilvl w:val="1"/>
          <w:numId w:val="17"/>
        </w:numPr>
        <w:spacing w:line="360" w:lineRule="auto"/>
      </w:pPr>
      <w:r>
        <w:rPr>
          <w:rFonts w:hint="eastAsia"/>
        </w:rPr>
        <w:t>信号传输方式：控制器联机信号接口和信号传输协议是</w:t>
      </w:r>
      <w:r>
        <w:rPr>
          <w:rFonts w:hint="eastAsia"/>
        </w:rPr>
        <w:t>TCP/IP</w:t>
      </w:r>
      <w:r>
        <w:rPr>
          <w:rFonts w:hint="eastAsia"/>
        </w:rPr>
        <w:t>。</w:t>
      </w:r>
    </w:p>
    <w:p w:rsidR="001850B9" w:rsidRDefault="001850B9" w:rsidP="001850B9">
      <w:pPr>
        <w:numPr>
          <w:ilvl w:val="1"/>
          <w:numId w:val="17"/>
        </w:numPr>
        <w:spacing w:line="360" w:lineRule="auto"/>
      </w:pPr>
      <w:r>
        <w:rPr>
          <w:rFonts w:hint="eastAsia"/>
        </w:rPr>
        <w:t>网络传输采用有线或</w:t>
      </w:r>
      <w:r>
        <w:rPr>
          <w:rFonts w:hint="eastAsia"/>
        </w:rPr>
        <w:t>4</w:t>
      </w:r>
      <w:r>
        <w:t>G</w:t>
      </w:r>
      <w:r>
        <w:rPr>
          <w:rFonts w:hint="eastAsia"/>
        </w:rPr>
        <w:t>两种</w:t>
      </w:r>
      <w:r>
        <w:t>方式。</w:t>
      </w:r>
    </w:p>
    <w:p w:rsidR="001850B9" w:rsidRDefault="001850B9" w:rsidP="001850B9">
      <w:pPr>
        <w:numPr>
          <w:ilvl w:val="0"/>
          <w:numId w:val="18"/>
        </w:numPr>
        <w:spacing w:line="360" w:lineRule="auto"/>
        <w:ind w:firstLineChars="200" w:firstLine="420"/>
      </w:pPr>
      <w:r>
        <w:rPr>
          <w:rFonts w:hint="eastAsia"/>
        </w:rPr>
        <w:t>主体</w:t>
      </w:r>
      <w:r>
        <w:t>建筑</w:t>
      </w:r>
      <w:r>
        <w:rPr>
          <w:rFonts w:hint="eastAsia"/>
        </w:rPr>
        <w:t>及主要景观节点</w:t>
      </w:r>
      <w:r>
        <w:t>必须使用</w:t>
      </w:r>
      <w:r>
        <w:rPr>
          <w:rFonts w:hint="eastAsia"/>
        </w:rPr>
        <w:t>有线的</w:t>
      </w:r>
      <w:r>
        <w:t>传输方式，时延</w:t>
      </w:r>
      <w:r>
        <w:rPr>
          <w:rFonts w:hint="eastAsia"/>
        </w:rPr>
        <w:t>＜</w:t>
      </w:r>
      <w:r>
        <w:rPr>
          <w:rFonts w:hint="eastAsia"/>
        </w:rPr>
        <w:t>50</w:t>
      </w:r>
      <w:r>
        <w:t>ms</w:t>
      </w:r>
      <w:r>
        <w:t>；</w:t>
      </w:r>
    </w:p>
    <w:p w:rsidR="001850B9" w:rsidRDefault="001850B9" w:rsidP="001850B9">
      <w:pPr>
        <w:numPr>
          <w:ilvl w:val="0"/>
          <w:numId w:val="18"/>
        </w:numPr>
        <w:spacing w:line="360" w:lineRule="auto"/>
        <w:ind w:firstLineChars="200" w:firstLine="420"/>
      </w:pPr>
      <w:r>
        <w:rPr>
          <w:rFonts w:hint="eastAsia"/>
        </w:rPr>
        <w:t>在</w:t>
      </w:r>
      <w:r>
        <w:t>无法敷设</w:t>
      </w:r>
      <w:r>
        <w:rPr>
          <w:rFonts w:hint="eastAsia"/>
        </w:rPr>
        <w:t>光纤</w:t>
      </w:r>
      <w:r>
        <w:t>的区域</w:t>
      </w:r>
      <w:r>
        <w:rPr>
          <w:rFonts w:hint="eastAsia"/>
        </w:rPr>
        <w:t>，</w:t>
      </w:r>
      <w:r>
        <w:t>且能够保证</w:t>
      </w:r>
      <w:r>
        <w:rPr>
          <w:rFonts w:hint="eastAsia"/>
        </w:rPr>
        <w:t>信号</w:t>
      </w:r>
      <w:r>
        <w:t>强度前提下，可以使用</w:t>
      </w:r>
      <w:r>
        <w:rPr>
          <w:rFonts w:hint="eastAsia"/>
        </w:rPr>
        <w:t>4</w:t>
      </w:r>
      <w:r>
        <w:t>G</w:t>
      </w:r>
      <w:r>
        <w:t>。</w:t>
      </w:r>
      <w:r>
        <w:rPr>
          <w:rFonts w:hint="eastAsia"/>
        </w:rPr>
        <w:t>为了</w:t>
      </w:r>
      <w:r>
        <w:t>保证网络质量，</w:t>
      </w:r>
      <w:r>
        <w:rPr>
          <w:rFonts w:hint="eastAsia"/>
        </w:rPr>
        <w:t>4G</w:t>
      </w:r>
      <w:r>
        <w:rPr>
          <w:rFonts w:hint="eastAsia"/>
        </w:rPr>
        <w:t>需满足</w:t>
      </w:r>
      <w:r>
        <w:t>以下要求：</w:t>
      </w:r>
      <w:r>
        <w:rPr>
          <w:rFonts w:hint="eastAsia"/>
        </w:rPr>
        <w:t>在</w:t>
      </w:r>
      <w:r>
        <w:t>设备接入点</w:t>
      </w:r>
      <w:r>
        <w:rPr>
          <w:rFonts w:hint="eastAsia"/>
        </w:rPr>
        <w:t>7</w:t>
      </w:r>
      <w:r>
        <w:t>*24</w:t>
      </w:r>
      <w:r>
        <w:rPr>
          <w:rFonts w:hint="eastAsia"/>
        </w:rPr>
        <w:t>小时</w:t>
      </w:r>
      <w:r>
        <w:t>监测情况下，吞吐量</w:t>
      </w:r>
      <w:r>
        <w:rPr>
          <w:rFonts w:hint="eastAsia"/>
        </w:rPr>
        <w:t>≥</w:t>
      </w:r>
      <w:r>
        <w:rPr>
          <w:rFonts w:hint="eastAsia"/>
        </w:rPr>
        <w:t>10M</w:t>
      </w:r>
      <w:r>
        <w:rPr>
          <w:rFonts w:hint="eastAsia"/>
        </w:rPr>
        <w:t>，时延＜</w:t>
      </w:r>
      <w:r>
        <w:t>100</w:t>
      </w:r>
      <w:r>
        <w:rPr>
          <w:rFonts w:hint="eastAsia"/>
        </w:rPr>
        <w:t>ms</w:t>
      </w:r>
      <w:r>
        <w:rPr>
          <w:rFonts w:hint="eastAsia"/>
        </w:rPr>
        <w:t>，丢包率≤</w:t>
      </w:r>
      <w:r>
        <w:t>0.1%</w:t>
      </w:r>
      <w:r>
        <w:t>。</w:t>
      </w:r>
    </w:p>
    <w:p w:rsidR="001850B9" w:rsidRDefault="001850B9" w:rsidP="001850B9">
      <w:pPr>
        <w:numPr>
          <w:ilvl w:val="1"/>
          <w:numId w:val="17"/>
        </w:numPr>
        <w:spacing w:line="360" w:lineRule="auto"/>
      </w:pPr>
      <w:r>
        <w:rPr>
          <w:rFonts w:hint="eastAsia"/>
        </w:rPr>
        <w:t>网络</w:t>
      </w:r>
      <w:r>
        <w:t>流量和接入速率要求</w:t>
      </w:r>
      <w:r>
        <w:rPr>
          <w:rFonts w:hint="eastAsia"/>
        </w:rPr>
        <w:t>：主控端</w:t>
      </w:r>
      <w:r>
        <w:t>光纤接入速率</w:t>
      </w:r>
      <w:r>
        <w:t>≥100Mbps</w:t>
      </w:r>
      <w:r>
        <w:t>；分控端</w:t>
      </w:r>
      <w:r>
        <w:rPr>
          <w:rFonts w:hint="eastAsia"/>
        </w:rPr>
        <w:t>网络</w:t>
      </w:r>
      <w:r>
        <w:t>接入速率</w:t>
      </w:r>
      <w:r>
        <w:t>≥10M</w:t>
      </w:r>
      <w:r>
        <w:rPr>
          <w:rFonts w:hint="eastAsia"/>
        </w:rPr>
        <w:t>bps</w:t>
      </w:r>
      <w:r>
        <w:rPr>
          <w:rFonts w:hint="eastAsia"/>
        </w:rPr>
        <w:t>；仅含开关</w:t>
      </w:r>
      <w:r>
        <w:t>控制</w:t>
      </w:r>
      <w:r>
        <w:rPr>
          <w:rFonts w:hint="eastAsia"/>
        </w:rPr>
        <w:t>的节点</w:t>
      </w:r>
      <w:r>
        <w:t>分控端</w:t>
      </w:r>
      <w:r>
        <w:rPr>
          <w:rFonts w:hint="eastAsia"/>
        </w:rPr>
        <w:t>网络</w:t>
      </w:r>
      <w:r>
        <w:t>接入速率</w:t>
      </w:r>
      <w:r>
        <w:t>≥2M</w:t>
      </w:r>
      <w:r>
        <w:rPr>
          <w:rFonts w:hint="eastAsia"/>
        </w:rPr>
        <w:t>bps</w:t>
      </w:r>
      <w:r>
        <w:t>。</w:t>
      </w:r>
    </w:p>
    <w:p w:rsidR="001850B9" w:rsidRDefault="001850B9" w:rsidP="001850B9">
      <w:pPr>
        <w:numPr>
          <w:ilvl w:val="1"/>
          <w:numId w:val="17"/>
        </w:numPr>
        <w:spacing w:line="360" w:lineRule="auto"/>
        <w:rPr>
          <w:rFonts w:ascii="宋体" w:eastAsia="宋体" w:hAnsi="宋体"/>
          <w:sz w:val="24"/>
        </w:rPr>
      </w:pPr>
      <w:r>
        <w:rPr>
          <w:rFonts w:hint="eastAsia"/>
        </w:rPr>
        <w:t>采用</w:t>
      </w:r>
      <w:r>
        <w:rPr>
          <w:rFonts w:hint="eastAsia"/>
        </w:rPr>
        <w:t>4G</w:t>
      </w:r>
      <w:r>
        <w:rPr>
          <w:rFonts w:hint="eastAsia"/>
        </w:rPr>
        <w:t>时，参考</w:t>
      </w:r>
      <w:r>
        <w:t>值：</w:t>
      </w:r>
      <w:r>
        <w:t>RSRP</w:t>
      </w:r>
      <w:r>
        <w:rPr>
          <w:rFonts w:hint="eastAsia"/>
        </w:rPr>
        <w:t>值优于</w:t>
      </w:r>
      <w:r>
        <w:t>-80dbm</w:t>
      </w:r>
      <w:r>
        <w:rPr>
          <w:rFonts w:hint="eastAsia"/>
        </w:rPr>
        <w:t>，</w:t>
      </w:r>
      <w:r>
        <w:t>SINR</w:t>
      </w:r>
      <w:r>
        <w:rPr>
          <w:rFonts w:hint="eastAsia"/>
        </w:rPr>
        <w:t>值优于</w:t>
      </w:r>
      <w:r>
        <w:t>10</w:t>
      </w:r>
      <w:r>
        <w:rPr>
          <w:rFonts w:hint="eastAsia"/>
        </w:rPr>
        <w:t>。</w:t>
      </w:r>
    </w:p>
    <w:p w:rsidR="001850B9" w:rsidRDefault="001850B9" w:rsidP="001850B9">
      <w:pPr>
        <w:pStyle w:val="3"/>
        <w:numPr>
          <w:ilvl w:val="0"/>
          <w:numId w:val="16"/>
        </w:numPr>
        <w:spacing w:line="360" w:lineRule="auto"/>
        <w:ind w:leftChars="0" w:firstLineChars="0" w:hanging="5"/>
      </w:pPr>
      <w:bookmarkStart w:id="31" w:name="_Toc237"/>
      <w:r>
        <w:rPr>
          <w:rFonts w:hint="eastAsia"/>
        </w:rPr>
        <w:t>基本要求</w:t>
      </w:r>
      <w:bookmarkEnd w:id="31"/>
    </w:p>
    <w:p w:rsidR="001850B9" w:rsidRDefault="001850B9" w:rsidP="001850B9">
      <w:pPr>
        <w:numPr>
          <w:ilvl w:val="0"/>
          <w:numId w:val="19"/>
        </w:numPr>
        <w:spacing w:line="360" w:lineRule="auto"/>
      </w:pPr>
      <w:r>
        <w:rPr>
          <w:rFonts w:hint="eastAsia"/>
        </w:rPr>
        <w:t>效果相关</w:t>
      </w:r>
      <w:r>
        <w:t>功能</w:t>
      </w:r>
      <w:r>
        <w:rPr>
          <w:rFonts w:hint="eastAsia"/>
        </w:rPr>
        <w:t>要求</w:t>
      </w:r>
      <w:r>
        <w:t>：</w:t>
      </w:r>
    </w:p>
    <w:p w:rsidR="001850B9" w:rsidRDefault="001850B9" w:rsidP="001850B9">
      <w:pPr>
        <w:numPr>
          <w:ilvl w:val="0"/>
          <w:numId w:val="20"/>
        </w:numPr>
        <w:spacing w:line="360" w:lineRule="auto"/>
        <w:ind w:firstLineChars="200" w:firstLine="420"/>
      </w:pPr>
      <w:r>
        <w:rPr>
          <w:rFonts w:hint="eastAsia"/>
        </w:rPr>
        <w:t>统一开关：通过网络连接，实现统一开关灯，统一动画播放的开启；</w:t>
      </w:r>
    </w:p>
    <w:p w:rsidR="001850B9" w:rsidRDefault="001850B9" w:rsidP="001850B9">
      <w:pPr>
        <w:numPr>
          <w:ilvl w:val="0"/>
          <w:numId w:val="20"/>
        </w:numPr>
        <w:spacing w:line="360" w:lineRule="auto"/>
        <w:ind w:firstLineChars="200" w:firstLine="420"/>
      </w:pPr>
      <w:r>
        <w:rPr>
          <w:rFonts w:hint="eastAsia"/>
        </w:rPr>
        <w:t>场景模式调整：根据设计场景需求调换各种模式；</w:t>
      </w:r>
    </w:p>
    <w:p w:rsidR="001850B9" w:rsidRDefault="001850B9" w:rsidP="001850B9">
      <w:pPr>
        <w:numPr>
          <w:ilvl w:val="0"/>
          <w:numId w:val="20"/>
        </w:numPr>
        <w:spacing w:line="360" w:lineRule="auto"/>
        <w:ind w:firstLineChars="200" w:firstLine="420"/>
      </w:pPr>
      <w:r>
        <w:rPr>
          <w:rFonts w:hint="eastAsia"/>
        </w:rPr>
        <w:t>日程设置：根据不同季节时令，调整开启时间和流程；</w:t>
      </w:r>
    </w:p>
    <w:p w:rsidR="001850B9" w:rsidRDefault="001850B9" w:rsidP="001850B9">
      <w:pPr>
        <w:numPr>
          <w:ilvl w:val="0"/>
          <w:numId w:val="20"/>
        </w:numPr>
        <w:spacing w:line="360" w:lineRule="auto"/>
        <w:ind w:firstLineChars="200" w:firstLine="420"/>
      </w:pPr>
      <w:r>
        <w:rPr>
          <w:rFonts w:hint="eastAsia"/>
        </w:rPr>
        <w:t>节目动画内容更改：节目动画片源的自动切分与下发，储存多套节目，根据需求调用节目；</w:t>
      </w:r>
    </w:p>
    <w:p w:rsidR="001850B9" w:rsidRDefault="001850B9" w:rsidP="001850B9">
      <w:pPr>
        <w:numPr>
          <w:ilvl w:val="0"/>
          <w:numId w:val="20"/>
        </w:numPr>
        <w:spacing w:line="360" w:lineRule="auto"/>
        <w:ind w:firstLineChars="200" w:firstLine="420"/>
      </w:pPr>
      <w:r>
        <w:rPr>
          <w:rFonts w:hint="eastAsia"/>
        </w:rPr>
        <w:t>远程控制：应急需求时，可一键式关停；</w:t>
      </w:r>
    </w:p>
    <w:p w:rsidR="001850B9" w:rsidRDefault="001850B9" w:rsidP="001850B9">
      <w:pPr>
        <w:numPr>
          <w:ilvl w:val="0"/>
          <w:numId w:val="20"/>
        </w:numPr>
        <w:spacing w:line="360" w:lineRule="auto"/>
        <w:ind w:firstLineChars="200" w:firstLine="420"/>
      </w:pPr>
      <w:r>
        <w:rPr>
          <w:rFonts w:hint="eastAsia"/>
        </w:rPr>
        <w:t>开放性和多元集成：总控制系统具备一定开放性，可集成舞台灯光设备、投影设备、水雾系统、互动系统等各子系统，在总控端具备对各子系统节目的更改、调用、配置等功能。</w:t>
      </w:r>
    </w:p>
    <w:p w:rsidR="001850B9" w:rsidRDefault="001850B9" w:rsidP="001850B9">
      <w:pPr>
        <w:numPr>
          <w:ilvl w:val="0"/>
          <w:numId w:val="20"/>
        </w:numPr>
        <w:spacing w:line="360" w:lineRule="auto"/>
        <w:ind w:firstLineChars="200" w:firstLine="420"/>
      </w:pPr>
      <w:r>
        <w:rPr>
          <w:rFonts w:hint="eastAsia"/>
        </w:rPr>
        <w:t>与各品牌灯具的兼容性：项目中涉及多类型、多品牌的灯具，控制系统应具备与各家灯具产品的兼容性。</w:t>
      </w:r>
    </w:p>
    <w:p w:rsidR="001850B9" w:rsidRDefault="001850B9" w:rsidP="001850B9">
      <w:pPr>
        <w:numPr>
          <w:ilvl w:val="0"/>
          <w:numId w:val="19"/>
        </w:numPr>
        <w:spacing w:line="360" w:lineRule="auto"/>
      </w:pPr>
      <w:r>
        <w:rPr>
          <w:rFonts w:hint="eastAsia"/>
        </w:rPr>
        <w:t>管理相关功能要求：</w:t>
      </w:r>
    </w:p>
    <w:p w:rsidR="001850B9" w:rsidRDefault="001850B9" w:rsidP="001850B9">
      <w:pPr>
        <w:numPr>
          <w:ilvl w:val="0"/>
          <w:numId w:val="21"/>
        </w:numPr>
        <w:spacing w:line="360" w:lineRule="auto"/>
        <w:ind w:firstLineChars="200" w:firstLine="420"/>
      </w:pPr>
      <w:r>
        <w:rPr>
          <w:rFonts w:hint="eastAsia"/>
        </w:rPr>
        <w:t>权限管理：登录账户的管理，分配使用权限的管理功能；</w:t>
      </w:r>
    </w:p>
    <w:p w:rsidR="001850B9" w:rsidRDefault="001850B9" w:rsidP="001850B9">
      <w:pPr>
        <w:numPr>
          <w:ilvl w:val="0"/>
          <w:numId w:val="21"/>
        </w:numPr>
        <w:spacing w:line="360" w:lineRule="auto"/>
        <w:ind w:firstLineChars="200" w:firstLine="420"/>
      </w:pPr>
      <w:r>
        <w:rPr>
          <w:rFonts w:hint="eastAsia"/>
        </w:rPr>
        <w:t>数据管理：运行、检测等数据储存、统计、报表生成；</w:t>
      </w:r>
    </w:p>
    <w:p w:rsidR="001850B9" w:rsidRDefault="001850B9" w:rsidP="001850B9">
      <w:pPr>
        <w:numPr>
          <w:ilvl w:val="0"/>
          <w:numId w:val="21"/>
        </w:numPr>
        <w:spacing w:line="360" w:lineRule="auto"/>
        <w:ind w:firstLineChars="200" w:firstLine="420"/>
      </w:pPr>
      <w:r>
        <w:rPr>
          <w:rFonts w:hint="eastAsia"/>
        </w:rPr>
        <w:lastRenderedPageBreak/>
        <w:t>检测管理（建议项）：实时数据采集（电压、电流等）、设备状态采集、网络信息、传感器、摄像头视频采集、报警管理（报警记录、通知）等。</w:t>
      </w:r>
    </w:p>
    <w:p w:rsidR="001850B9" w:rsidRDefault="001850B9" w:rsidP="001850B9">
      <w:pPr>
        <w:pStyle w:val="3"/>
        <w:numPr>
          <w:ilvl w:val="0"/>
          <w:numId w:val="16"/>
        </w:numPr>
        <w:spacing w:line="360" w:lineRule="auto"/>
        <w:ind w:leftChars="0" w:firstLineChars="0" w:hanging="5"/>
      </w:pPr>
      <w:bookmarkStart w:id="32" w:name="_Toc31641"/>
      <w:r>
        <w:rPr>
          <w:rFonts w:hint="eastAsia"/>
        </w:rPr>
        <w:t>系统运行基本要求</w:t>
      </w:r>
      <w:bookmarkEnd w:id="32"/>
    </w:p>
    <w:p w:rsidR="001850B9" w:rsidRDefault="001850B9" w:rsidP="001850B9">
      <w:pPr>
        <w:spacing w:line="360" w:lineRule="auto"/>
        <w:ind w:left="424" w:hanging="4"/>
        <w:rPr>
          <w:rFonts w:asciiTheme="minorEastAsia" w:hAnsiTheme="minorEastAsia" w:cstheme="minorEastAsia"/>
          <w:szCs w:val="21"/>
        </w:rPr>
      </w:pPr>
      <w:r>
        <w:rPr>
          <w:rFonts w:asciiTheme="minorEastAsia" w:hAnsiTheme="minorEastAsia" w:cstheme="minorEastAsia" w:hint="eastAsia"/>
          <w:szCs w:val="21"/>
        </w:rPr>
        <w:t>1标准化</w:t>
      </w:r>
    </w:p>
    <w:p w:rsidR="001850B9" w:rsidRDefault="001850B9" w:rsidP="001850B9">
      <w:pPr>
        <w:pStyle w:val="11"/>
        <w:numPr>
          <w:ilvl w:val="0"/>
          <w:numId w:val="22"/>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数据模型设计遵循业主管理中心统一标准；</w:t>
      </w:r>
    </w:p>
    <w:p w:rsidR="001850B9" w:rsidRDefault="001850B9" w:rsidP="001850B9">
      <w:pPr>
        <w:pStyle w:val="11"/>
        <w:numPr>
          <w:ilvl w:val="0"/>
          <w:numId w:val="22"/>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系统间接口遵循业主管理中心制定的统一接口标准。</w:t>
      </w:r>
    </w:p>
    <w:p w:rsidR="001850B9" w:rsidRDefault="001850B9" w:rsidP="001850B9">
      <w:pPr>
        <w:spacing w:line="360" w:lineRule="auto"/>
        <w:ind w:left="424" w:hanging="4"/>
        <w:rPr>
          <w:rFonts w:asciiTheme="minorEastAsia" w:hAnsiTheme="minorEastAsia" w:cstheme="minorEastAsia"/>
          <w:szCs w:val="21"/>
        </w:rPr>
      </w:pPr>
      <w:r>
        <w:rPr>
          <w:rFonts w:asciiTheme="minorEastAsia" w:hAnsiTheme="minorEastAsia" w:cstheme="minorEastAsia" w:hint="eastAsia"/>
          <w:szCs w:val="21"/>
        </w:rPr>
        <w:t>2可靠性</w:t>
      </w:r>
    </w:p>
    <w:p w:rsidR="001850B9" w:rsidRDefault="001850B9" w:rsidP="001850B9">
      <w:pPr>
        <w:pStyle w:val="11"/>
        <w:numPr>
          <w:ilvl w:val="0"/>
          <w:numId w:val="23"/>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总控系统的关键节点应采用合适的冗余策略，在运行过程中不应出现操作失效、数据丢失或数据不一致的情况；</w:t>
      </w:r>
    </w:p>
    <w:p w:rsidR="001850B9" w:rsidRDefault="001850B9" w:rsidP="001850B9">
      <w:pPr>
        <w:pStyle w:val="11"/>
        <w:numPr>
          <w:ilvl w:val="0"/>
          <w:numId w:val="23"/>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对于配置了集群的系统具备集群失效时正常运行的能力；</w:t>
      </w:r>
    </w:p>
    <w:p w:rsidR="001850B9" w:rsidRDefault="001850B9" w:rsidP="001850B9">
      <w:pPr>
        <w:pStyle w:val="11"/>
        <w:numPr>
          <w:ilvl w:val="0"/>
          <w:numId w:val="23"/>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系统不得因商用数据库的失效而中断运行。</w:t>
      </w:r>
    </w:p>
    <w:p w:rsidR="001850B9" w:rsidRDefault="001850B9" w:rsidP="001850B9">
      <w:pPr>
        <w:spacing w:line="360" w:lineRule="auto"/>
        <w:ind w:left="424" w:hanging="4"/>
        <w:rPr>
          <w:rFonts w:asciiTheme="minorEastAsia" w:hAnsiTheme="minorEastAsia" w:cstheme="minorEastAsia"/>
          <w:szCs w:val="21"/>
        </w:rPr>
      </w:pPr>
      <w:r>
        <w:rPr>
          <w:rFonts w:asciiTheme="minorEastAsia" w:hAnsiTheme="minorEastAsia" w:cstheme="minorEastAsia" w:hint="eastAsia"/>
          <w:szCs w:val="21"/>
        </w:rPr>
        <w:t>3安全性要求</w:t>
      </w:r>
    </w:p>
    <w:p w:rsidR="001850B9" w:rsidRDefault="001850B9" w:rsidP="001850B9">
      <w:pPr>
        <w:pStyle w:val="11"/>
        <w:numPr>
          <w:ilvl w:val="0"/>
          <w:numId w:val="24"/>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系统应采取严格的措施来确保各项操作的安全性，具有完善的权限管理机制，防止未授权用户非法访问系统、非法获取信息或进行非法操作，确保数据信息的安全。</w:t>
      </w:r>
    </w:p>
    <w:p w:rsidR="001850B9" w:rsidRDefault="001850B9" w:rsidP="001850B9">
      <w:pPr>
        <w:pStyle w:val="11"/>
        <w:numPr>
          <w:ilvl w:val="0"/>
          <w:numId w:val="24"/>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数据通信采取加密方式，防止数据被截获、破解。</w:t>
      </w:r>
    </w:p>
    <w:p w:rsidR="001850B9" w:rsidRDefault="001850B9" w:rsidP="001850B9">
      <w:pPr>
        <w:spacing w:line="360" w:lineRule="auto"/>
        <w:ind w:left="4" w:firstLine="416"/>
        <w:rPr>
          <w:rFonts w:asciiTheme="minorEastAsia" w:hAnsiTheme="minorEastAsia" w:cstheme="minorEastAsia"/>
          <w:szCs w:val="21"/>
        </w:rPr>
      </w:pPr>
      <w:r>
        <w:rPr>
          <w:rFonts w:asciiTheme="minorEastAsia" w:hAnsiTheme="minorEastAsia" w:cstheme="minorEastAsia" w:hint="eastAsia"/>
          <w:szCs w:val="21"/>
        </w:rPr>
        <w:t>4实时性要求：系统必须保证数据采集、处理、传输、显示，报警、执行控制命令的实时性，满足景观照明运营要求。</w:t>
      </w:r>
    </w:p>
    <w:p w:rsidR="001850B9" w:rsidRDefault="001850B9" w:rsidP="001850B9">
      <w:pPr>
        <w:spacing w:line="360" w:lineRule="auto"/>
        <w:ind w:left="424" w:hanging="4"/>
        <w:rPr>
          <w:rFonts w:asciiTheme="minorEastAsia" w:hAnsiTheme="minorEastAsia" w:cstheme="minorEastAsia"/>
          <w:szCs w:val="21"/>
        </w:rPr>
      </w:pPr>
      <w:r>
        <w:rPr>
          <w:rFonts w:asciiTheme="minorEastAsia" w:hAnsiTheme="minorEastAsia" w:cstheme="minorEastAsia" w:hint="eastAsia"/>
          <w:szCs w:val="21"/>
        </w:rPr>
        <w:t>5实用性要求</w:t>
      </w:r>
    </w:p>
    <w:p w:rsidR="001850B9" w:rsidRDefault="001850B9" w:rsidP="001850B9">
      <w:pPr>
        <w:pStyle w:val="11"/>
        <w:numPr>
          <w:ilvl w:val="0"/>
          <w:numId w:val="25"/>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应具备正常运行模式和紧急运行模式；</w:t>
      </w:r>
    </w:p>
    <w:p w:rsidR="001850B9" w:rsidRDefault="001850B9" w:rsidP="001850B9">
      <w:pPr>
        <w:pStyle w:val="11"/>
        <w:numPr>
          <w:ilvl w:val="0"/>
          <w:numId w:val="25"/>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应具备完善、实用的各集成互连系统联动功能；</w:t>
      </w:r>
    </w:p>
    <w:p w:rsidR="001850B9" w:rsidRDefault="001850B9" w:rsidP="001850B9">
      <w:pPr>
        <w:pStyle w:val="11"/>
        <w:numPr>
          <w:ilvl w:val="0"/>
          <w:numId w:val="25"/>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应具有报警管理功能，报警可分级配置、可过滤；</w:t>
      </w:r>
    </w:p>
    <w:p w:rsidR="001850B9" w:rsidRDefault="001850B9" w:rsidP="001850B9">
      <w:pPr>
        <w:pStyle w:val="11"/>
        <w:numPr>
          <w:ilvl w:val="0"/>
          <w:numId w:val="25"/>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应具有完善的历史数据记录、分类、查询、转储、显示、统计分析等管理功能；</w:t>
      </w:r>
    </w:p>
    <w:p w:rsidR="001850B9" w:rsidRDefault="001850B9" w:rsidP="001850B9">
      <w:pPr>
        <w:pStyle w:val="11"/>
        <w:numPr>
          <w:ilvl w:val="0"/>
          <w:numId w:val="25"/>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应便于组态、调试；</w:t>
      </w:r>
    </w:p>
    <w:p w:rsidR="001850B9" w:rsidRDefault="001850B9" w:rsidP="001850B9">
      <w:pPr>
        <w:pStyle w:val="11"/>
        <w:numPr>
          <w:ilvl w:val="0"/>
          <w:numId w:val="25"/>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应有利于制定合理的运营管理模式，提高景观照明的运营管理水平。</w:t>
      </w:r>
    </w:p>
    <w:p w:rsidR="001850B9" w:rsidRDefault="001850B9" w:rsidP="001850B9">
      <w:pPr>
        <w:spacing w:line="360" w:lineRule="auto"/>
        <w:ind w:left="424" w:hanging="4"/>
        <w:rPr>
          <w:rFonts w:asciiTheme="minorEastAsia" w:hAnsiTheme="minorEastAsia" w:cstheme="minorEastAsia"/>
          <w:szCs w:val="21"/>
        </w:rPr>
      </w:pPr>
      <w:r>
        <w:rPr>
          <w:rFonts w:asciiTheme="minorEastAsia" w:hAnsiTheme="minorEastAsia" w:cstheme="minorEastAsia" w:hint="eastAsia"/>
          <w:szCs w:val="21"/>
        </w:rPr>
        <w:t>6可维护性要求</w:t>
      </w:r>
    </w:p>
    <w:p w:rsidR="001850B9" w:rsidRDefault="001850B9" w:rsidP="001850B9">
      <w:pPr>
        <w:pStyle w:val="11"/>
        <w:numPr>
          <w:ilvl w:val="0"/>
          <w:numId w:val="26"/>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系统设计应包括有适当的测点及诊断措施，具有自身设备（如计算机、网络设备等）的监视管理系统；</w:t>
      </w:r>
    </w:p>
    <w:p w:rsidR="001850B9" w:rsidRDefault="001850B9" w:rsidP="001850B9">
      <w:pPr>
        <w:pStyle w:val="11"/>
        <w:numPr>
          <w:ilvl w:val="0"/>
          <w:numId w:val="26"/>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应选用统一的、优化的硬件平台，设备标准化，降低维护、维修成本。</w:t>
      </w:r>
    </w:p>
    <w:p w:rsidR="001850B9" w:rsidRDefault="001850B9" w:rsidP="001850B9">
      <w:pPr>
        <w:spacing w:line="360" w:lineRule="auto"/>
        <w:ind w:left="424" w:hanging="4"/>
        <w:rPr>
          <w:rFonts w:asciiTheme="minorEastAsia" w:hAnsiTheme="minorEastAsia" w:cstheme="minorEastAsia"/>
          <w:szCs w:val="21"/>
        </w:rPr>
      </w:pPr>
      <w:r>
        <w:rPr>
          <w:rFonts w:asciiTheme="minorEastAsia" w:hAnsiTheme="minorEastAsia" w:cstheme="minorEastAsia" w:hint="eastAsia"/>
          <w:szCs w:val="21"/>
        </w:rPr>
        <w:t>7开放性要求</w:t>
      </w:r>
    </w:p>
    <w:p w:rsidR="001850B9" w:rsidRDefault="001850B9" w:rsidP="001850B9">
      <w:pPr>
        <w:pStyle w:val="11"/>
        <w:numPr>
          <w:ilvl w:val="0"/>
          <w:numId w:val="27"/>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系统应提供统一标准接口，支持第三方应用集成；</w:t>
      </w:r>
    </w:p>
    <w:p w:rsidR="001850B9" w:rsidRDefault="001850B9" w:rsidP="001850B9">
      <w:pPr>
        <w:pStyle w:val="11"/>
        <w:numPr>
          <w:ilvl w:val="0"/>
          <w:numId w:val="27"/>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系统应具有良好的软件和硬件在线可扩展性；</w:t>
      </w:r>
    </w:p>
    <w:p w:rsidR="001850B9" w:rsidRDefault="001850B9" w:rsidP="001850B9">
      <w:pPr>
        <w:pStyle w:val="11"/>
        <w:numPr>
          <w:ilvl w:val="0"/>
          <w:numId w:val="27"/>
        </w:numPr>
        <w:spacing w:line="360" w:lineRule="auto"/>
        <w:ind w:firstLine="42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系统容量可扩充。</w:t>
      </w:r>
    </w:p>
    <w:p w:rsidR="001850B9" w:rsidRDefault="001850B9" w:rsidP="001850B9">
      <w:pPr>
        <w:pStyle w:val="3"/>
        <w:numPr>
          <w:ilvl w:val="0"/>
          <w:numId w:val="16"/>
        </w:numPr>
        <w:spacing w:line="360" w:lineRule="auto"/>
        <w:ind w:leftChars="0" w:firstLineChars="0" w:hanging="5"/>
      </w:pPr>
      <w:bookmarkStart w:id="33" w:name="_Toc7776"/>
      <w:r>
        <w:rPr>
          <w:rFonts w:hint="eastAsia"/>
        </w:rPr>
        <w:t>弱电变化控制系统</w:t>
      </w:r>
      <w:bookmarkEnd w:id="33"/>
    </w:p>
    <w:p w:rsidR="001850B9" w:rsidRDefault="001850B9" w:rsidP="001850B9">
      <w:pPr>
        <w:numPr>
          <w:ilvl w:val="0"/>
          <w:numId w:val="28"/>
        </w:numPr>
        <w:spacing w:line="360" w:lineRule="auto"/>
      </w:pPr>
      <w:r>
        <w:rPr>
          <w:rFonts w:hint="eastAsia"/>
        </w:rPr>
        <w:t>控制系统网络通信协议使用</w:t>
      </w:r>
      <w:r>
        <w:rPr>
          <w:rFonts w:hint="eastAsia"/>
        </w:rPr>
        <w:t>TCP/IP</w:t>
      </w:r>
      <w:r>
        <w:rPr>
          <w:rFonts w:hint="eastAsia"/>
        </w:rPr>
        <w:t>或</w:t>
      </w:r>
      <w:r>
        <w:rPr>
          <w:rFonts w:hint="eastAsia"/>
        </w:rPr>
        <w:t>UDP</w:t>
      </w:r>
      <w:r>
        <w:rPr>
          <w:rFonts w:hint="eastAsia"/>
        </w:rPr>
        <w:t>数据传输方式。</w:t>
      </w:r>
    </w:p>
    <w:p w:rsidR="001850B9" w:rsidRDefault="001850B9" w:rsidP="001850B9">
      <w:pPr>
        <w:numPr>
          <w:ilvl w:val="0"/>
          <w:numId w:val="28"/>
        </w:numPr>
        <w:spacing w:line="360" w:lineRule="auto"/>
      </w:pPr>
      <w:r>
        <w:rPr>
          <w:rFonts w:hint="eastAsia"/>
        </w:rPr>
        <w:t>控制</w:t>
      </w:r>
      <w:r>
        <w:t>系统</w:t>
      </w:r>
      <w:r>
        <w:rPr>
          <w:rFonts w:hint="eastAsia"/>
        </w:rPr>
        <w:t>采用</w:t>
      </w:r>
      <w:r>
        <w:t>标准</w:t>
      </w:r>
      <w:r>
        <w:t>DMX512</w:t>
      </w:r>
      <w:r>
        <w:rPr>
          <w:rFonts w:hint="eastAsia"/>
        </w:rPr>
        <w:t>及</w:t>
      </w:r>
      <w:r>
        <w:t>DMX512</w:t>
      </w:r>
      <w:r>
        <w:rPr>
          <w:rFonts w:hint="eastAsia"/>
        </w:rPr>
        <w:t>-</w:t>
      </w:r>
      <w:r>
        <w:t>A</w:t>
      </w:r>
      <w:r>
        <w:rPr>
          <w:rFonts w:hint="eastAsia"/>
        </w:rPr>
        <w:t>控制</w:t>
      </w:r>
      <w:r>
        <w:t>协议。</w:t>
      </w:r>
    </w:p>
    <w:p w:rsidR="001850B9" w:rsidRDefault="001850B9" w:rsidP="001850B9">
      <w:pPr>
        <w:numPr>
          <w:ilvl w:val="0"/>
          <w:numId w:val="28"/>
        </w:numPr>
        <w:spacing w:line="360" w:lineRule="auto"/>
      </w:pPr>
      <w:r>
        <w:rPr>
          <w:rFonts w:hint="eastAsia"/>
        </w:rPr>
        <w:t>主控</w:t>
      </w:r>
      <w:r>
        <w:t>系统支持双</w:t>
      </w:r>
      <w:r>
        <w:rPr>
          <w:rFonts w:hint="eastAsia"/>
        </w:rPr>
        <w:t>机</w:t>
      </w:r>
      <w:r>
        <w:t>备份</w:t>
      </w:r>
      <w:r>
        <w:rPr>
          <w:rFonts w:hint="eastAsia"/>
        </w:rPr>
        <w:t>功能。</w:t>
      </w:r>
    </w:p>
    <w:p w:rsidR="001850B9" w:rsidRDefault="001850B9" w:rsidP="001850B9">
      <w:pPr>
        <w:numPr>
          <w:ilvl w:val="0"/>
          <w:numId w:val="28"/>
        </w:numPr>
        <w:spacing w:line="360" w:lineRule="auto"/>
      </w:pPr>
      <w:r>
        <w:rPr>
          <w:rFonts w:hint="eastAsia"/>
        </w:rPr>
        <w:t>主控制器具备≥</w:t>
      </w:r>
      <w:r>
        <w:rPr>
          <w:rFonts w:hint="eastAsia"/>
        </w:rPr>
        <w:t>20</w:t>
      </w:r>
      <w:r>
        <w:t>0</w:t>
      </w:r>
      <w:r>
        <w:rPr>
          <w:rFonts w:hint="eastAsia"/>
        </w:rPr>
        <w:t>万个像素（</w:t>
      </w:r>
      <w:r>
        <w:t>RGB</w:t>
      </w:r>
      <w:r>
        <w:rPr>
          <w:rFonts w:hint="eastAsia"/>
        </w:rPr>
        <w:t>）控制能力。</w:t>
      </w:r>
      <w:r>
        <w:rPr>
          <w:rFonts w:hint="eastAsia"/>
        </w:rPr>
        <w:t xml:space="preserve"> </w:t>
      </w:r>
    </w:p>
    <w:p w:rsidR="001850B9" w:rsidRDefault="001850B9" w:rsidP="001850B9">
      <w:pPr>
        <w:numPr>
          <w:ilvl w:val="0"/>
          <w:numId w:val="28"/>
        </w:numPr>
        <w:spacing w:line="360" w:lineRule="auto"/>
      </w:pPr>
      <w:r>
        <w:rPr>
          <w:rFonts w:hint="eastAsia"/>
        </w:rPr>
        <w:t>软硬件设备具备连接其他</w:t>
      </w:r>
      <w:r>
        <w:t>设备</w:t>
      </w:r>
      <w:r>
        <w:rPr>
          <w:rFonts w:hint="eastAsia"/>
        </w:rPr>
        <w:t>的</w:t>
      </w:r>
      <w:r>
        <w:t>相应接口</w:t>
      </w:r>
      <w:r>
        <w:rPr>
          <w:rFonts w:hint="eastAsia"/>
        </w:rPr>
        <w:t>。</w:t>
      </w:r>
    </w:p>
    <w:p w:rsidR="001850B9" w:rsidRDefault="001850B9" w:rsidP="001850B9">
      <w:pPr>
        <w:numPr>
          <w:ilvl w:val="0"/>
          <w:numId w:val="29"/>
        </w:numPr>
        <w:spacing w:line="360" w:lineRule="auto"/>
        <w:ind w:firstLineChars="200" w:firstLine="420"/>
      </w:pPr>
      <w:r>
        <w:rPr>
          <w:rFonts w:hint="eastAsia"/>
        </w:rPr>
        <w:t>控制强电系统的接口；</w:t>
      </w:r>
    </w:p>
    <w:p w:rsidR="001850B9" w:rsidRDefault="001850B9" w:rsidP="001850B9">
      <w:pPr>
        <w:numPr>
          <w:ilvl w:val="0"/>
          <w:numId w:val="29"/>
        </w:numPr>
        <w:spacing w:line="360" w:lineRule="auto"/>
        <w:ind w:firstLineChars="200" w:firstLine="420"/>
      </w:pPr>
      <w:r>
        <w:rPr>
          <w:rFonts w:hint="eastAsia"/>
        </w:rPr>
        <w:t>控制投影秀、光束灯等第三方设备的接口；</w:t>
      </w:r>
    </w:p>
    <w:p w:rsidR="001850B9" w:rsidRDefault="001850B9" w:rsidP="001850B9">
      <w:pPr>
        <w:numPr>
          <w:ilvl w:val="0"/>
          <w:numId w:val="29"/>
        </w:numPr>
        <w:spacing w:line="360" w:lineRule="auto"/>
        <w:ind w:firstLineChars="200" w:firstLine="420"/>
      </w:pPr>
      <w:r>
        <w:rPr>
          <w:rFonts w:hint="eastAsia"/>
        </w:rPr>
        <w:t>与实现灯光互动功能相关</w:t>
      </w:r>
      <w:r>
        <w:t>设备对接</w:t>
      </w:r>
      <w:r>
        <w:rPr>
          <w:rFonts w:hint="eastAsia"/>
        </w:rPr>
        <w:t>的</w:t>
      </w:r>
      <w:r>
        <w:t>接口</w:t>
      </w:r>
      <w:r>
        <w:rPr>
          <w:rFonts w:hint="eastAsia"/>
        </w:rPr>
        <w:t>。</w:t>
      </w:r>
    </w:p>
    <w:p w:rsidR="001850B9" w:rsidRDefault="001850B9" w:rsidP="001850B9">
      <w:pPr>
        <w:numPr>
          <w:ilvl w:val="0"/>
          <w:numId w:val="28"/>
        </w:numPr>
        <w:spacing w:line="360" w:lineRule="auto"/>
      </w:pPr>
      <w:r>
        <w:t>预留标准</w:t>
      </w:r>
      <w:r>
        <w:t>TCP</w:t>
      </w:r>
      <w:r>
        <w:rPr>
          <w:rFonts w:hint="eastAsia"/>
        </w:rPr>
        <w:t>/IP</w:t>
      </w:r>
      <w:r>
        <w:rPr>
          <w:rFonts w:hint="eastAsia"/>
        </w:rPr>
        <w:t>、</w:t>
      </w:r>
      <w:r>
        <w:rPr>
          <w:rFonts w:hint="eastAsia"/>
        </w:rPr>
        <w:t>DMX</w:t>
      </w:r>
      <w:r>
        <w:t>512</w:t>
      </w:r>
      <w:r>
        <w:rPr>
          <w:rFonts w:hint="eastAsia"/>
        </w:rPr>
        <w:t>-</w:t>
      </w:r>
      <w:r>
        <w:t>A</w:t>
      </w:r>
      <w:r>
        <w:rPr>
          <w:rFonts w:hint="eastAsia"/>
        </w:rPr>
        <w:t>、</w:t>
      </w:r>
      <w:r>
        <w:t>RS485</w:t>
      </w:r>
      <w:r>
        <w:t>扩展接口至少</w:t>
      </w:r>
      <w:r>
        <w:rPr>
          <w:rFonts w:hint="eastAsia"/>
        </w:rPr>
        <w:t>2</w:t>
      </w:r>
      <w:r>
        <w:rPr>
          <w:rFonts w:hint="eastAsia"/>
        </w:rPr>
        <w:t>个，</w:t>
      </w:r>
      <w:r>
        <w:t>可连接其他扩展设备</w:t>
      </w:r>
      <w:r>
        <w:rPr>
          <w:rFonts w:hint="eastAsia"/>
        </w:rPr>
        <w:t>。</w:t>
      </w:r>
    </w:p>
    <w:p w:rsidR="001850B9" w:rsidRDefault="001850B9" w:rsidP="001850B9">
      <w:pPr>
        <w:numPr>
          <w:ilvl w:val="0"/>
          <w:numId w:val="28"/>
        </w:numPr>
        <w:spacing w:line="360" w:lineRule="auto"/>
      </w:pPr>
      <w:r>
        <w:rPr>
          <w:rFonts w:hint="eastAsia"/>
        </w:rPr>
        <w:t>所有动态变化方式可以在总控进行编辑，可在非开灯时间进行下载传输。</w:t>
      </w:r>
    </w:p>
    <w:p w:rsidR="001850B9" w:rsidRDefault="001850B9" w:rsidP="001850B9">
      <w:pPr>
        <w:numPr>
          <w:ilvl w:val="0"/>
          <w:numId w:val="28"/>
        </w:numPr>
        <w:spacing w:line="360" w:lineRule="auto"/>
      </w:pPr>
      <w:r>
        <w:rPr>
          <w:rFonts w:hint="eastAsia"/>
        </w:rPr>
        <w:t>软件界面操作简单</w:t>
      </w:r>
      <w:r>
        <w:t>，</w:t>
      </w:r>
      <w:r>
        <w:rPr>
          <w:rFonts w:hint="eastAsia"/>
        </w:rPr>
        <w:t>可通过无线终端</w:t>
      </w:r>
      <w:r>
        <w:t>如</w:t>
      </w:r>
      <w:r>
        <w:rPr>
          <w:rFonts w:hint="eastAsia"/>
        </w:rPr>
        <w:t>iPad/iPhone</w:t>
      </w:r>
      <w:r>
        <w:rPr>
          <w:rFonts w:hint="eastAsia"/>
        </w:rPr>
        <w:t>、</w:t>
      </w:r>
      <w:r>
        <w:t>专用手机</w:t>
      </w:r>
      <w:r>
        <w:rPr>
          <w:rFonts w:hint="eastAsia"/>
        </w:rPr>
        <w:t>等操作；能够依据需求进行定制，包括文字、图片、</w:t>
      </w:r>
      <w:r>
        <w:rPr>
          <w:rFonts w:hint="eastAsia"/>
        </w:rPr>
        <w:t>Logo</w:t>
      </w:r>
      <w:r>
        <w:rPr>
          <w:rFonts w:hint="eastAsia"/>
        </w:rPr>
        <w:t>、按钮、状态信息等。</w:t>
      </w:r>
    </w:p>
    <w:p w:rsidR="001850B9" w:rsidRDefault="001850B9" w:rsidP="001850B9">
      <w:pPr>
        <w:numPr>
          <w:ilvl w:val="0"/>
          <w:numId w:val="28"/>
        </w:numPr>
        <w:spacing w:line="360" w:lineRule="auto"/>
      </w:pPr>
      <w:r>
        <w:rPr>
          <w:rFonts w:hint="eastAsia"/>
        </w:rPr>
        <w:t>软件系统具有自动更新下载的功能，新的场景或播放列表可以远程更新。</w:t>
      </w:r>
    </w:p>
    <w:p w:rsidR="001850B9" w:rsidRDefault="001850B9" w:rsidP="001850B9">
      <w:pPr>
        <w:numPr>
          <w:ilvl w:val="0"/>
          <w:numId w:val="28"/>
        </w:numPr>
        <w:spacing w:line="360" w:lineRule="auto"/>
      </w:pPr>
      <w:r>
        <w:rPr>
          <w:rFonts w:hint="eastAsia"/>
        </w:rPr>
        <w:t>软件</w:t>
      </w:r>
      <w:r>
        <w:t>系统</w:t>
      </w:r>
      <w:r>
        <w:rPr>
          <w:rFonts w:hint="eastAsia"/>
        </w:rPr>
        <w:t>可进行定时设置，实现任意时刻的场景自动播放。</w:t>
      </w:r>
    </w:p>
    <w:p w:rsidR="001850B9" w:rsidRDefault="001850B9" w:rsidP="001850B9">
      <w:pPr>
        <w:numPr>
          <w:ilvl w:val="0"/>
          <w:numId w:val="28"/>
        </w:numPr>
        <w:spacing w:line="360" w:lineRule="auto"/>
      </w:pPr>
      <w:r>
        <w:rPr>
          <w:rFonts w:hint="eastAsia"/>
        </w:rPr>
        <w:t>软件</w:t>
      </w:r>
      <w:r>
        <w:t>系统</w:t>
      </w:r>
      <w:r>
        <w:rPr>
          <w:rFonts w:hint="eastAsia"/>
        </w:rPr>
        <w:t>储存并随时调用＞</w:t>
      </w:r>
      <w:r>
        <w:rPr>
          <w:rFonts w:hint="eastAsia"/>
        </w:rPr>
        <w:t>32</w:t>
      </w:r>
      <w:r>
        <w:rPr>
          <w:rFonts w:hint="eastAsia"/>
        </w:rPr>
        <w:t>套节目，支持短时间内便捷更换节目内容。</w:t>
      </w:r>
    </w:p>
    <w:p w:rsidR="001850B9" w:rsidRDefault="001850B9" w:rsidP="001850B9">
      <w:pPr>
        <w:numPr>
          <w:ilvl w:val="0"/>
          <w:numId w:val="28"/>
        </w:numPr>
        <w:spacing w:line="360" w:lineRule="auto"/>
      </w:pPr>
      <w:r>
        <w:rPr>
          <w:rFonts w:hint="eastAsia"/>
        </w:rPr>
        <w:t>软件</w:t>
      </w:r>
      <w:r>
        <w:t>系统</w:t>
      </w:r>
      <w:r>
        <w:rPr>
          <w:rFonts w:hint="eastAsia"/>
        </w:rPr>
        <w:t>具备布灯文件，将计算机屏幕上显示的画面通过该文件在</w:t>
      </w:r>
      <w:r>
        <w:rPr>
          <w:rFonts w:hint="eastAsia"/>
        </w:rPr>
        <w:t>LED</w:t>
      </w:r>
      <w:r>
        <w:rPr>
          <w:rFonts w:hint="eastAsia"/>
        </w:rPr>
        <w:t>灯具上显示出来，后期升级软件后，不必重新制作布灯文件。</w:t>
      </w:r>
    </w:p>
    <w:p w:rsidR="001850B9" w:rsidRDefault="001850B9" w:rsidP="001850B9">
      <w:pPr>
        <w:numPr>
          <w:ilvl w:val="0"/>
          <w:numId w:val="28"/>
        </w:numPr>
        <w:spacing w:line="360" w:lineRule="auto"/>
      </w:pPr>
      <w:r>
        <w:rPr>
          <w:rFonts w:hint="eastAsia"/>
        </w:rPr>
        <w:t>软件</w:t>
      </w:r>
      <w:r>
        <w:t>系统</w:t>
      </w:r>
      <w:r>
        <w:rPr>
          <w:rFonts w:hint="eastAsia"/>
        </w:rPr>
        <w:t>可以实现实时视频文件或图形效果文件的自动切割和分发。</w:t>
      </w:r>
    </w:p>
    <w:p w:rsidR="001850B9" w:rsidRDefault="001850B9" w:rsidP="001850B9">
      <w:pPr>
        <w:numPr>
          <w:ilvl w:val="0"/>
          <w:numId w:val="28"/>
        </w:numPr>
        <w:spacing w:line="360" w:lineRule="auto"/>
      </w:pPr>
      <w:r>
        <w:rPr>
          <w:rFonts w:hint="eastAsia"/>
        </w:rPr>
        <w:t>软件</w:t>
      </w:r>
      <w:r>
        <w:t>系统</w:t>
      </w:r>
      <w:r>
        <w:rPr>
          <w:rFonts w:hint="eastAsia"/>
        </w:rPr>
        <w:t>具有</w:t>
      </w:r>
      <w:r>
        <w:t>断网工作能力，在</w:t>
      </w:r>
      <w:r>
        <w:rPr>
          <w:rFonts w:hint="eastAsia"/>
        </w:rPr>
        <w:t>无网络信号</w:t>
      </w:r>
      <w:r>
        <w:t>的情况下可</w:t>
      </w:r>
      <w:r>
        <w:rPr>
          <w:rFonts w:hint="eastAsia"/>
        </w:rPr>
        <w:t>脱机</w:t>
      </w:r>
      <w:r>
        <w:t>工作</w:t>
      </w:r>
      <w:r>
        <w:rPr>
          <w:rFonts w:hint="eastAsia"/>
        </w:rPr>
        <w:t>。</w:t>
      </w:r>
    </w:p>
    <w:p w:rsidR="001850B9" w:rsidRDefault="001850B9" w:rsidP="001850B9">
      <w:pPr>
        <w:numPr>
          <w:ilvl w:val="0"/>
          <w:numId w:val="28"/>
        </w:numPr>
        <w:spacing w:line="360" w:lineRule="auto"/>
      </w:pPr>
      <w:r>
        <w:rPr>
          <w:rFonts w:hint="eastAsia"/>
        </w:rPr>
        <w:t>硬件</w:t>
      </w:r>
      <w:r>
        <w:t>设备</w:t>
      </w:r>
      <w:r>
        <w:rPr>
          <w:rFonts w:hint="eastAsia"/>
        </w:rPr>
        <w:t>就近放置于照明配电箱附近，专用控制箱或者置于配电箱内。</w:t>
      </w:r>
    </w:p>
    <w:p w:rsidR="001850B9" w:rsidRDefault="001850B9" w:rsidP="001850B9">
      <w:pPr>
        <w:numPr>
          <w:ilvl w:val="0"/>
          <w:numId w:val="28"/>
        </w:numPr>
        <w:spacing w:line="360" w:lineRule="auto"/>
      </w:pPr>
      <w:r>
        <w:rPr>
          <w:rFonts w:hint="eastAsia"/>
        </w:rPr>
        <w:t>硬件</w:t>
      </w:r>
      <w:r>
        <w:t>设备</w:t>
      </w:r>
      <w:r>
        <w:rPr>
          <w:rFonts w:hint="eastAsia"/>
        </w:rPr>
        <w:t>控制端口到第一套灯具的通信距离不小于</w:t>
      </w:r>
      <w:r>
        <w:rPr>
          <w:rFonts w:hint="eastAsia"/>
        </w:rPr>
        <w:t>100</w:t>
      </w:r>
      <w:r>
        <w:rPr>
          <w:rFonts w:hint="eastAsia"/>
        </w:rPr>
        <w:t>米。</w:t>
      </w:r>
    </w:p>
    <w:p w:rsidR="001850B9" w:rsidRDefault="001850B9" w:rsidP="001850B9">
      <w:pPr>
        <w:numPr>
          <w:ilvl w:val="0"/>
          <w:numId w:val="28"/>
        </w:numPr>
        <w:spacing w:line="360" w:lineRule="auto"/>
      </w:pPr>
      <w:r>
        <w:rPr>
          <w:rFonts w:hint="eastAsia"/>
        </w:rPr>
        <w:t>硬件</w:t>
      </w:r>
      <w:r>
        <w:t>设备</w:t>
      </w:r>
      <w:r>
        <w:rPr>
          <w:rFonts w:hint="eastAsia"/>
        </w:rPr>
        <w:t>要求工作</w:t>
      </w:r>
      <w:r>
        <w:t>温度</w:t>
      </w:r>
      <w:r>
        <w:rPr>
          <w:rFonts w:hint="eastAsia"/>
        </w:rPr>
        <w:t>温度</w:t>
      </w:r>
      <w:r>
        <w:rPr>
          <w:rFonts w:hint="eastAsia"/>
        </w:rPr>
        <w:t>-20</w:t>
      </w:r>
      <w:r>
        <w:rPr>
          <w:rFonts w:hint="eastAsia"/>
        </w:rPr>
        <w:t>～</w:t>
      </w:r>
      <w:r>
        <w:rPr>
          <w:rFonts w:hint="eastAsia"/>
        </w:rPr>
        <w:t>60</w:t>
      </w:r>
      <w:r>
        <w:rPr>
          <w:rFonts w:hint="eastAsia"/>
        </w:rPr>
        <w:t>℃，相对湿度</w:t>
      </w:r>
      <w:r>
        <w:rPr>
          <w:rFonts w:hint="eastAsia"/>
        </w:rPr>
        <w:t>0</w:t>
      </w:r>
      <w:r>
        <w:rPr>
          <w:rFonts w:hint="eastAsia"/>
        </w:rPr>
        <w:t>％～</w:t>
      </w:r>
      <w:r>
        <w:rPr>
          <w:rFonts w:hint="eastAsia"/>
        </w:rPr>
        <w:t>80</w:t>
      </w:r>
      <w:r>
        <w:rPr>
          <w:rFonts w:hint="eastAsia"/>
        </w:rPr>
        <w:t>％且无人值守的环境下长期稳定工作。</w:t>
      </w:r>
    </w:p>
    <w:p w:rsidR="001850B9" w:rsidRDefault="001850B9" w:rsidP="001850B9">
      <w:pPr>
        <w:numPr>
          <w:ilvl w:val="0"/>
          <w:numId w:val="28"/>
        </w:numPr>
        <w:spacing w:line="360" w:lineRule="auto"/>
      </w:pPr>
      <w:r>
        <w:rPr>
          <w:rFonts w:hint="eastAsia"/>
        </w:rPr>
        <w:t>硬件</w:t>
      </w:r>
      <w:r>
        <w:t>设备</w:t>
      </w:r>
      <w:r>
        <w:rPr>
          <w:rFonts w:hint="eastAsia"/>
        </w:rPr>
        <w:t>支持防雷及</w:t>
      </w:r>
      <w:r>
        <w:rPr>
          <w:rFonts w:hint="eastAsia"/>
        </w:rPr>
        <w:t>POE</w:t>
      </w:r>
      <w:r>
        <w:rPr>
          <w:rFonts w:hint="eastAsia"/>
        </w:rPr>
        <w:t>，光电隔离浪涌抑制保护的功能。</w:t>
      </w:r>
    </w:p>
    <w:p w:rsidR="001850B9" w:rsidRDefault="001850B9" w:rsidP="001850B9">
      <w:pPr>
        <w:numPr>
          <w:ilvl w:val="0"/>
          <w:numId w:val="28"/>
        </w:numPr>
        <w:spacing w:line="360" w:lineRule="auto"/>
      </w:pPr>
      <w:r>
        <w:rPr>
          <w:rFonts w:hint="eastAsia"/>
        </w:rPr>
        <w:t>硬件</w:t>
      </w:r>
      <w:r>
        <w:t>设备</w:t>
      </w:r>
      <w:r>
        <w:rPr>
          <w:rFonts w:hint="eastAsia"/>
        </w:rPr>
        <w:t>具备通讯保护功能：控制设备必须具备浪涌抑制保护的功能，静电抑制保</w:t>
      </w:r>
      <w:r>
        <w:rPr>
          <w:rFonts w:hint="eastAsia"/>
        </w:rPr>
        <w:lastRenderedPageBreak/>
        <w:t>护功能，过压、短路、过温保护功能和斜率、空闲保护功能。</w:t>
      </w:r>
    </w:p>
    <w:p w:rsidR="001850B9" w:rsidRDefault="001850B9" w:rsidP="001850B9">
      <w:pPr>
        <w:numPr>
          <w:ilvl w:val="0"/>
          <w:numId w:val="28"/>
        </w:numPr>
        <w:spacing w:line="360" w:lineRule="auto"/>
      </w:pPr>
      <w:r>
        <w:rPr>
          <w:rFonts w:hint="eastAsia"/>
        </w:rPr>
        <w:t>硬件</w:t>
      </w:r>
      <w:r>
        <w:t>设备</w:t>
      </w:r>
      <w:r>
        <w:rPr>
          <w:rFonts w:hint="eastAsia"/>
        </w:rPr>
        <w:t>提供</w:t>
      </w:r>
      <w:r>
        <w:rPr>
          <w:rFonts w:hint="eastAsia"/>
        </w:rPr>
        <w:t>5</w:t>
      </w:r>
      <w:r>
        <w:rPr>
          <w:rFonts w:hint="eastAsia"/>
        </w:rPr>
        <w:t>年质保，并且在</w:t>
      </w:r>
      <w:r>
        <w:rPr>
          <w:rFonts w:hint="eastAsia"/>
        </w:rPr>
        <w:t>10</w:t>
      </w:r>
      <w:r>
        <w:rPr>
          <w:rFonts w:hint="eastAsia"/>
        </w:rPr>
        <w:t>年内免费升级软件。</w:t>
      </w:r>
    </w:p>
    <w:p w:rsidR="001850B9" w:rsidRDefault="001850B9" w:rsidP="001850B9">
      <w:pPr>
        <w:numPr>
          <w:ilvl w:val="0"/>
          <w:numId w:val="28"/>
        </w:numPr>
        <w:spacing w:line="360" w:lineRule="auto"/>
      </w:pPr>
      <w:r>
        <w:rPr>
          <w:rFonts w:hint="eastAsia"/>
        </w:rPr>
        <w:t>硬件</w:t>
      </w:r>
      <w:r>
        <w:t>设备</w:t>
      </w:r>
      <w:r>
        <w:rPr>
          <w:rFonts w:hint="eastAsia"/>
        </w:rPr>
        <w:t>应符合国家</w:t>
      </w:r>
      <w:r>
        <w:rPr>
          <w:rFonts w:hint="eastAsia"/>
        </w:rPr>
        <w:t>CCC</w:t>
      </w:r>
      <w:r>
        <w:rPr>
          <w:rFonts w:hint="eastAsia"/>
        </w:rPr>
        <w:t>、</w:t>
      </w:r>
      <w:r>
        <w:rPr>
          <w:rFonts w:hint="eastAsia"/>
        </w:rPr>
        <w:t>EMC/EMI</w:t>
      </w:r>
      <w:r>
        <w:rPr>
          <w:rFonts w:hint="eastAsia"/>
        </w:rPr>
        <w:t>等相应标准。</w:t>
      </w:r>
    </w:p>
    <w:p w:rsidR="001850B9" w:rsidRDefault="001850B9" w:rsidP="001850B9">
      <w:pPr>
        <w:numPr>
          <w:ilvl w:val="0"/>
          <w:numId w:val="28"/>
        </w:numPr>
        <w:spacing w:line="360" w:lineRule="auto"/>
      </w:pPr>
      <w:r>
        <w:rPr>
          <w:rFonts w:hint="eastAsia"/>
        </w:rPr>
        <w:t>主控制器设置密码锁，防止随意篡改程序。</w:t>
      </w:r>
    </w:p>
    <w:p w:rsidR="001850B9" w:rsidRDefault="001850B9" w:rsidP="001850B9">
      <w:pPr>
        <w:numPr>
          <w:ilvl w:val="0"/>
          <w:numId w:val="28"/>
        </w:numPr>
        <w:spacing w:line="360" w:lineRule="auto"/>
      </w:pPr>
      <w:r>
        <w:rPr>
          <w:rFonts w:hint="eastAsia"/>
        </w:rPr>
        <w:t>分控设备具有识别主控功能，不接受其他设备控制。</w:t>
      </w:r>
    </w:p>
    <w:p w:rsidR="001850B9" w:rsidRDefault="001850B9" w:rsidP="001850B9">
      <w:pPr>
        <w:numPr>
          <w:ilvl w:val="0"/>
          <w:numId w:val="28"/>
        </w:numPr>
        <w:spacing w:line="360" w:lineRule="auto"/>
      </w:pPr>
      <w:r>
        <w:t>电气负荷为三级负荷</w:t>
      </w:r>
      <w:r>
        <w:rPr>
          <w:rFonts w:hint="eastAsia"/>
        </w:rPr>
        <w:t>，硬件设备具有上电后运行状态自恢复功能，保证在上电后装置能立即恢复到正常的工作状态。</w:t>
      </w:r>
    </w:p>
    <w:p w:rsidR="001850B9" w:rsidRDefault="001850B9" w:rsidP="001850B9">
      <w:pPr>
        <w:pStyle w:val="2"/>
        <w:numPr>
          <w:ilvl w:val="0"/>
          <w:numId w:val="2"/>
        </w:numPr>
        <w:spacing w:line="360" w:lineRule="auto"/>
        <w:ind w:firstLine="0"/>
      </w:pPr>
      <w:bookmarkStart w:id="34" w:name="_Toc10067"/>
      <w:bookmarkEnd w:id="25"/>
      <w:r>
        <w:rPr>
          <w:rFonts w:hint="eastAsia"/>
        </w:rPr>
        <w:t>灯具附属防坠落装置及防坠落钢丝绳要求</w:t>
      </w:r>
      <w:bookmarkEnd w:id="34"/>
    </w:p>
    <w:p w:rsidR="001850B9" w:rsidRDefault="001850B9" w:rsidP="001850B9">
      <w:pPr>
        <w:widowControl/>
        <w:spacing w:line="360" w:lineRule="auto"/>
        <w:ind w:firstLineChars="200" w:firstLine="420"/>
        <w:jc w:val="left"/>
        <w:rPr>
          <w:rFonts w:ascii="宋体" w:hAnsi="宋体"/>
          <w:kern w:val="0"/>
          <w:szCs w:val="21"/>
        </w:rPr>
      </w:pPr>
      <w:r>
        <w:rPr>
          <w:rFonts w:ascii="宋体" w:hAnsi="宋体" w:hint="eastAsia"/>
          <w:kern w:val="0"/>
          <w:szCs w:val="21"/>
        </w:rPr>
        <w:t>技术文件详参有规定的，按详参规定执行，没有详参规定的，按照本通则执行。</w:t>
      </w:r>
    </w:p>
    <w:p w:rsidR="001850B9" w:rsidRDefault="001850B9" w:rsidP="001850B9">
      <w:pPr>
        <w:widowControl/>
        <w:spacing w:line="360" w:lineRule="auto"/>
        <w:ind w:firstLineChars="200" w:firstLine="420"/>
        <w:jc w:val="left"/>
        <w:rPr>
          <w:rFonts w:ascii="宋体" w:hAnsi="宋体"/>
          <w:kern w:val="0"/>
          <w:szCs w:val="21"/>
        </w:rPr>
      </w:pPr>
      <w:r>
        <w:rPr>
          <w:rFonts w:ascii="宋体" w:hAnsi="宋体" w:hint="eastAsia"/>
          <w:kern w:val="0"/>
          <w:szCs w:val="21"/>
        </w:rPr>
        <w:t>高空（高度大于2米）安装的灯具必须配置与灯具相匹配的连接件及防坠落装置。恶劣天气，强风袭击时，灯具不会坠落在地，保证安全。防坠落装置安装于合理位置。</w:t>
      </w:r>
    </w:p>
    <w:p w:rsidR="001850B9" w:rsidRDefault="001850B9" w:rsidP="001850B9">
      <w:pPr>
        <w:widowControl/>
        <w:numPr>
          <w:ilvl w:val="0"/>
          <w:numId w:val="30"/>
        </w:numPr>
        <w:spacing w:line="360" w:lineRule="auto"/>
        <w:ind w:firstLineChars="200" w:firstLine="420"/>
        <w:jc w:val="left"/>
        <w:rPr>
          <w:rFonts w:ascii="宋体" w:hAnsi="宋体"/>
          <w:kern w:val="0"/>
          <w:szCs w:val="21"/>
        </w:rPr>
      </w:pPr>
      <w:r>
        <w:rPr>
          <w:rFonts w:ascii="宋体" w:hAnsi="宋体" w:hint="eastAsia"/>
          <w:kern w:val="0"/>
          <w:szCs w:val="21"/>
        </w:rPr>
        <w:t>钢丝绳材质：304不锈钢；</w:t>
      </w:r>
    </w:p>
    <w:p w:rsidR="001850B9" w:rsidRDefault="001850B9" w:rsidP="001850B9">
      <w:pPr>
        <w:widowControl/>
        <w:numPr>
          <w:ilvl w:val="0"/>
          <w:numId w:val="30"/>
        </w:numPr>
        <w:spacing w:line="360" w:lineRule="auto"/>
        <w:ind w:firstLineChars="200" w:firstLine="420"/>
        <w:jc w:val="left"/>
        <w:rPr>
          <w:rFonts w:ascii="宋体" w:hAnsi="宋体"/>
          <w:kern w:val="0"/>
          <w:szCs w:val="21"/>
        </w:rPr>
      </w:pPr>
      <w:r>
        <w:rPr>
          <w:rFonts w:ascii="宋体" w:hAnsi="宋体" w:hint="eastAsia"/>
          <w:kern w:val="0"/>
          <w:szCs w:val="21"/>
        </w:rPr>
        <w:t>钢丝绳直径：≥3mm；</w:t>
      </w:r>
    </w:p>
    <w:p w:rsidR="001850B9" w:rsidRDefault="001850B9" w:rsidP="001850B9">
      <w:pPr>
        <w:widowControl/>
        <w:numPr>
          <w:ilvl w:val="0"/>
          <w:numId w:val="30"/>
        </w:numPr>
        <w:spacing w:line="360" w:lineRule="auto"/>
        <w:ind w:firstLineChars="200" w:firstLine="420"/>
        <w:jc w:val="left"/>
        <w:rPr>
          <w:rFonts w:ascii="宋体" w:hAnsi="宋体"/>
          <w:kern w:val="0"/>
          <w:szCs w:val="21"/>
        </w:rPr>
      </w:pPr>
      <w:r>
        <w:rPr>
          <w:rFonts w:ascii="宋体" w:hAnsi="宋体" w:hint="eastAsia"/>
          <w:kern w:val="0"/>
          <w:szCs w:val="21"/>
        </w:rPr>
        <w:t>钢丝绳拉力：≥400Kg；</w:t>
      </w:r>
    </w:p>
    <w:p w:rsidR="001850B9" w:rsidRDefault="001850B9" w:rsidP="001850B9">
      <w:pPr>
        <w:widowControl/>
        <w:numPr>
          <w:ilvl w:val="0"/>
          <w:numId w:val="30"/>
        </w:numPr>
        <w:spacing w:line="360" w:lineRule="auto"/>
        <w:ind w:firstLineChars="200" w:firstLine="420"/>
        <w:jc w:val="left"/>
        <w:rPr>
          <w:rFonts w:ascii="宋体" w:hAnsi="宋体"/>
          <w:kern w:val="0"/>
          <w:szCs w:val="21"/>
        </w:rPr>
      </w:pPr>
      <w:r>
        <w:rPr>
          <w:rFonts w:ascii="宋体" w:hAnsi="宋体" w:hint="eastAsia"/>
          <w:kern w:val="0"/>
          <w:szCs w:val="21"/>
        </w:rPr>
        <w:t>钢丝绳两端固定方式：固定式（结合灯具安装支架等，螺丝可固定)。</w:t>
      </w:r>
      <w:r>
        <w:rPr>
          <w:rFonts w:ascii="Arial" w:hAnsi="Arial" w:hint="eastAsia"/>
          <w:noProof/>
        </w:rPr>
        <w:drawing>
          <wp:inline distT="0" distB="0" distL="114300" distR="114300" wp14:anchorId="79D163E4" wp14:editId="70F20CC0">
            <wp:extent cx="2450465" cy="2770505"/>
            <wp:effectExtent l="0" t="0" r="635" b="10795"/>
            <wp:docPr id="7" name="图片 182" descr="IMG_20181126_163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2" descr="IMG_20181126_163650"/>
                    <pic:cNvPicPr>
                      <a:picLocks noChangeAspect="1"/>
                    </pic:cNvPicPr>
                  </pic:nvPicPr>
                  <pic:blipFill>
                    <a:blip r:embed="rId11" cstate="print"/>
                    <a:srcRect b="15183"/>
                    <a:stretch>
                      <a:fillRect/>
                    </a:stretch>
                  </pic:blipFill>
                  <pic:spPr>
                    <a:xfrm>
                      <a:off x="0" y="0"/>
                      <a:ext cx="2450465" cy="2770505"/>
                    </a:xfrm>
                    <a:prstGeom prst="rect">
                      <a:avLst/>
                    </a:prstGeom>
                  </pic:spPr>
                </pic:pic>
              </a:graphicData>
            </a:graphic>
          </wp:inline>
        </w:drawing>
      </w:r>
      <w:r>
        <w:rPr>
          <w:rFonts w:ascii="Arial" w:hAnsi="Arial" w:hint="eastAsia"/>
        </w:rPr>
        <w:t xml:space="preserve"> </w:t>
      </w:r>
      <w:r>
        <w:rPr>
          <w:rFonts w:ascii="Arial" w:hAnsi="Arial" w:hint="eastAsia"/>
          <w:noProof/>
        </w:rPr>
        <w:drawing>
          <wp:inline distT="0" distB="0" distL="114300" distR="114300" wp14:anchorId="10E00363" wp14:editId="7CEE9426">
            <wp:extent cx="2442845" cy="2738120"/>
            <wp:effectExtent l="0" t="0" r="8255" b="5080"/>
            <wp:docPr id="18" name="图片 185" descr="IMG_20181126_163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5" descr="IMG_20181126_163721"/>
                    <pic:cNvPicPr>
                      <a:picLocks noChangeAspect="1"/>
                    </pic:cNvPicPr>
                  </pic:nvPicPr>
                  <pic:blipFill>
                    <a:blip r:embed="rId12" cstate="print"/>
                    <a:srcRect b="15945"/>
                    <a:stretch>
                      <a:fillRect/>
                    </a:stretch>
                  </pic:blipFill>
                  <pic:spPr>
                    <a:xfrm>
                      <a:off x="0" y="0"/>
                      <a:ext cx="2442845" cy="2738120"/>
                    </a:xfrm>
                    <a:prstGeom prst="rect">
                      <a:avLst/>
                    </a:prstGeom>
                  </pic:spPr>
                </pic:pic>
              </a:graphicData>
            </a:graphic>
          </wp:inline>
        </w:drawing>
      </w:r>
    </w:p>
    <w:p w:rsidR="001850B9" w:rsidRDefault="001850B9" w:rsidP="001850B9">
      <w:pPr>
        <w:widowControl/>
        <w:spacing w:line="360" w:lineRule="auto"/>
        <w:rPr>
          <w:rFonts w:ascii="宋体" w:hAnsi="宋体"/>
        </w:rPr>
      </w:pPr>
      <w:r>
        <w:rPr>
          <w:rFonts w:ascii="Arial" w:hAnsi="Arial" w:hint="eastAsia"/>
          <w:noProof/>
        </w:rPr>
        <w:lastRenderedPageBreak/>
        <w:drawing>
          <wp:inline distT="0" distB="0" distL="114300" distR="114300" wp14:anchorId="67B675EE" wp14:editId="5DD71CAD">
            <wp:extent cx="2396490" cy="2792095"/>
            <wp:effectExtent l="0" t="0" r="3810" b="1905"/>
            <wp:docPr id="19" name="图片 186" descr="IMG_20181126_163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6" descr="IMG_20181126_163657"/>
                    <pic:cNvPicPr>
                      <a:picLocks noChangeAspect="1"/>
                    </pic:cNvPicPr>
                  </pic:nvPicPr>
                  <pic:blipFill>
                    <a:blip r:embed="rId13" cstate="print"/>
                    <a:srcRect l="5828" b="17704"/>
                    <a:stretch>
                      <a:fillRect/>
                    </a:stretch>
                  </pic:blipFill>
                  <pic:spPr>
                    <a:xfrm>
                      <a:off x="0" y="0"/>
                      <a:ext cx="2396490" cy="2792095"/>
                    </a:xfrm>
                    <a:prstGeom prst="rect">
                      <a:avLst/>
                    </a:prstGeom>
                  </pic:spPr>
                </pic:pic>
              </a:graphicData>
            </a:graphic>
          </wp:inline>
        </w:drawing>
      </w:r>
      <w:r>
        <w:rPr>
          <w:rFonts w:ascii="Arial" w:hAnsi="Arial" w:hint="eastAsia"/>
        </w:rPr>
        <w:t xml:space="preserve">  </w:t>
      </w:r>
      <w:r>
        <w:rPr>
          <w:rFonts w:ascii="宋体" w:hAnsi="宋体" w:hint="eastAsia"/>
          <w:noProof/>
        </w:rPr>
        <w:drawing>
          <wp:inline distT="0" distB="0" distL="114300" distR="114300" wp14:anchorId="2074044C" wp14:editId="1DD59D38">
            <wp:extent cx="2412365" cy="2785110"/>
            <wp:effectExtent l="0" t="0" r="635" b="8890"/>
            <wp:docPr id="20" name="图片 129" descr="IMG_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29" descr="IMG_1119"/>
                    <pic:cNvPicPr>
                      <a:picLocks noChangeAspect="1"/>
                    </pic:cNvPicPr>
                  </pic:nvPicPr>
                  <pic:blipFill>
                    <a:blip r:embed="rId14" cstate="print"/>
                    <a:srcRect l="18029" t="14036" r="41347" b="18710"/>
                    <a:stretch>
                      <a:fillRect/>
                    </a:stretch>
                  </pic:blipFill>
                  <pic:spPr>
                    <a:xfrm>
                      <a:off x="0" y="0"/>
                      <a:ext cx="2412365" cy="2785110"/>
                    </a:xfrm>
                    <a:prstGeom prst="rect">
                      <a:avLst/>
                    </a:prstGeom>
                    <a:noFill/>
                    <a:ln w="9525">
                      <a:noFill/>
                    </a:ln>
                  </pic:spPr>
                </pic:pic>
              </a:graphicData>
            </a:graphic>
          </wp:inline>
        </w:drawing>
      </w:r>
      <w:bookmarkStart w:id="35" w:name="_Toc13459"/>
    </w:p>
    <w:p w:rsidR="001850B9" w:rsidRDefault="001850B9" w:rsidP="001850B9">
      <w:pPr>
        <w:pStyle w:val="2"/>
        <w:numPr>
          <w:ilvl w:val="0"/>
          <w:numId w:val="2"/>
        </w:numPr>
        <w:spacing w:line="360" w:lineRule="auto"/>
      </w:pPr>
      <w:r>
        <w:rPr>
          <w:rFonts w:hint="eastAsia"/>
        </w:rPr>
        <w:t>景观灯具检测要求</w:t>
      </w:r>
      <w:bookmarkEnd w:id="35"/>
    </w:p>
    <w:p w:rsidR="001850B9" w:rsidRDefault="001850B9" w:rsidP="001850B9">
      <w:pPr>
        <w:pStyle w:val="3"/>
        <w:numPr>
          <w:ilvl w:val="0"/>
          <w:numId w:val="31"/>
        </w:numPr>
        <w:spacing w:line="360" w:lineRule="auto"/>
        <w:ind w:leftChars="0" w:firstLineChars="0" w:hanging="5"/>
      </w:pPr>
      <w:bookmarkStart w:id="36" w:name="_Toc30365"/>
      <w:r>
        <w:rPr>
          <w:rFonts w:hint="eastAsia"/>
        </w:rPr>
        <w:t>说明</w:t>
      </w:r>
      <w:bookmarkEnd w:id="36"/>
    </w:p>
    <w:p w:rsidR="001850B9" w:rsidRDefault="001850B9" w:rsidP="001850B9">
      <w:pPr>
        <w:spacing w:line="360" w:lineRule="auto"/>
        <w:ind w:firstLineChars="200" w:firstLine="420"/>
      </w:pPr>
      <w:r>
        <w:rPr>
          <w:rFonts w:hint="eastAsia"/>
        </w:rPr>
        <w:t>技术文件详参有规定的，按详参规定执行，没有详参规定的，按照本通则执行。</w:t>
      </w:r>
    </w:p>
    <w:p w:rsidR="001850B9" w:rsidRDefault="001850B9" w:rsidP="001850B9">
      <w:pPr>
        <w:spacing w:line="360" w:lineRule="auto"/>
        <w:ind w:firstLineChars="131" w:firstLine="421"/>
        <w:rPr>
          <w:b/>
          <w:bCs/>
          <w:sz w:val="32"/>
          <w:szCs w:val="32"/>
        </w:rPr>
      </w:pPr>
      <w:r>
        <w:rPr>
          <w:rFonts w:hint="eastAsia"/>
          <w:b/>
          <w:bCs/>
          <w:sz w:val="32"/>
          <w:szCs w:val="32"/>
        </w:rPr>
        <w:t>所有检测机构均必须为“国家级权威检测机构”。</w:t>
      </w:r>
    </w:p>
    <w:p w:rsidR="001850B9" w:rsidRDefault="001850B9" w:rsidP="001850B9">
      <w:pPr>
        <w:pStyle w:val="3"/>
        <w:numPr>
          <w:ilvl w:val="0"/>
          <w:numId w:val="31"/>
        </w:numPr>
        <w:spacing w:line="360" w:lineRule="auto"/>
        <w:ind w:leftChars="0" w:firstLineChars="0" w:hanging="5"/>
      </w:pPr>
      <w:bookmarkStart w:id="37" w:name="_Toc6588"/>
      <w:r>
        <w:rPr>
          <w:rFonts w:hint="eastAsia"/>
        </w:rPr>
        <w:t>灯具不同阶段检测项目</w:t>
      </w:r>
      <w:bookmarkEnd w:id="37"/>
    </w:p>
    <w:tbl>
      <w:tblPr>
        <w:tblW w:w="8053" w:type="dxa"/>
        <w:jc w:val="center"/>
        <w:tblLayout w:type="fixed"/>
        <w:tblCellMar>
          <w:left w:w="0" w:type="dxa"/>
          <w:right w:w="0" w:type="dxa"/>
        </w:tblCellMar>
        <w:tblLook w:val="04A0" w:firstRow="1" w:lastRow="0" w:firstColumn="1" w:lastColumn="0" w:noHBand="0" w:noVBand="1"/>
      </w:tblPr>
      <w:tblGrid>
        <w:gridCol w:w="783"/>
        <w:gridCol w:w="5805"/>
        <w:gridCol w:w="1465"/>
      </w:tblGrid>
      <w:tr w:rsidR="001850B9" w:rsidTr="009E1EFC">
        <w:trPr>
          <w:trHeight w:val="91"/>
          <w:tblHeader/>
          <w:jc w:val="center"/>
        </w:trPr>
        <w:tc>
          <w:tcPr>
            <w:tcW w:w="783" w:type="dxa"/>
            <w:tcBorders>
              <w:top w:val="single" w:sz="4" w:space="0" w:color="000000"/>
              <w:left w:val="single" w:sz="4" w:space="0" w:color="000000"/>
              <w:right w:val="single" w:sz="4" w:space="0" w:color="000000"/>
            </w:tcBorders>
            <w:shd w:val="clear" w:color="auto" w:fill="D8D8D8" w:themeFill="background1" w:themeFillShade="D8"/>
            <w:tcMar>
              <w:top w:w="4" w:type="dxa"/>
              <w:left w:w="4" w:type="dxa"/>
              <w:bottom w:w="0" w:type="dxa"/>
              <w:right w:w="4" w:type="dxa"/>
            </w:tcMar>
            <w:vAlign w:val="center"/>
          </w:tcPr>
          <w:p w:rsidR="001850B9" w:rsidRDefault="001850B9" w:rsidP="009E1EFC">
            <w:pPr>
              <w:spacing w:line="360" w:lineRule="auto"/>
              <w:jc w:val="center"/>
              <w:rPr>
                <w:rFonts w:ascii="宋体" w:hAnsi="宋体" w:cs="宋体"/>
                <w:b/>
                <w:bCs/>
                <w:sz w:val="24"/>
              </w:rPr>
            </w:pPr>
            <w:r>
              <w:rPr>
                <w:rFonts w:ascii="宋体" w:hAnsi="宋体" w:cs="宋体" w:hint="eastAsia"/>
                <w:b/>
                <w:bCs/>
                <w:sz w:val="24"/>
              </w:rPr>
              <w:t>序号</w:t>
            </w:r>
          </w:p>
        </w:tc>
        <w:tc>
          <w:tcPr>
            <w:tcW w:w="5805" w:type="dxa"/>
            <w:tcBorders>
              <w:top w:val="single" w:sz="4" w:space="0" w:color="000000"/>
              <w:left w:val="nil"/>
              <w:bottom w:val="single" w:sz="4" w:space="0" w:color="auto"/>
              <w:right w:val="single" w:sz="4" w:space="0" w:color="000000"/>
            </w:tcBorders>
            <w:shd w:val="clear" w:color="auto" w:fill="D8D8D8" w:themeFill="background1" w:themeFillShade="D8"/>
            <w:tcMar>
              <w:top w:w="4" w:type="dxa"/>
              <w:left w:w="4" w:type="dxa"/>
              <w:bottom w:w="0" w:type="dxa"/>
              <w:right w:w="4" w:type="dxa"/>
            </w:tcMar>
            <w:vAlign w:val="center"/>
          </w:tcPr>
          <w:p w:rsidR="001850B9" w:rsidRDefault="001850B9" w:rsidP="009E1EFC">
            <w:pPr>
              <w:spacing w:line="360" w:lineRule="auto"/>
              <w:jc w:val="center"/>
              <w:rPr>
                <w:rFonts w:ascii="宋体" w:hAnsi="宋体" w:cs="宋体"/>
                <w:b/>
                <w:bCs/>
                <w:sz w:val="24"/>
              </w:rPr>
            </w:pPr>
            <w:r>
              <w:rPr>
                <w:rFonts w:ascii="宋体" w:hAnsi="宋体" w:cs="宋体" w:hint="eastAsia"/>
                <w:b/>
                <w:bCs/>
                <w:sz w:val="24"/>
              </w:rPr>
              <w:t>检测项目</w:t>
            </w:r>
          </w:p>
        </w:tc>
        <w:tc>
          <w:tcPr>
            <w:tcW w:w="1465" w:type="dxa"/>
            <w:tcBorders>
              <w:top w:val="single" w:sz="4" w:space="0" w:color="000000"/>
              <w:left w:val="nil"/>
              <w:bottom w:val="single" w:sz="4" w:space="0" w:color="auto"/>
              <w:right w:val="single" w:sz="4" w:space="0" w:color="000000"/>
            </w:tcBorders>
            <w:shd w:val="clear" w:color="auto" w:fill="D8D8D8" w:themeFill="background1" w:themeFillShade="D8"/>
            <w:tcMar>
              <w:top w:w="4" w:type="dxa"/>
              <w:left w:w="4" w:type="dxa"/>
              <w:bottom w:w="0" w:type="dxa"/>
              <w:right w:w="4" w:type="dxa"/>
            </w:tcMar>
            <w:vAlign w:val="center"/>
          </w:tcPr>
          <w:p w:rsidR="001850B9" w:rsidRDefault="001850B9" w:rsidP="009E1EFC">
            <w:pPr>
              <w:jc w:val="center"/>
              <w:rPr>
                <w:rFonts w:asciiTheme="minorEastAsia" w:hAnsiTheme="minorEastAsia" w:cstheme="minorEastAsia"/>
                <w:b/>
                <w:bCs/>
                <w:szCs w:val="21"/>
              </w:rPr>
            </w:pPr>
            <w:r>
              <w:rPr>
                <w:rFonts w:asciiTheme="minorEastAsia" w:hAnsiTheme="minorEastAsia" w:cstheme="minorEastAsia" w:hint="eastAsia"/>
                <w:b/>
                <w:bCs/>
                <w:szCs w:val="21"/>
              </w:rPr>
              <w:t>质保期期间</w:t>
            </w:r>
          </w:p>
          <w:p w:rsidR="001850B9" w:rsidRDefault="001850B9" w:rsidP="009E1EFC">
            <w:pPr>
              <w:jc w:val="center"/>
              <w:rPr>
                <w:rFonts w:asciiTheme="minorEastAsia" w:hAnsiTheme="minorEastAsia" w:cstheme="minorEastAsia"/>
                <w:b/>
                <w:bCs/>
                <w:szCs w:val="21"/>
              </w:rPr>
            </w:pPr>
            <w:r>
              <w:rPr>
                <w:rFonts w:asciiTheme="minorEastAsia" w:hAnsiTheme="minorEastAsia" w:cstheme="minorEastAsia" w:hint="eastAsia"/>
                <w:b/>
                <w:bCs/>
                <w:szCs w:val="21"/>
              </w:rPr>
              <w:t>全部灯具</w:t>
            </w:r>
          </w:p>
          <w:p w:rsidR="001850B9" w:rsidRDefault="001850B9" w:rsidP="009E1EFC">
            <w:pPr>
              <w:jc w:val="center"/>
              <w:rPr>
                <w:rFonts w:ascii="宋体" w:hAnsi="宋体" w:cs="宋体"/>
                <w:b/>
                <w:bCs/>
                <w:sz w:val="24"/>
              </w:rPr>
            </w:pPr>
            <w:r>
              <w:rPr>
                <w:rFonts w:asciiTheme="minorEastAsia" w:hAnsiTheme="minorEastAsia" w:cstheme="minorEastAsia" w:hint="eastAsia"/>
                <w:b/>
                <w:bCs/>
                <w:szCs w:val="21"/>
              </w:rPr>
              <w:t>抽检项目</w:t>
            </w:r>
          </w:p>
        </w:tc>
      </w:tr>
      <w:tr w:rsidR="001850B9" w:rsidTr="009E1EFC">
        <w:trPr>
          <w:trHeight w:val="90"/>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1</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色度参数：相关色温、色容差</w:t>
            </w:r>
          </w:p>
        </w:tc>
        <w:tc>
          <w:tcPr>
            <w:tcW w:w="1465" w:type="dxa"/>
            <w:tcBorders>
              <w:top w:val="single" w:sz="4" w:space="0" w:color="000000"/>
              <w:left w:val="single" w:sz="4" w:space="0" w:color="auto"/>
              <w:bottom w:val="single" w:sz="4" w:space="0" w:color="auto"/>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90"/>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2</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电参数： 电压、电流、功率、功率因数（如果为交流供电）</w:t>
            </w:r>
          </w:p>
        </w:tc>
        <w:tc>
          <w:tcPr>
            <w:tcW w:w="146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90"/>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3</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光度参数：配光曲线、光强、光束角/半峰发散角、光通量、整灯光效、R9</w:t>
            </w:r>
          </w:p>
        </w:tc>
        <w:tc>
          <w:tcPr>
            <w:tcW w:w="146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90"/>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4</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外部接线和内部接线</w:t>
            </w:r>
          </w:p>
        </w:tc>
        <w:tc>
          <w:tcPr>
            <w:tcW w:w="146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90"/>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5</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b/>
                <w:bCs/>
                <w:szCs w:val="21"/>
                <w:u w:val="single"/>
              </w:rPr>
            </w:pPr>
            <w:r>
              <w:rPr>
                <w:rFonts w:asciiTheme="minorEastAsia" w:hAnsiTheme="minorEastAsia" w:cstheme="minorEastAsia" w:hint="eastAsia"/>
                <w:b/>
                <w:bCs/>
                <w:szCs w:val="21"/>
                <w:u w:val="single"/>
              </w:rPr>
              <w:t>接地规定：</w:t>
            </w:r>
          </w:p>
          <w:p w:rsidR="001850B9" w:rsidRDefault="001850B9" w:rsidP="009E1EFC">
            <w:pPr>
              <w:spacing w:line="360" w:lineRule="auto"/>
              <w:rPr>
                <w:rFonts w:asciiTheme="minorEastAsia" w:hAnsiTheme="minorEastAsia" w:cstheme="minorEastAsia"/>
                <w:b/>
                <w:bCs/>
                <w:szCs w:val="21"/>
                <w:u w:val="single"/>
              </w:rPr>
            </w:pPr>
            <w:r>
              <w:rPr>
                <w:rFonts w:asciiTheme="minorEastAsia" w:hAnsiTheme="minorEastAsia" w:cstheme="minorEastAsia" w:hint="eastAsia"/>
                <w:b/>
                <w:bCs/>
                <w:szCs w:val="21"/>
                <w:u w:val="single"/>
              </w:rPr>
              <w:t>220V的灯具需检测，24V等安全电压灯具无需检测。</w:t>
            </w:r>
          </w:p>
        </w:tc>
        <w:tc>
          <w:tcPr>
            <w:tcW w:w="1465" w:type="dxa"/>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494"/>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6</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rPr>
                <w:rFonts w:asciiTheme="minorEastAsia" w:hAnsiTheme="minorEastAsia" w:cstheme="minorEastAsia"/>
                <w:b/>
                <w:bCs/>
                <w:szCs w:val="21"/>
                <w:u w:val="single"/>
              </w:rPr>
            </w:pPr>
            <w:r>
              <w:rPr>
                <w:rFonts w:asciiTheme="minorEastAsia" w:hAnsiTheme="minorEastAsia" w:cstheme="minorEastAsia" w:hint="eastAsia"/>
                <w:b/>
                <w:bCs/>
                <w:szCs w:val="21"/>
                <w:u w:val="single"/>
              </w:rPr>
              <w:t>防尘、防固体异物和防水：</w:t>
            </w:r>
          </w:p>
          <w:p w:rsidR="001850B9" w:rsidRDefault="001850B9" w:rsidP="009E1EFC">
            <w:pPr>
              <w:spacing w:line="360" w:lineRule="auto"/>
              <w:rPr>
                <w:rFonts w:asciiTheme="minorEastAsia" w:hAnsiTheme="minorEastAsia" w:cstheme="minorEastAsia"/>
                <w:szCs w:val="21"/>
              </w:rPr>
            </w:pPr>
            <w:r>
              <w:rPr>
                <w:rFonts w:asciiTheme="minorEastAsia" w:hAnsiTheme="minorEastAsia" w:cstheme="minorEastAsia" w:hint="eastAsia"/>
                <w:b/>
                <w:bCs/>
                <w:szCs w:val="21"/>
                <w:u w:val="single"/>
              </w:rPr>
              <w:t>一般灯具≥IP65。</w:t>
            </w:r>
          </w:p>
        </w:tc>
        <w:tc>
          <w:tcPr>
            <w:tcW w:w="1465" w:type="dxa"/>
            <w:tcBorders>
              <w:top w:val="single" w:sz="4" w:space="0" w:color="000000"/>
              <w:left w:val="single" w:sz="4" w:space="0" w:color="auto"/>
              <w:bottom w:val="single" w:sz="4" w:space="0" w:color="000000"/>
              <w:right w:val="single" w:sz="4" w:space="0" w:color="000000"/>
            </w:tcBorders>
            <w:shd w:val="clear" w:color="auto" w:fill="auto"/>
            <w:tcMar>
              <w:top w:w="4" w:type="dxa"/>
              <w:left w:w="4" w:type="dxa"/>
              <w:bottom w:w="0" w:type="dxa"/>
              <w:right w:w="4" w:type="dxa"/>
            </w:tcMar>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267"/>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7</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潮湿后的绝缘电阻和电气强度</w:t>
            </w:r>
          </w:p>
        </w:tc>
        <w:tc>
          <w:tcPr>
            <w:tcW w:w="146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r w:rsidR="001850B9" w:rsidTr="009E1EFC">
        <w:trPr>
          <w:trHeight w:val="90"/>
          <w:jc w:val="center"/>
        </w:trPr>
        <w:tc>
          <w:tcPr>
            <w:tcW w:w="783" w:type="dxa"/>
            <w:tcBorders>
              <w:top w:val="single" w:sz="4" w:space="0" w:color="auto"/>
              <w:left w:val="single" w:sz="4" w:space="0" w:color="auto"/>
              <w:bottom w:val="single" w:sz="4" w:space="0" w:color="auto"/>
              <w:right w:val="single" w:sz="4" w:space="0" w:color="auto"/>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lastRenderedPageBreak/>
              <w:t>8</w:t>
            </w:r>
          </w:p>
        </w:tc>
        <w:tc>
          <w:tcPr>
            <w:tcW w:w="580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left"/>
              <w:rPr>
                <w:rFonts w:asciiTheme="minorEastAsia" w:hAnsiTheme="minorEastAsia" w:cstheme="minorEastAsia"/>
                <w:szCs w:val="21"/>
              </w:rPr>
            </w:pPr>
            <w:r>
              <w:rPr>
                <w:rFonts w:asciiTheme="minorEastAsia" w:hAnsiTheme="minorEastAsia" w:cstheme="minorEastAsia" w:hint="eastAsia"/>
                <w:szCs w:val="21"/>
              </w:rPr>
              <w:t>可靠性</w:t>
            </w:r>
          </w:p>
        </w:tc>
        <w:tc>
          <w:tcPr>
            <w:tcW w:w="1465" w:type="dxa"/>
            <w:tcBorders>
              <w:top w:val="single" w:sz="4" w:space="0" w:color="000000"/>
              <w:left w:val="nil"/>
              <w:bottom w:val="single" w:sz="4" w:space="0" w:color="000000"/>
              <w:right w:val="single" w:sz="4" w:space="0" w:color="000000"/>
            </w:tcBorders>
            <w:shd w:val="clear" w:color="auto" w:fill="FFFFFF"/>
            <w:tcMar>
              <w:top w:w="4" w:type="dxa"/>
              <w:left w:w="4" w:type="dxa"/>
              <w:bottom w:w="0" w:type="dxa"/>
              <w:right w:w="4" w:type="dxa"/>
            </w:tcMar>
            <w:vAlign w:val="center"/>
          </w:tcPr>
          <w:p w:rsidR="001850B9" w:rsidRDefault="001850B9" w:rsidP="009E1EFC">
            <w:pPr>
              <w:spacing w:line="360" w:lineRule="auto"/>
              <w:jc w:val="center"/>
              <w:rPr>
                <w:rFonts w:asciiTheme="minorEastAsia" w:hAnsiTheme="minorEastAsia" w:cstheme="minorEastAsia"/>
                <w:szCs w:val="21"/>
              </w:rPr>
            </w:pPr>
            <w:r>
              <w:rPr>
                <w:rFonts w:asciiTheme="minorEastAsia" w:hAnsiTheme="minorEastAsia" w:cstheme="minorEastAsia" w:hint="eastAsia"/>
                <w:szCs w:val="21"/>
              </w:rPr>
              <w:t>√</w:t>
            </w:r>
          </w:p>
        </w:tc>
      </w:tr>
    </w:tbl>
    <w:p w:rsidR="001850B9" w:rsidRDefault="001850B9" w:rsidP="001850B9">
      <w:pPr>
        <w:pStyle w:val="3"/>
        <w:numPr>
          <w:ilvl w:val="0"/>
          <w:numId w:val="31"/>
        </w:numPr>
        <w:spacing w:line="360" w:lineRule="auto"/>
        <w:ind w:leftChars="0" w:firstLineChars="0" w:hanging="5"/>
      </w:pPr>
      <w:bookmarkStart w:id="38" w:name="_Toc12436"/>
      <w:r>
        <w:rPr>
          <w:rFonts w:hint="eastAsia"/>
        </w:rPr>
        <w:t>质保期期间灯具其他抽检项目</w:t>
      </w:r>
      <w:bookmarkEnd w:id="38"/>
    </w:p>
    <w:tbl>
      <w:tblPr>
        <w:tblW w:w="8159" w:type="dxa"/>
        <w:jc w:val="center"/>
        <w:tblLayout w:type="fixed"/>
        <w:tblCellMar>
          <w:top w:w="15" w:type="dxa"/>
          <w:left w:w="15" w:type="dxa"/>
          <w:bottom w:w="15" w:type="dxa"/>
          <w:right w:w="15" w:type="dxa"/>
        </w:tblCellMar>
        <w:tblLook w:val="04A0" w:firstRow="1" w:lastRow="0" w:firstColumn="1" w:lastColumn="0" w:noHBand="0" w:noVBand="1"/>
      </w:tblPr>
      <w:tblGrid>
        <w:gridCol w:w="484"/>
        <w:gridCol w:w="1251"/>
        <w:gridCol w:w="6424"/>
      </w:tblGrid>
      <w:tr w:rsidR="001850B9" w:rsidTr="009E1EFC">
        <w:trPr>
          <w:trHeight w:val="929"/>
          <w:tblHeader/>
          <w:jc w:val="center"/>
        </w:trPr>
        <w:tc>
          <w:tcPr>
            <w:tcW w:w="48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850B9" w:rsidRDefault="001850B9" w:rsidP="009E1EFC">
            <w:pPr>
              <w:spacing w:line="360" w:lineRule="auto"/>
              <w:jc w:val="center"/>
              <w:rPr>
                <w:rFonts w:ascii="宋体" w:eastAsia="宋体" w:hAnsi="宋体" w:cs="宋体"/>
                <w:b/>
                <w:sz w:val="20"/>
                <w:szCs w:val="20"/>
              </w:rPr>
            </w:pPr>
            <w:r>
              <w:rPr>
                <w:rFonts w:ascii="宋体" w:hAnsi="宋体" w:cs="宋体" w:hint="eastAsia"/>
                <w:b/>
                <w:bCs/>
                <w:sz w:val="24"/>
              </w:rPr>
              <w:t>序号</w:t>
            </w:r>
          </w:p>
        </w:tc>
        <w:tc>
          <w:tcPr>
            <w:tcW w:w="1251"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850B9" w:rsidRDefault="001850B9" w:rsidP="009E1EFC">
            <w:pPr>
              <w:spacing w:line="360" w:lineRule="auto"/>
              <w:jc w:val="center"/>
              <w:rPr>
                <w:rFonts w:ascii="宋体" w:eastAsia="宋体" w:hAnsi="宋体" w:cs="宋体"/>
                <w:b/>
                <w:sz w:val="20"/>
                <w:szCs w:val="20"/>
              </w:rPr>
            </w:pPr>
            <w:r>
              <w:rPr>
                <w:rFonts w:ascii="宋体" w:hAnsi="宋体" w:cs="宋体" w:hint="eastAsia"/>
                <w:b/>
                <w:bCs/>
                <w:sz w:val="24"/>
              </w:rPr>
              <w:t>检测对象</w:t>
            </w:r>
          </w:p>
        </w:tc>
        <w:tc>
          <w:tcPr>
            <w:tcW w:w="6424"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vAlign w:val="center"/>
          </w:tcPr>
          <w:p w:rsidR="001850B9" w:rsidRDefault="001850B9" w:rsidP="009E1EFC">
            <w:pPr>
              <w:widowControl/>
              <w:spacing w:line="360" w:lineRule="auto"/>
              <w:jc w:val="center"/>
              <w:textAlignment w:val="center"/>
              <w:rPr>
                <w:rFonts w:ascii="宋体" w:eastAsia="宋体" w:hAnsi="宋体" w:cs="宋体"/>
                <w:b/>
                <w:sz w:val="20"/>
                <w:szCs w:val="20"/>
              </w:rPr>
            </w:pPr>
            <w:r>
              <w:rPr>
                <w:rFonts w:ascii="宋体" w:hAnsi="宋体" w:cs="宋体" w:hint="eastAsia"/>
                <w:b/>
                <w:bCs/>
                <w:sz w:val="24"/>
              </w:rPr>
              <w:t>检测项目</w:t>
            </w:r>
          </w:p>
        </w:tc>
      </w:tr>
      <w:tr w:rsidR="001850B9" w:rsidTr="009E1EFC">
        <w:trPr>
          <w:trHeight w:val="726"/>
          <w:jc w:val="center"/>
        </w:trPr>
        <w:tc>
          <w:tcPr>
            <w:tcW w:w="484" w:type="dxa"/>
            <w:vMerge w:val="restart"/>
            <w:tcBorders>
              <w:top w:val="single" w:sz="4" w:space="0" w:color="000000"/>
              <w:left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1</w:t>
            </w:r>
          </w:p>
        </w:tc>
        <w:tc>
          <w:tcPr>
            <w:tcW w:w="1251" w:type="dxa"/>
            <w:vMerge w:val="restart"/>
            <w:tcBorders>
              <w:top w:val="single" w:sz="4" w:space="0" w:color="000000"/>
              <w:left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外壳、外露安装支架、螺丝螺帽等附件</w:t>
            </w:r>
          </w:p>
        </w:tc>
        <w:tc>
          <w:tcPr>
            <w:tcW w:w="6424" w:type="dxa"/>
            <w:tcBorders>
              <w:top w:val="single" w:sz="4" w:space="0" w:color="000000"/>
              <w:left w:val="single" w:sz="4" w:space="0" w:color="000000"/>
              <w:bottom w:val="single" w:sz="4" w:space="0" w:color="auto"/>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1、必须采用高压铸铝合金、拉伸铝合金、以及304不锈钢等材质。</w:t>
            </w:r>
          </w:p>
        </w:tc>
      </w:tr>
      <w:tr w:rsidR="001850B9" w:rsidTr="009E1EFC">
        <w:trPr>
          <w:trHeight w:val="836"/>
          <w:jc w:val="center"/>
        </w:trPr>
        <w:tc>
          <w:tcPr>
            <w:tcW w:w="484"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kern w:val="0"/>
                <w:szCs w:val="21"/>
              </w:rPr>
            </w:pPr>
          </w:p>
        </w:tc>
        <w:tc>
          <w:tcPr>
            <w:tcW w:w="1251"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kern w:val="0"/>
                <w:szCs w:val="21"/>
              </w:rPr>
            </w:pPr>
          </w:p>
        </w:tc>
        <w:tc>
          <w:tcPr>
            <w:tcW w:w="6424" w:type="dxa"/>
            <w:tcBorders>
              <w:top w:val="single" w:sz="4" w:space="0" w:color="auto"/>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b/>
                <w:bCs/>
                <w:kern w:val="0"/>
                <w:szCs w:val="21"/>
              </w:rPr>
            </w:pPr>
            <w:r>
              <w:rPr>
                <w:rFonts w:asciiTheme="minorEastAsia" w:hAnsiTheme="minorEastAsia" w:cstheme="minorEastAsia" w:hint="eastAsia"/>
                <w:b/>
                <w:bCs/>
                <w:kern w:val="0"/>
                <w:szCs w:val="21"/>
              </w:rPr>
              <w:t>2、高处安装的灯具，必须要配备防坠落装置。</w:t>
            </w:r>
          </w:p>
        </w:tc>
      </w:tr>
      <w:tr w:rsidR="001850B9" w:rsidTr="009E1EFC">
        <w:trPr>
          <w:trHeight w:val="593"/>
          <w:jc w:val="center"/>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2</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防水接头、引出线</w:t>
            </w: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1、大功率灯具（大于30W）必须有防水接头，材质为不锈钢或铜</w:t>
            </w:r>
          </w:p>
        </w:tc>
      </w:tr>
      <w:tr w:rsidR="001850B9" w:rsidTr="009E1EFC">
        <w:trPr>
          <w:trHeight w:val="593"/>
          <w:jc w:val="center"/>
        </w:trPr>
        <w:tc>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2、大功率灯具（大于30W）引出线线径必须根据不小于1.5mm²</w:t>
            </w:r>
          </w:p>
        </w:tc>
      </w:tr>
      <w:tr w:rsidR="001850B9" w:rsidTr="009E1EFC">
        <w:trPr>
          <w:trHeight w:val="593"/>
          <w:jc w:val="center"/>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3</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电气安全</w:t>
            </w: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1、外部接线和内部接线</w:t>
            </w:r>
          </w:p>
        </w:tc>
      </w:tr>
      <w:tr w:rsidR="001850B9" w:rsidTr="009E1EFC">
        <w:trPr>
          <w:trHeight w:val="593"/>
          <w:jc w:val="center"/>
        </w:trPr>
        <w:tc>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2、接地规定：220V的灯具需检测，24V安全电压灯具无需检测</w:t>
            </w:r>
          </w:p>
        </w:tc>
      </w:tr>
      <w:tr w:rsidR="001850B9" w:rsidTr="009E1EFC">
        <w:trPr>
          <w:trHeight w:val="593"/>
          <w:jc w:val="center"/>
        </w:trPr>
        <w:tc>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tcBorders>
              <w:top w:val="single" w:sz="4" w:space="0" w:color="000000"/>
              <w:left w:val="single" w:sz="4" w:space="0" w:color="000000"/>
              <w:bottom w:val="single" w:sz="4" w:space="0" w:color="auto"/>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3、潮湿后的绝缘电阻和电气强度</w:t>
            </w:r>
          </w:p>
        </w:tc>
      </w:tr>
      <w:tr w:rsidR="001850B9" w:rsidTr="009E1EFC">
        <w:trPr>
          <w:trHeight w:val="593"/>
          <w:jc w:val="center"/>
        </w:trPr>
        <w:tc>
          <w:tcPr>
            <w:tcW w:w="484"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tcBorders>
              <w:top w:val="single" w:sz="4" w:space="0" w:color="auto"/>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4、其他：防雷击、防静电能力、电磁干扰、灯具外壳温升等</w:t>
            </w:r>
          </w:p>
        </w:tc>
      </w:tr>
      <w:tr w:rsidR="001850B9" w:rsidTr="009E1EFC">
        <w:trPr>
          <w:trHeight w:val="712"/>
          <w:jc w:val="center"/>
        </w:trPr>
        <w:tc>
          <w:tcPr>
            <w:tcW w:w="484" w:type="dxa"/>
            <w:vMerge w:val="restart"/>
            <w:tcBorders>
              <w:top w:val="single" w:sz="4" w:space="0" w:color="000000"/>
              <w:left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4</w:t>
            </w:r>
          </w:p>
        </w:tc>
        <w:tc>
          <w:tcPr>
            <w:tcW w:w="1251" w:type="dxa"/>
            <w:vMerge w:val="restart"/>
            <w:tcBorders>
              <w:top w:val="single" w:sz="4" w:space="0" w:color="000000"/>
              <w:left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防护等级</w:t>
            </w: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numPr>
                <w:ilvl w:val="0"/>
                <w:numId w:val="32"/>
              </w:numPr>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一般灯具防护等级不小于IP65。</w:t>
            </w:r>
          </w:p>
        </w:tc>
      </w:tr>
      <w:tr w:rsidR="001850B9" w:rsidTr="009E1EFC">
        <w:trPr>
          <w:trHeight w:val="593"/>
          <w:jc w:val="center"/>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5</w:t>
            </w:r>
          </w:p>
        </w:tc>
        <w:tc>
          <w:tcPr>
            <w:tcW w:w="1251" w:type="dxa"/>
            <w:vMerge w:val="restart"/>
            <w:tcBorders>
              <w:top w:val="single" w:sz="4" w:space="0" w:color="000000"/>
              <w:left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灯具寿命及光衰</w:t>
            </w: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1、颗粒寿命不低于5万小时；</w:t>
            </w:r>
          </w:p>
        </w:tc>
      </w:tr>
      <w:tr w:rsidR="001850B9" w:rsidTr="009E1EFC">
        <w:trPr>
          <w:trHeight w:val="593"/>
          <w:jc w:val="center"/>
        </w:trPr>
        <w:tc>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left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2、灯具寿命不低于3万小时。</w:t>
            </w:r>
          </w:p>
        </w:tc>
      </w:tr>
      <w:tr w:rsidR="001850B9" w:rsidTr="009E1EFC">
        <w:trPr>
          <w:trHeight w:val="593"/>
          <w:jc w:val="center"/>
        </w:trPr>
        <w:tc>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3、灯具光衰符合国标要求。</w:t>
            </w:r>
          </w:p>
        </w:tc>
      </w:tr>
      <w:tr w:rsidR="001850B9" w:rsidTr="009E1EFC">
        <w:trPr>
          <w:trHeight w:val="468"/>
          <w:jc w:val="center"/>
        </w:trPr>
        <w:tc>
          <w:tcPr>
            <w:tcW w:w="4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6</w:t>
            </w:r>
          </w:p>
        </w:tc>
        <w:tc>
          <w:tcPr>
            <w:tcW w:w="12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驱动电源</w:t>
            </w:r>
          </w:p>
        </w:tc>
        <w:tc>
          <w:tcPr>
            <w:tcW w:w="6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1、普通恒压恒流源驱动电源、小于150W可调节电压的驱动电源品牌限定使用“台湾明纬”、“茂硕”、“英飞特”、“欧司朗（OSRAM）”、“飞利浦（PHILIPS）”；</w:t>
            </w:r>
          </w:p>
        </w:tc>
      </w:tr>
      <w:tr w:rsidR="001850B9" w:rsidTr="009E1EFC">
        <w:trPr>
          <w:trHeight w:val="973"/>
          <w:jc w:val="center"/>
        </w:trPr>
        <w:tc>
          <w:tcPr>
            <w:tcW w:w="4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vMerge/>
            <w:tcBorders>
              <w:top w:val="single" w:sz="4" w:space="0" w:color="000000"/>
              <w:left w:val="single" w:sz="4" w:space="0" w:color="000000"/>
              <w:bottom w:val="single" w:sz="4" w:space="0" w:color="auto"/>
              <w:right w:val="single" w:sz="4" w:space="0" w:color="000000"/>
            </w:tcBorders>
            <w:shd w:val="clear" w:color="auto" w:fill="auto"/>
            <w:vAlign w:val="center"/>
          </w:tcPr>
          <w:p w:rsidR="001850B9" w:rsidRDefault="001850B9" w:rsidP="009E1EFC">
            <w:pPr>
              <w:spacing w:line="360" w:lineRule="auto"/>
              <w:jc w:val="left"/>
              <w:rPr>
                <w:rFonts w:asciiTheme="minorEastAsia" w:hAnsiTheme="minorEastAsia" w:cstheme="minorEastAsia"/>
                <w:szCs w:val="21"/>
              </w:rPr>
            </w:pPr>
          </w:p>
        </w:tc>
      </w:tr>
      <w:tr w:rsidR="001850B9" w:rsidTr="009E1EFC">
        <w:trPr>
          <w:trHeight w:val="593"/>
          <w:jc w:val="center"/>
        </w:trPr>
        <w:tc>
          <w:tcPr>
            <w:tcW w:w="484"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1251" w:type="dxa"/>
            <w:vMerge/>
            <w:tcBorders>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center"/>
              <w:rPr>
                <w:rFonts w:asciiTheme="minorEastAsia" w:hAnsiTheme="minorEastAsia" w:cstheme="minorEastAsia"/>
                <w:szCs w:val="21"/>
              </w:rPr>
            </w:pPr>
          </w:p>
        </w:tc>
        <w:tc>
          <w:tcPr>
            <w:tcW w:w="6424" w:type="dxa"/>
            <w:tcBorders>
              <w:top w:val="single" w:sz="4" w:space="0" w:color="auto"/>
              <w:left w:val="single" w:sz="4" w:space="0" w:color="000000"/>
              <w:bottom w:val="single" w:sz="4" w:space="0" w:color="000000"/>
              <w:right w:val="single" w:sz="4" w:space="0" w:color="000000"/>
            </w:tcBorders>
            <w:shd w:val="clear" w:color="auto" w:fill="auto"/>
            <w:vAlign w:val="center"/>
          </w:tcPr>
          <w:p w:rsidR="001850B9" w:rsidRDefault="001850B9" w:rsidP="009E1EFC">
            <w:pPr>
              <w:spacing w:line="360" w:lineRule="auto"/>
              <w:jc w:val="left"/>
              <w:rPr>
                <w:rFonts w:asciiTheme="minorEastAsia" w:hAnsiTheme="minorEastAsia" w:cstheme="minorEastAsia"/>
                <w:szCs w:val="21"/>
              </w:rPr>
            </w:pPr>
            <w:r>
              <w:rPr>
                <w:rFonts w:hint="eastAsia"/>
              </w:rPr>
              <w:t>2</w:t>
            </w:r>
            <w:r>
              <w:rPr>
                <w:rFonts w:hint="eastAsia"/>
              </w:rPr>
              <w:t>、大于</w:t>
            </w:r>
            <w:r>
              <w:rPr>
                <w:rFonts w:hint="eastAsia"/>
              </w:rPr>
              <w:t>150W</w:t>
            </w:r>
            <w:r>
              <w:rPr>
                <w:rFonts w:hint="eastAsia"/>
              </w:rPr>
              <w:t>可调节电压的驱动电源推荐使用“三鑫虹”品牌。</w:t>
            </w:r>
          </w:p>
        </w:tc>
      </w:tr>
      <w:tr w:rsidR="001850B9" w:rsidTr="009E1EFC">
        <w:trPr>
          <w:trHeight w:val="640"/>
          <w:jc w:val="center"/>
        </w:trPr>
        <w:tc>
          <w:tcPr>
            <w:tcW w:w="4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lastRenderedPageBreak/>
              <w:t>7</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center"/>
              <w:textAlignment w:val="center"/>
              <w:rPr>
                <w:rFonts w:asciiTheme="minorEastAsia" w:hAnsiTheme="minorEastAsia" w:cstheme="minorEastAsia"/>
                <w:szCs w:val="21"/>
              </w:rPr>
            </w:pPr>
            <w:r>
              <w:rPr>
                <w:rFonts w:asciiTheme="minorEastAsia" w:hAnsiTheme="minorEastAsia" w:cstheme="minorEastAsia" w:hint="eastAsia"/>
                <w:kern w:val="0"/>
                <w:szCs w:val="21"/>
              </w:rPr>
              <w:t>配光曲线</w:t>
            </w:r>
          </w:p>
        </w:tc>
        <w:tc>
          <w:tcPr>
            <w:tcW w:w="6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50B9" w:rsidRDefault="001850B9" w:rsidP="009E1EFC">
            <w:pPr>
              <w:widowControl/>
              <w:spacing w:line="360" w:lineRule="auto"/>
              <w:jc w:val="left"/>
              <w:textAlignment w:val="center"/>
              <w:rPr>
                <w:rFonts w:asciiTheme="minorEastAsia" w:hAnsiTheme="minorEastAsia" w:cstheme="minorEastAsia"/>
                <w:szCs w:val="21"/>
              </w:rPr>
            </w:pPr>
            <w:r>
              <w:rPr>
                <w:rFonts w:asciiTheme="minorEastAsia" w:hAnsiTheme="minorEastAsia" w:cstheme="minorEastAsia" w:hint="eastAsia"/>
                <w:kern w:val="0"/>
                <w:szCs w:val="21"/>
              </w:rPr>
              <w:t>光强、光通量、出光角度、色漂移、色容差、色一致性</w:t>
            </w:r>
          </w:p>
        </w:tc>
      </w:tr>
    </w:tbl>
    <w:p w:rsidR="001850B9" w:rsidRDefault="001850B9" w:rsidP="001850B9">
      <w:pPr>
        <w:pStyle w:val="2"/>
        <w:numPr>
          <w:ilvl w:val="0"/>
          <w:numId w:val="2"/>
        </w:numPr>
        <w:spacing w:line="360" w:lineRule="auto"/>
      </w:pPr>
      <w:bookmarkStart w:id="39" w:name="_Toc694"/>
      <w:r>
        <w:rPr>
          <w:rFonts w:hint="eastAsia"/>
        </w:rPr>
        <w:t>所有设施运输要求</w:t>
      </w:r>
      <w:bookmarkEnd w:id="39"/>
    </w:p>
    <w:p w:rsidR="001850B9" w:rsidRDefault="001850B9" w:rsidP="001850B9">
      <w:pPr>
        <w:pStyle w:val="3"/>
        <w:numPr>
          <w:ilvl w:val="0"/>
          <w:numId w:val="33"/>
        </w:numPr>
        <w:spacing w:line="360" w:lineRule="auto"/>
        <w:ind w:leftChars="0" w:firstLineChars="0" w:hanging="5"/>
      </w:pPr>
      <w:bookmarkStart w:id="40" w:name="_Toc28100"/>
      <w:r>
        <w:rPr>
          <w:rFonts w:hint="eastAsia"/>
        </w:rPr>
        <w:t>说明</w:t>
      </w:r>
      <w:bookmarkEnd w:id="40"/>
    </w:p>
    <w:p w:rsidR="001850B9" w:rsidRDefault="001850B9" w:rsidP="001850B9">
      <w:pPr>
        <w:pStyle w:val="Style2"/>
        <w:snapToGrid w:val="0"/>
        <w:spacing w:line="360" w:lineRule="auto"/>
        <w:rPr>
          <w:rFonts w:ascii="宋体" w:hAnsi="宋体" w:cs="宋体"/>
          <w:szCs w:val="21"/>
        </w:rPr>
      </w:pPr>
      <w:r>
        <w:rPr>
          <w:rFonts w:ascii="宋体" w:hAnsi="宋体" w:cs="宋体" w:hint="eastAsia"/>
          <w:szCs w:val="21"/>
        </w:rPr>
        <w:t>技术文件详参有规定的，按详参规定执行，没有详参规定的，按照本通则执行。</w:t>
      </w:r>
    </w:p>
    <w:p w:rsidR="001850B9" w:rsidRDefault="001850B9" w:rsidP="001850B9">
      <w:pPr>
        <w:pStyle w:val="Style2"/>
        <w:snapToGrid w:val="0"/>
        <w:spacing w:line="360" w:lineRule="auto"/>
        <w:ind w:firstLine="480"/>
        <w:rPr>
          <w:rFonts w:ascii="宋体" w:eastAsiaTheme="minorEastAsia" w:hAnsi="宋体" w:cs="宋体"/>
          <w:szCs w:val="21"/>
        </w:rPr>
      </w:pPr>
      <w:r>
        <w:rPr>
          <w:rFonts w:ascii="宋体" w:hAnsi="宋体" w:cs="宋体" w:hint="eastAsia"/>
          <w:sz w:val="24"/>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因为颠簸、碰撞而表面划伤和变形。</w:t>
      </w:r>
    </w:p>
    <w:p w:rsidR="001850B9" w:rsidRDefault="001850B9" w:rsidP="001850B9">
      <w:pPr>
        <w:pStyle w:val="3"/>
        <w:numPr>
          <w:ilvl w:val="0"/>
          <w:numId w:val="33"/>
        </w:numPr>
        <w:spacing w:line="360" w:lineRule="auto"/>
        <w:ind w:leftChars="0" w:firstLineChars="0" w:hanging="5"/>
      </w:pPr>
      <w:bookmarkStart w:id="41" w:name="_Toc5657"/>
      <w:r>
        <w:rPr>
          <w:rFonts w:hint="eastAsia"/>
        </w:rPr>
        <w:t>运输用基本设备及常用材料</w:t>
      </w:r>
      <w:bookmarkEnd w:id="41"/>
    </w:p>
    <w:p w:rsidR="001850B9" w:rsidRDefault="001850B9" w:rsidP="001850B9">
      <w:pPr>
        <w:pStyle w:val="Style2"/>
        <w:snapToGrid w:val="0"/>
        <w:spacing w:line="360" w:lineRule="auto"/>
        <w:ind w:firstLine="480"/>
        <w:rPr>
          <w:rFonts w:ascii="宋体" w:hAnsi="宋体" w:cs="宋体"/>
          <w:szCs w:val="21"/>
        </w:rPr>
      </w:pPr>
      <w:r>
        <w:rPr>
          <w:rFonts w:ascii="宋体" w:hAnsi="宋体" w:cs="宋体" w:hint="eastAsia"/>
          <w:sz w:val="24"/>
        </w:rPr>
        <w:t>a.行车；b.叉车；c.各种规格的胶合板垫木；d.带塑料保护套的钢丝绳、紧固拉钩套件、花兰螺丝、捆绑器、钢钉；e.晴纶卷、橡胶板、稻草绳；f.钢制打包带；g.发泡塑料（喷塑杆专用）；h.尼龙绳（用于替代目前喷塑杆包装中使用的草绳）；i.胶合板配件箱；j.木料切割机；k.镀锌螺丝及螺母（用于小部件固定</w:t>
      </w:r>
      <w:r>
        <w:rPr>
          <w:rFonts w:ascii="宋体" w:hAnsi="宋体" w:cs="宋体" w:hint="eastAsia"/>
          <w:szCs w:val="21"/>
        </w:rPr>
        <w:t>）。</w:t>
      </w:r>
    </w:p>
    <w:p w:rsidR="00D57A91" w:rsidRPr="001850B9" w:rsidRDefault="00D57A91">
      <w:bookmarkStart w:id="42" w:name="_GoBack"/>
      <w:bookmarkEnd w:id="42"/>
    </w:p>
    <w:sectPr w:rsidR="00D57A91" w:rsidRPr="001850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CB" w:rsidRDefault="00EF39CB" w:rsidP="00EF39CB">
      <w:r>
        <w:separator/>
      </w:r>
    </w:p>
  </w:endnote>
  <w:endnote w:type="continuationSeparator" w:id="0">
    <w:p w:rsidR="00EF39CB" w:rsidRDefault="00EF39CB" w:rsidP="00EF3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CB" w:rsidRDefault="00EF39CB" w:rsidP="00EF39CB">
      <w:r>
        <w:separator/>
      </w:r>
    </w:p>
  </w:footnote>
  <w:footnote w:type="continuationSeparator" w:id="0">
    <w:p w:rsidR="00EF39CB" w:rsidRDefault="00EF39CB" w:rsidP="00EF39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D2091A"/>
    <w:multiLevelType w:val="singleLevel"/>
    <w:tmpl w:val="8ED2091A"/>
    <w:lvl w:ilvl="0">
      <w:start w:val="1"/>
      <w:numFmt w:val="decimalEnclosedCircleChinese"/>
      <w:suff w:val="nothing"/>
      <w:lvlText w:val="%1　"/>
      <w:lvlJc w:val="left"/>
      <w:pPr>
        <w:ind w:left="0" w:firstLine="400"/>
      </w:pPr>
      <w:rPr>
        <w:rFonts w:hint="eastAsia"/>
      </w:rPr>
    </w:lvl>
  </w:abstractNum>
  <w:abstractNum w:abstractNumId="1"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2" w15:restartNumberingAfterBreak="0">
    <w:nsid w:val="9F409243"/>
    <w:multiLevelType w:val="singleLevel"/>
    <w:tmpl w:val="9F409243"/>
    <w:lvl w:ilvl="0">
      <w:start w:val="1"/>
      <w:numFmt w:val="decimalEnclosedCircleChinese"/>
      <w:suff w:val="nothing"/>
      <w:lvlText w:val="%1　"/>
      <w:lvlJc w:val="left"/>
      <w:pPr>
        <w:ind w:left="0" w:firstLine="400"/>
      </w:pPr>
      <w:rPr>
        <w:rFonts w:hint="eastAsia"/>
      </w:rPr>
    </w:lvl>
  </w:abstractNum>
  <w:abstractNum w:abstractNumId="3" w15:restartNumberingAfterBreak="0">
    <w:nsid w:val="B3441426"/>
    <w:multiLevelType w:val="singleLevel"/>
    <w:tmpl w:val="B3441426"/>
    <w:lvl w:ilvl="0">
      <w:start w:val="1"/>
      <w:numFmt w:val="decimal"/>
      <w:lvlText w:val="%1)"/>
      <w:lvlJc w:val="left"/>
      <w:pPr>
        <w:ind w:left="425" w:hanging="425"/>
      </w:pPr>
      <w:rPr>
        <w:rFonts w:hint="default"/>
      </w:rPr>
    </w:lvl>
  </w:abstractNum>
  <w:abstractNum w:abstractNumId="4"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5" w15:restartNumberingAfterBreak="0">
    <w:nsid w:val="C4756505"/>
    <w:multiLevelType w:val="singleLevel"/>
    <w:tmpl w:val="C4756505"/>
    <w:lvl w:ilvl="0">
      <w:start w:val="1"/>
      <w:numFmt w:val="decimalEnclosedCircleChinese"/>
      <w:suff w:val="nothing"/>
      <w:lvlText w:val="%1　"/>
      <w:lvlJc w:val="left"/>
      <w:pPr>
        <w:ind w:left="0" w:firstLine="400"/>
      </w:pPr>
      <w:rPr>
        <w:rFonts w:hint="eastAsia"/>
      </w:rPr>
    </w:lvl>
  </w:abstractNum>
  <w:abstractNum w:abstractNumId="6"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7" w15:restartNumberingAfterBreak="0">
    <w:nsid w:val="D3427E88"/>
    <w:multiLevelType w:val="singleLevel"/>
    <w:tmpl w:val="D3427E88"/>
    <w:lvl w:ilvl="0">
      <w:start w:val="1"/>
      <w:numFmt w:val="decimalEnclosedCircleChinese"/>
      <w:suff w:val="nothing"/>
      <w:lvlText w:val="%1　"/>
      <w:lvlJc w:val="left"/>
      <w:pPr>
        <w:ind w:left="0" w:firstLine="400"/>
      </w:pPr>
      <w:rPr>
        <w:rFonts w:hint="eastAsia"/>
      </w:rPr>
    </w:lvl>
  </w:abstractNum>
  <w:abstractNum w:abstractNumId="8"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9" w15:restartNumberingAfterBreak="0">
    <w:nsid w:val="E75D4C34"/>
    <w:multiLevelType w:val="singleLevel"/>
    <w:tmpl w:val="E75D4C34"/>
    <w:lvl w:ilvl="0">
      <w:start w:val="1"/>
      <w:numFmt w:val="decimal"/>
      <w:lvlText w:val="%1)"/>
      <w:lvlJc w:val="left"/>
      <w:pPr>
        <w:ind w:left="425" w:hanging="425"/>
      </w:pPr>
      <w:rPr>
        <w:rFonts w:hint="default"/>
      </w:rPr>
    </w:lvl>
  </w:abstractNum>
  <w:abstractNum w:abstractNumId="10"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11" w15:restartNumberingAfterBreak="0">
    <w:nsid w:val="F5E6E09C"/>
    <w:multiLevelType w:val="multilevel"/>
    <w:tmpl w:val="F5E6E09C"/>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F8529D3C"/>
    <w:multiLevelType w:val="singleLevel"/>
    <w:tmpl w:val="F8529D3C"/>
    <w:lvl w:ilvl="0">
      <w:start w:val="1"/>
      <w:numFmt w:val="decimalEnclosedCircleChinese"/>
      <w:suff w:val="nothing"/>
      <w:lvlText w:val="%1　"/>
      <w:lvlJc w:val="left"/>
      <w:pPr>
        <w:ind w:left="0" w:firstLine="400"/>
      </w:pPr>
      <w:rPr>
        <w:rFonts w:hint="eastAsia"/>
      </w:rPr>
    </w:lvl>
  </w:abstractNum>
  <w:abstractNum w:abstractNumId="13" w15:restartNumberingAfterBreak="0">
    <w:nsid w:val="FFFE0C25"/>
    <w:multiLevelType w:val="singleLevel"/>
    <w:tmpl w:val="FFFE0C25"/>
    <w:lvl w:ilvl="0">
      <w:start w:val="1"/>
      <w:numFmt w:val="decimalEnclosedCircleChinese"/>
      <w:suff w:val="nothing"/>
      <w:lvlText w:val="%1　"/>
      <w:lvlJc w:val="left"/>
      <w:pPr>
        <w:ind w:left="0" w:firstLine="400"/>
      </w:pPr>
      <w:rPr>
        <w:rFonts w:hint="eastAsia"/>
      </w:rPr>
    </w:lvl>
  </w:abstractNum>
  <w:abstractNum w:abstractNumId="14" w15:restartNumberingAfterBreak="0">
    <w:nsid w:val="01929A76"/>
    <w:multiLevelType w:val="multilevel"/>
    <w:tmpl w:val="01929A76"/>
    <w:lvl w:ilvl="0">
      <w:start w:val="1"/>
      <w:numFmt w:val="decimal"/>
      <w:lvlText w:val="%1)"/>
      <w:lvlJc w:val="left"/>
      <w:pPr>
        <w:ind w:left="425" w:hanging="42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9FBF72B"/>
    <w:multiLevelType w:val="singleLevel"/>
    <w:tmpl w:val="09FBF72B"/>
    <w:lvl w:ilvl="0">
      <w:start w:val="1"/>
      <w:numFmt w:val="decimalEnclosedCircleChinese"/>
      <w:suff w:val="nothing"/>
      <w:lvlText w:val="%1　"/>
      <w:lvlJc w:val="left"/>
      <w:pPr>
        <w:ind w:left="0" w:firstLine="400"/>
      </w:pPr>
      <w:rPr>
        <w:rFonts w:hint="eastAsia"/>
      </w:rPr>
    </w:lvl>
  </w:abstractNum>
  <w:abstractNum w:abstractNumId="16" w15:restartNumberingAfterBreak="0">
    <w:nsid w:val="0FEF7EC0"/>
    <w:multiLevelType w:val="multilevel"/>
    <w:tmpl w:val="0FEF7EC0"/>
    <w:lvl w:ilvl="0">
      <w:start w:val="1"/>
      <w:numFmt w:val="japaneseCounting"/>
      <w:lvlText w:val="%1、"/>
      <w:lvlJc w:val="left"/>
      <w:pPr>
        <w:ind w:left="643" w:hanging="360"/>
      </w:pPr>
      <w:rPr>
        <w:rFonts w:hint="default"/>
      </w:rPr>
    </w:lvl>
    <w:lvl w:ilvl="1">
      <w:start w:val="1"/>
      <w:numFmt w:val="decimal"/>
      <w:lvlText w:val="%2."/>
      <w:lvlJc w:val="left"/>
      <w:pPr>
        <w:ind w:left="785" w:hanging="360"/>
      </w:pPr>
    </w:lvl>
    <w:lvl w:ilvl="2">
      <w:start w:val="1"/>
      <w:numFmt w:val="lowerRoman"/>
      <w:lvlText w:val="%3."/>
      <w:lvlJc w:val="right"/>
      <w:pPr>
        <w:ind w:left="2448"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17"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8"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9"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20" w15:restartNumberingAfterBreak="0">
    <w:nsid w:val="2C8653F1"/>
    <w:multiLevelType w:val="multilevel"/>
    <w:tmpl w:val="2C8653F1"/>
    <w:lvl w:ilvl="0">
      <w:start w:val="1"/>
      <w:numFmt w:val="decimal"/>
      <w:lvlText w:val="%1."/>
      <w:lvlJc w:val="left"/>
      <w:pPr>
        <w:ind w:left="845" w:hanging="420"/>
      </w:pPr>
    </w:lvl>
    <w:lvl w:ilvl="1">
      <w:start w:val="1"/>
      <w:numFmt w:val="decimal"/>
      <w:lvlText w:val="%2、"/>
      <w:lvlJc w:val="left"/>
      <w:pPr>
        <w:ind w:left="1565" w:hanging="720"/>
      </w:pPr>
      <w:rPr>
        <w:rFonts w:ascii="等线" w:eastAsia="等线" w:hAnsi="等线" w:hint="default"/>
        <w:b w:val="0"/>
      </w:rPr>
    </w:lvl>
    <w:lvl w:ilvl="2">
      <w:start w:val="1"/>
      <w:numFmt w:val="lowerLetter"/>
      <w:lvlText w:val="%3."/>
      <w:lvlJc w:val="left"/>
      <w:pPr>
        <w:ind w:left="1625" w:hanging="360"/>
      </w:pPr>
      <w:rPr>
        <w:rFonts w:hint="default"/>
      </w:r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1" w15:restartNumberingAfterBreak="0">
    <w:nsid w:val="2CA15FE8"/>
    <w:multiLevelType w:val="multilevel"/>
    <w:tmpl w:val="2CA15FE8"/>
    <w:lvl w:ilvl="0">
      <w:start w:val="1"/>
      <w:numFmt w:val="decimal"/>
      <w:lvlText w:val="%1."/>
      <w:lvlJc w:val="left"/>
      <w:pPr>
        <w:ind w:left="844" w:hanging="420"/>
      </w:pPr>
    </w:lvl>
    <w:lvl w:ilvl="1">
      <w:start w:val="1"/>
      <w:numFmt w:val="decimal"/>
      <w:lvlText w:val="%2、"/>
      <w:lvlJc w:val="left"/>
      <w:pPr>
        <w:ind w:left="1564" w:hanging="720"/>
      </w:pPr>
      <w:rPr>
        <w:rFonts w:ascii="等线" w:eastAsia="等线" w:hAnsi="等线" w:hint="default"/>
        <w:b w:val="0"/>
      </w:r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22" w15:restartNumberingAfterBreak="0">
    <w:nsid w:val="34E34EA0"/>
    <w:multiLevelType w:val="singleLevel"/>
    <w:tmpl w:val="34E34EA0"/>
    <w:lvl w:ilvl="0">
      <w:start w:val="1"/>
      <w:numFmt w:val="decimalEnclosedCircleChinese"/>
      <w:suff w:val="nothing"/>
      <w:lvlText w:val="%1　"/>
      <w:lvlJc w:val="left"/>
      <w:pPr>
        <w:ind w:left="0" w:firstLine="400"/>
      </w:pPr>
      <w:rPr>
        <w:rFonts w:hint="eastAsia"/>
      </w:rPr>
    </w:lvl>
  </w:abstractNum>
  <w:abstractNum w:abstractNumId="23" w15:restartNumberingAfterBreak="0">
    <w:nsid w:val="39729300"/>
    <w:multiLevelType w:val="singleLevel"/>
    <w:tmpl w:val="39729300"/>
    <w:lvl w:ilvl="0">
      <w:start w:val="1"/>
      <w:numFmt w:val="decimalEnclosedCircleChinese"/>
      <w:suff w:val="nothing"/>
      <w:lvlText w:val="%1　"/>
      <w:lvlJc w:val="left"/>
      <w:pPr>
        <w:ind w:left="0" w:firstLine="400"/>
      </w:pPr>
      <w:rPr>
        <w:rFonts w:hint="eastAsia"/>
      </w:rPr>
    </w:lvl>
  </w:abstractNum>
  <w:abstractNum w:abstractNumId="24" w15:restartNumberingAfterBreak="0">
    <w:nsid w:val="3B394812"/>
    <w:multiLevelType w:val="singleLevel"/>
    <w:tmpl w:val="3B394812"/>
    <w:lvl w:ilvl="0">
      <w:start w:val="1"/>
      <w:numFmt w:val="decimal"/>
      <w:lvlText w:val="%1)"/>
      <w:lvlJc w:val="left"/>
      <w:pPr>
        <w:ind w:left="425" w:hanging="425"/>
      </w:pPr>
      <w:rPr>
        <w:rFonts w:hint="default"/>
      </w:rPr>
    </w:lvl>
  </w:abstractNum>
  <w:abstractNum w:abstractNumId="25" w15:restartNumberingAfterBreak="0">
    <w:nsid w:val="3BA422BB"/>
    <w:multiLevelType w:val="singleLevel"/>
    <w:tmpl w:val="3BA422BB"/>
    <w:lvl w:ilvl="0">
      <w:start w:val="1"/>
      <w:numFmt w:val="decimal"/>
      <w:suff w:val="nothing"/>
      <w:lvlText w:val="%1、"/>
      <w:lvlJc w:val="left"/>
    </w:lvl>
  </w:abstractNum>
  <w:abstractNum w:abstractNumId="26" w15:restartNumberingAfterBreak="0">
    <w:nsid w:val="3D256E98"/>
    <w:multiLevelType w:val="singleLevel"/>
    <w:tmpl w:val="3D256E98"/>
    <w:lvl w:ilvl="0">
      <w:start w:val="1"/>
      <w:numFmt w:val="decimalEnclosedCircleChinese"/>
      <w:suff w:val="nothing"/>
      <w:lvlText w:val="%1　"/>
      <w:lvlJc w:val="left"/>
      <w:pPr>
        <w:ind w:left="0" w:firstLine="400"/>
      </w:pPr>
      <w:rPr>
        <w:rFonts w:hint="eastAsia"/>
      </w:rPr>
    </w:lvl>
  </w:abstractNum>
  <w:abstractNum w:abstractNumId="27"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8" w15:restartNumberingAfterBreak="0">
    <w:nsid w:val="56927484"/>
    <w:multiLevelType w:val="singleLevel"/>
    <w:tmpl w:val="56927484"/>
    <w:lvl w:ilvl="0">
      <w:start w:val="1"/>
      <w:numFmt w:val="decimalEnclosedCircleChinese"/>
      <w:suff w:val="nothing"/>
      <w:lvlText w:val="%1　"/>
      <w:lvlJc w:val="left"/>
      <w:pPr>
        <w:ind w:left="0" w:firstLine="400"/>
      </w:pPr>
      <w:rPr>
        <w:rFonts w:hint="eastAsia"/>
      </w:rPr>
    </w:lvl>
  </w:abstractNum>
  <w:abstractNum w:abstractNumId="29" w15:restartNumberingAfterBreak="0">
    <w:nsid w:val="5FFB9C80"/>
    <w:multiLevelType w:val="singleLevel"/>
    <w:tmpl w:val="5FFB9C80"/>
    <w:lvl w:ilvl="0">
      <w:start w:val="1"/>
      <w:numFmt w:val="decimalEnclosedCircleChinese"/>
      <w:suff w:val="nothing"/>
      <w:lvlText w:val="%1　"/>
      <w:lvlJc w:val="left"/>
      <w:pPr>
        <w:ind w:left="0" w:firstLine="400"/>
      </w:pPr>
      <w:rPr>
        <w:rFonts w:hint="eastAsia"/>
      </w:rPr>
    </w:lvl>
  </w:abstractNum>
  <w:abstractNum w:abstractNumId="30" w15:restartNumberingAfterBreak="0">
    <w:nsid w:val="6BF64C02"/>
    <w:multiLevelType w:val="singleLevel"/>
    <w:tmpl w:val="6BF64C02"/>
    <w:lvl w:ilvl="0">
      <w:start w:val="1"/>
      <w:numFmt w:val="decimalEnclosedCircleChinese"/>
      <w:suff w:val="nothing"/>
      <w:lvlText w:val="%1　"/>
      <w:lvlJc w:val="left"/>
      <w:pPr>
        <w:ind w:left="0" w:firstLine="400"/>
      </w:pPr>
      <w:rPr>
        <w:rFonts w:hint="eastAsia"/>
      </w:rPr>
    </w:lvl>
  </w:abstractNum>
  <w:abstractNum w:abstractNumId="31" w15:restartNumberingAfterBreak="0">
    <w:nsid w:val="7360EED9"/>
    <w:multiLevelType w:val="singleLevel"/>
    <w:tmpl w:val="7360EED9"/>
    <w:lvl w:ilvl="0">
      <w:start w:val="1"/>
      <w:numFmt w:val="decimalEnclosedCircleChinese"/>
      <w:suff w:val="nothing"/>
      <w:lvlText w:val="%1　"/>
      <w:lvlJc w:val="left"/>
      <w:pPr>
        <w:ind w:left="0" w:firstLine="400"/>
      </w:pPr>
      <w:rPr>
        <w:rFonts w:hint="eastAsia"/>
      </w:rPr>
    </w:lvl>
  </w:abstractNum>
  <w:abstractNum w:abstractNumId="32"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num w:numId="1">
    <w:abstractNumId w:val="6"/>
  </w:num>
  <w:num w:numId="2">
    <w:abstractNumId w:val="27"/>
  </w:num>
  <w:num w:numId="3">
    <w:abstractNumId w:val="8"/>
  </w:num>
  <w:num w:numId="4">
    <w:abstractNumId w:val="24"/>
  </w:num>
  <w:num w:numId="5">
    <w:abstractNumId w:val="32"/>
  </w:num>
  <w:num w:numId="6">
    <w:abstractNumId w:val="10"/>
  </w:num>
  <w:num w:numId="7">
    <w:abstractNumId w:val="4"/>
  </w:num>
  <w:num w:numId="8">
    <w:abstractNumId w:val="26"/>
  </w:num>
  <w:num w:numId="9">
    <w:abstractNumId w:val="18"/>
  </w:num>
  <w:num w:numId="10">
    <w:abstractNumId w:val="1"/>
  </w:num>
  <w:num w:numId="11">
    <w:abstractNumId w:val="17"/>
  </w:num>
  <w:num w:numId="12">
    <w:abstractNumId w:val="19"/>
  </w:num>
  <w:num w:numId="13">
    <w:abstractNumId w:val="3"/>
  </w:num>
  <w:num w:numId="14">
    <w:abstractNumId w:val="7"/>
  </w:num>
  <w:num w:numId="15">
    <w:abstractNumId w:val="31"/>
  </w:num>
  <w:num w:numId="16">
    <w:abstractNumId w:val="9"/>
  </w:num>
  <w:num w:numId="17">
    <w:abstractNumId w:val="16"/>
  </w:num>
  <w:num w:numId="18">
    <w:abstractNumId w:val="5"/>
  </w:num>
  <w:num w:numId="19">
    <w:abstractNumId w:val="21"/>
  </w:num>
  <w:num w:numId="20">
    <w:abstractNumId w:val="12"/>
  </w:num>
  <w:num w:numId="21">
    <w:abstractNumId w:val="28"/>
  </w:num>
  <w:num w:numId="22">
    <w:abstractNumId w:val="0"/>
  </w:num>
  <w:num w:numId="23">
    <w:abstractNumId w:val="23"/>
  </w:num>
  <w:num w:numId="24">
    <w:abstractNumId w:val="2"/>
  </w:num>
  <w:num w:numId="25">
    <w:abstractNumId w:val="13"/>
  </w:num>
  <w:num w:numId="26">
    <w:abstractNumId w:val="30"/>
  </w:num>
  <w:num w:numId="27">
    <w:abstractNumId w:val="22"/>
  </w:num>
  <w:num w:numId="28">
    <w:abstractNumId w:val="20"/>
  </w:num>
  <w:num w:numId="29">
    <w:abstractNumId w:val="29"/>
  </w:num>
  <w:num w:numId="30">
    <w:abstractNumId w:val="15"/>
  </w:num>
  <w:num w:numId="31">
    <w:abstractNumId w:val="11"/>
  </w:num>
  <w:num w:numId="32">
    <w:abstractNumId w:val="25"/>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E59"/>
    <w:rsid w:val="00025778"/>
    <w:rsid w:val="00043A95"/>
    <w:rsid w:val="00043DC6"/>
    <w:rsid w:val="000805C1"/>
    <w:rsid w:val="000808E4"/>
    <w:rsid w:val="000C09D8"/>
    <w:rsid w:val="000C2B8A"/>
    <w:rsid w:val="000E5112"/>
    <w:rsid w:val="000F01C5"/>
    <w:rsid w:val="000F16A5"/>
    <w:rsid w:val="00101AC3"/>
    <w:rsid w:val="00113A86"/>
    <w:rsid w:val="001155EC"/>
    <w:rsid w:val="0015397B"/>
    <w:rsid w:val="00172A27"/>
    <w:rsid w:val="001733FB"/>
    <w:rsid w:val="00180F1F"/>
    <w:rsid w:val="001850B9"/>
    <w:rsid w:val="00192B59"/>
    <w:rsid w:val="001936D3"/>
    <w:rsid w:val="00194D92"/>
    <w:rsid w:val="001B76F8"/>
    <w:rsid w:val="001C7D36"/>
    <w:rsid w:val="001E387A"/>
    <w:rsid w:val="001F57E0"/>
    <w:rsid w:val="001F7FBB"/>
    <w:rsid w:val="00210A68"/>
    <w:rsid w:val="00223B89"/>
    <w:rsid w:val="002324E0"/>
    <w:rsid w:val="002707AA"/>
    <w:rsid w:val="0027431D"/>
    <w:rsid w:val="00280ED8"/>
    <w:rsid w:val="002A1DBB"/>
    <w:rsid w:val="002C0719"/>
    <w:rsid w:val="002C4CCA"/>
    <w:rsid w:val="002D6394"/>
    <w:rsid w:val="00300EA4"/>
    <w:rsid w:val="00303EFF"/>
    <w:rsid w:val="00314FFA"/>
    <w:rsid w:val="00326F44"/>
    <w:rsid w:val="003422F5"/>
    <w:rsid w:val="0037021A"/>
    <w:rsid w:val="00374384"/>
    <w:rsid w:val="00375F31"/>
    <w:rsid w:val="00386DA5"/>
    <w:rsid w:val="003938CF"/>
    <w:rsid w:val="003969E7"/>
    <w:rsid w:val="003B609C"/>
    <w:rsid w:val="003C4F1E"/>
    <w:rsid w:val="003D2C9E"/>
    <w:rsid w:val="003D5147"/>
    <w:rsid w:val="003F7115"/>
    <w:rsid w:val="00404671"/>
    <w:rsid w:val="004428CA"/>
    <w:rsid w:val="004615A5"/>
    <w:rsid w:val="00464CEA"/>
    <w:rsid w:val="004667A2"/>
    <w:rsid w:val="00467A4E"/>
    <w:rsid w:val="004875E3"/>
    <w:rsid w:val="004965A5"/>
    <w:rsid w:val="004A2819"/>
    <w:rsid w:val="004D04DB"/>
    <w:rsid w:val="004D104B"/>
    <w:rsid w:val="004D362F"/>
    <w:rsid w:val="004E0501"/>
    <w:rsid w:val="004E6619"/>
    <w:rsid w:val="004E722B"/>
    <w:rsid w:val="005115A9"/>
    <w:rsid w:val="00523201"/>
    <w:rsid w:val="00551B47"/>
    <w:rsid w:val="0055545B"/>
    <w:rsid w:val="00583BE7"/>
    <w:rsid w:val="005A2A86"/>
    <w:rsid w:val="005C359E"/>
    <w:rsid w:val="005D1453"/>
    <w:rsid w:val="005E1CCF"/>
    <w:rsid w:val="005F24B2"/>
    <w:rsid w:val="00610722"/>
    <w:rsid w:val="0061201F"/>
    <w:rsid w:val="00614FEC"/>
    <w:rsid w:val="00632CDD"/>
    <w:rsid w:val="00644EA8"/>
    <w:rsid w:val="0064710A"/>
    <w:rsid w:val="0065675F"/>
    <w:rsid w:val="00674E0A"/>
    <w:rsid w:val="00675DDD"/>
    <w:rsid w:val="00675FB3"/>
    <w:rsid w:val="00695F48"/>
    <w:rsid w:val="006D1548"/>
    <w:rsid w:val="006E4BBC"/>
    <w:rsid w:val="006F78D8"/>
    <w:rsid w:val="00710A25"/>
    <w:rsid w:val="0072012E"/>
    <w:rsid w:val="00722095"/>
    <w:rsid w:val="00736393"/>
    <w:rsid w:val="00751AAB"/>
    <w:rsid w:val="007720AE"/>
    <w:rsid w:val="00777B58"/>
    <w:rsid w:val="00795B1C"/>
    <w:rsid w:val="007B6BC3"/>
    <w:rsid w:val="007B70AC"/>
    <w:rsid w:val="007E56A1"/>
    <w:rsid w:val="00801601"/>
    <w:rsid w:val="00810705"/>
    <w:rsid w:val="00812568"/>
    <w:rsid w:val="00815C03"/>
    <w:rsid w:val="0082149F"/>
    <w:rsid w:val="0082582B"/>
    <w:rsid w:val="00835B20"/>
    <w:rsid w:val="0089116B"/>
    <w:rsid w:val="00892677"/>
    <w:rsid w:val="008965D5"/>
    <w:rsid w:val="008A7187"/>
    <w:rsid w:val="008D2DAC"/>
    <w:rsid w:val="008D58EE"/>
    <w:rsid w:val="008E1406"/>
    <w:rsid w:val="008E4707"/>
    <w:rsid w:val="008F46E7"/>
    <w:rsid w:val="008F65B9"/>
    <w:rsid w:val="009048D9"/>
    <w:rsid w:val="00937148"/>
    <w:rsid w:val="00943005"/>
    <w:rsid w:val="00951464"/>
    <w:rsid w:val="00951DE4"/>
    <w:rsid w:val="00960D36"/>
    <w:rsid w:val="00961375"/>
    <w:rsid w:val="009651C8"/>
    <w:rsid w:val="0096524C"/>
    <w:rsid w:val="00984C5A"/>
    <w:rsid w:val="009969E6"/>
    <w:rsid w:val="009C6FCB"/>
    <w:rsid w:val="009D7A05"/>
    <w:rsid w:val="009D7BDB"/>
    <w:rsid w:val="009E2668"/>
    <w:rsid w:val="009F619F"/>
    <w:rsid w:val="00A073D6"/>
    <w:rsid w:val="00A14F1F"/>
    <w:rsid w:val="00A16E0C"/>
    <w:rsid w:val="00A256FD"/>
    <w:rsid w:val="00A32778"/>
    <w:rsid w:val="00A430E9"/>
    <w:rsid w:val="00A46CC5"/>
    <w:rsid w:val="00A5756E"/>
    <w:rsid w:val="00A60C60"/>
    <w:rsid w:val="00A70811"/>
    <w:rsid w:val="00A717DE"/>
    <w:rsid w:val="00A908B9"/>
    <w:rsid w:val="00A921B0"/>
    <w:rsid w:val="00AA102D"/>
    <w:rsid w:val="00AA3C5A"/>
    <w:rsid w:val="00AD42AD"/>
    <w:rsid w:val="00AE0177"/>
    <w:rsid w:val="00AE35ED"/>
    <w:rsid w:val="00AE65E2"/>
    <w:rsid w:val="00AF0EC5"/>
    <w:rsid w:val="00B166F4"/>
    <w:rsid w:val="00B25205"/>
    <w:rsid w:val="00B40F95"/>
    <w:rsid w:val="00B61DE9"/>
    <w:rsid w:val="00B659B5"/>
    <w:rsid w:val="00B733F8"/>
    <w:rsid w:val="00B8175C"/>
    <w:rsid w:val="00B87844"/>
    <w:rsid w:val="00B96900"/>
    <w:rsid w:val="00BC18F7"/>
    <w:rsid w:val="00BD5870"/>
    <w:rsid w:val="00BE027E"/>
    <w:rsid w:val="00BE1B66"/>
    <w:rsid w:val="00BE4EB2"/>
    <w:rsid w:val="00BE71AB"/>
    <w:rsid w:val="00C05657"/>
    <w:rsid w:val="00C22E95"/>
    <w:rsid w:val="00C27D77"/>
    <w:rsid w:val="00C3079A"/>
    <w:rsid w:val="00C358D1"/>
    <w:rsid w:val="00C35B06"/>
    <w:rsid w:val="00C45F6E"/>
    <w:rsid w:val="00C511BE"/>
    <w:rsid w:val="00C600D3"/>
    <w:rsid w:val="00C605D7"/>
    <w:rsid w:val="00C6458B"/>
    <w:rsid w:val="00C820ED"/>
    <w:rsid w:val="00CA7453"/>
    <w:rsid w:val="00CA7D76"/>
    <w:rsid w:val="00CC458D"/>
    <w:rsid w:val="00CD2C0E"/>
    <w:rsid w:val="00D16475"/>
    <w:rsid w:val="00D17C4C"/>
    <w:rsid w:val="00D57A91"/>
    <w:rsid w:val="00D63988"/>
    <w:rsid w:val="00D92BE7"/>
    <w:rsid w:val="00DB2919"/>
    <w:rsid w:val="00DB537B"/>
    <w:rsid w:val="00DD7208"/>
    <w:rsid w:val="00DD7BD7"/>
    <w:rsid w:val="00DE11C6"/>
    <w:rsid w:val="00DF2F7C"/>
    <w:rsid w:val="00E05883"/>
    <w:rsid w:val="00E133FE"/>
    <w:rsid w:val="00E354ED"/>
    <w:rsid w:val="00E36D96"/>
    <w:rsid w:val="00E578DB"/>
    <w:rsid w:val="00E60672"/>
    <w:rsid w:val="00E637B7"/>
    <w:rsid w:val="00E67308"/>
    <w:rsid w:val="00E7049B"/>
    <w:rsid w:val="00E81C35"/>
    <w:rsid w:val="00E92562"/>
    <w:rsid w:val="00E93297"/>
    <w:rsid w:val="00EA6E65"/>
    <w:rsid w:val="00EB44F9"/>
    <w:rsid w:val="00EB6282"/>
    <w:rsid w:val="00EC37EF"/>
    <w:rsid w:val="00ED3BA7"/>
    <w:rsid w:val="00ED638E"/>
    <w:rsid w:val="00EF39CB"/>
    <w:rsid w:val="00F0519F"/>
    <w:rsid w:val="00F11D46"/>
    <w:rsid w:val="00F26EDA"/>
    <w:rsid w:val="00F32CA5"/>
    <w:rsid w:val="00F44D98"/>
    <w:rsid w:val="00F45F62"/>
    <w:rsid w:val="00F571C7"/>
    <w:rsid w:val="00F73C93"/>
    <w:rsid w:val="00F91E58"/>
    <w:rsid w:val="00F937F9"/>
    <w:rsid w:val="00F94EAA"/>
    <w:rsid w:val="00FB26C8"/>
    <w:rsid w:val="00FC6E41"/>
    <w:rsid w:val="030E3A3D"/>
    <w:rsid w:val="0389389E"/>
    <w:rsid w:val="082333EB"/>
    <w:rsid w:val="0A795CEF"/>
    <w:rsid w:val="0B8969EF"/>
    <w:rsid w:val="0DDE06D5"/>
    <w:rsid w:val="0E347D8E"/>
    <w:rsid w:val="0E9E1DF6"/>
    <w:rsid w:val="0F275D57"/>
    <w:rsid w:val="10516711"/>
    <w:rsid w:val="10A44AD8"/>
    <w:rsid w:val="1132262E"/>
    <w:rsid w:val="13EE260A"/>
    <w:rsid w:val="15A57C41"/>
    <w:rsid w:val="17066EDE"/>
    <w:rsid w:val="17937225"/>
    <w:rsid w:val="1A623F7A"/>
    <w:rsid w:val="1A653C81"/>
    <w:rsid w:val="1B1172E5"/>
    <w:rsid w:val="1E722BA1"/>
    <w:rsid w:val="25612297"/>
    <w:rsid w:val="293C46D4"/>
    <w:rsid w:val="298E3B37"/>
    <w:rsid w:val="2B267E53"/>
    <w:rsid w:val="2B482914"/>
    <w:rsid w:val="2B82101E"/>
    <w:rsid w:val="2BB76ED8"/>
    <w:rsid w:val="2BE0339C"/>
    <w:rsid w:val="2D244573"/>
    <w:rsid w:val="2EA4340C"/>
    <w:rsid w:val="2F416D00"/>
    <w:rsid w:val="2F55173C"/>
    <w:rsid w:val="2F9D7DB2"/>
    <w:rsid w:val="318468A8"/>
    <w:rsid w:val="32A44FF2"/>
    <w:rsid w:val="349121A4"/>
    <w:rsid w:val="34E47257"/>
    <w:rsid w:val="36A22C9F"/>
    <w:rsid w:val="37470093"/>
    <w:rsid w:val="385C3473"/>
    <w:rsid w:val="3C2126FB"/>
    <w:rsid w:val="3C333E47"/>
    <w:rsid w:val="3C6C2709"/>
    <w:rsid w:val="3CF643B0"/>
    <w:rsid w:val="3CFC1221"/>
    <w:rsid w:val="3FBC3707"/>
    <w:rsid w:val="42203234"/>
    <w:rsid w:val="424F6B75"/>
    <w:rsid w:val="446B2DAE"/>
    <w:rsid w:val="451F459B"/>
    <w:rsid w:val="454755CE"/>
    <w:rsid w:val="4733173E"/>
    <w:rsid w:val="47565285"/>
    <w:rsid w:val="478B0A95"/>
    <w:rsid w:val="4DFA25C9"/>
    <w:rsid w:val="4F211D1F"/>
    <w:rsid w:val="4F5E7115"/>
    <w:rsid w:val="4FEE77E7"/>
    <w:rsid w:val="510C536A"/>
    <w:rsid w:val="51D25264"/>
    <w:rsid w:val="523D6E46"/>
    <w:rsid w:val="52525C01"/>
    <w:rsid w:val="52682B1D"/>
    <w:rsid w:val="54C9046B"/>
    <w:rsid w:val="562F7E1A"/>
    <w:rsid w:val="567556B5"/>
    <w:rsid w:val="56CD5AE2"/>
    <w:rsid w:val="583D3ABD"/>
    <w:rsid w:val="586609E9"/>
    <w:rsid w:val="5D7509CD"/>
    <w:rsid w:val="5DE55405"/>
    <w:rsid w:val="600E14DC"/>
    <w:rsid w:val="601954DC"/>
    <w:rsid w:val="60C66A9B"/>
    <w:rsid w:val="61C962D2"/>
    <w:rsid w:val="641D37F7"/>
    <w:rsid w:val="66982F46"/>
    <w:rsid w:val="67323183"/>
    <w:rsid w:val="67E81EC1"/>
    <w:rsid w:val="681813A2"/>
    <w:rsid w:val="691C1C75"/>
    <w:rsid w:val="6B4C0725"/>
    <w:rsid w:val="6CFB6181"/>
    <w:rsid w:val="6EAD1AD1"/>
    <w:rsid w:val="6EE34CD2"/>
    <w:rsid w:val="72B3540C"/>
    <w:rsid w:val="753C5780"/>
    <w:rsid w:val="75911F91"/>
    <w:rsid w:val="76144F29"/>
    <w:rsid w:val="76A2645F"/>
    <w:rsid w:val="76A61C34"/>
    <w:rsid w:val="783340AB"/>
    <w:rsid w:val="792F24E1"/>
    <w:rsid w:val="7A575AA5"/>
    <w:rsid w:val="7B0C70C5"/>
    <w:rsid w:val="7C9642AB"/>
    <w:rsid w:val="7EDB5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9FDC0"/>
  <w15:docId w15:val="{F1BFEDFF-92B5-497E-A616-83859D33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pPr>
      <w:keepNext/>
      <w:keepLines/>
      <w:spacing w:beforeLines="50" w:afterLines="150"/>
      <w:jc w:val="center"/>
      <w:outlineLvl w:val="0"/>
    </w:pPr>
    <w:rPr>
      <w:rFonts w:ascii="Times New Roman" w:hAnsi="Times New Roman" w:cs="Times New Roman"/>
      <w:b/>
      <w:kern w:val="44"/>
      <w:sz w:val="48"/>
      <w:szCs w:val="20"/>
    </w:rPr>
  </w:style>
  <w:style w:type="paragraph" w:styleId="2">
    <w:name w:val="heading 2"/>
    <w:basedOn w:val="a"/>
    <w:next w:val="a"/>
    <w:link w:val="20"/>
    <w:unhideWhenUsed/>
    <w:qFormat/>
    <w:pPr>
      <w:keepNext/>
      <w:keepLines/>
      <w:spacing w:before="260" w:after="260"/>
      <w:jc w:val="center"/>
      <w:outlineLvl w:val="1"/>
    </w:pPr>
    <w:rPr>
      <w:rFonts w:ascii="Arial" w:eastAsia="黑体" w:hAnsi="Arial"/>
      <w:b/>
      <w:sz w:val="32"/>
    </w:rPr>
  </w:style>
  <w:style w:type="paragraph" w:styleId="3">
    <w:name w:val="heading 3"/>
    <w:basedOn w:val="a"/>
    <w:next w:val="a"/>
    <w:link w:val="30"/>
    <w:unhideWhenUsed/>
    <w:qFormat/>
    <w:pPr>
      <w:keepNext/>
      <w:keepLines/>
      <w:ind w:leftChars="200" w:left="420" w:firstLineChars="200" w:firstLine="880"/>
      <w:jc w:val="left"/>
      <w:outlineLvl w:val="2"/>
    </w:pPr>
    <w:rPr>
      <w:rFonts w:ascii="Calibri" w:eastAsia="黑体" w:hAnsi="Calibri"/>
      <w:b/>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styleId="a3">
    <w:name w:val="Balloon Text"/>
    <w:basedOn w:val="a"/>
    <w:link w:val="a4"/>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SOffice3">
    <w:name w:val="WPSOffice手动目录 3"/>
    <w:qFormat/>
    <w:pPr>
      <w:ind w:leftChars="400" w:left="400"/>
    </w:pPr>
    <w:rPr>
      <w:rFonts w:ascii="Times New Roman" w:hAnsi="Times New Roman"/>
    </w:rPr>
  </w:style>
  <w:style w:type="paragraph" w:customStyle="1" w:styleId="11">
    <w:name w:val="列出段落1"/>
    <w:basedOn w:val="a"/>
    <w:qFormat/>
    <w:pPr>
      <w:adjustRightInd w:val="0"/>
      <w:spacing w:line="312" w:lineRule="atLeast"/>
      <w:ind w:firstLineChars="200" w:firstLine="420"/>
    </w:pPr>
    <w:rPr>
      <w:rFonts w:ascii="等线" w:eastAsia="等线" w:hAnsi="等线" w:cs="Times New Roman"/>
      <w:szCs w:val="22"/>
    </w:rPr>
  </w:style>
  <w:style w:type="paragraph" w:customStyle="1" w:styleId="Style2">
    <w:name w:val="_Style 2"/>
    <w:basedOn w:val="a"/>
    <w:qFormat/>
    <w:pPr>
      <w:ind w:firstLineChars="200" w:firstLine="420"/>
    </w:pPr>
    <w:rPr>
      <w:rFonts w:ascii="Calibri" w:eastAsia="宋体" w:hAnsi="Calibri" w:cs="Times New Roman"/>
    </w:rPr>
  </w:style>
  <w:style w:type="paragraph" w:customStyle="1" w:styleId="Style3">
    <w:name w:val="_Style 3"/>
    <w:basedOn w:val="a"/>
    <w:qFormat/>
    <w:pPr>
      <w:ind w:firstLineChars="200" w:firstLine="420"/>
    </w:pPr>
    <w:rPr>
      <w:rFonts w:ascii="Calibri" w:eastAsia="宋体" w:hAnsi="Calibri" w:cs="Times New Roman"/>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4">
    <w:name w:val="批注框文本 字符"/>
    <w:basedOn w:val="a0"/>
    <w:link w:val="a3"/>
    <w:rPr>
      <w:rFonts w:asciiTheme="minorHAnsi" w:eastAsiaTheme="minorEastAsia" w:hAnsiTheme="minorHAnsi" w:cstheme="minorBidi"/>
      <w:kern w:val="2"/>
      <w:sz w:val="18"/>
      <w:szCs w:val="18"/>
    </w:rPr>
  </w:style>
  <w:style w:type="character" w:customStyle="1" w:styleId="30">
    <w:name w:val="标题 3 字符"/>
    <w:basedOn w:val="a0"/>
    <w:link w:val="3"/>
    <w:qFormat/>
    <w:rPr>
      <w:rFonts w:eastAsia="黑体" w:cstheme="minorBidi"/>
      <w:b/>
      <w:sz w:val="28"/>
      <w:szCs w:val="32"/>
    </w:rPr>
  </w:style>
  <w:style w:type="paragraph" w:styleId="a9">
    <w:name w:val="List Paragraph"/>
    <w:basedOn w:val="a"/>
    <w:uiPriority w:val="99"/>
    <w:unhideWhenUsed/>
    <w:pPr>
      <w:ind w:firstLineChars="200" w:firstLine="420"/>
    </w:pPr>
  </w:style>
  <w:style w:type="character" w:customStyle="1" w:styleId="10">
    <w:name w:val="标题 1 字符"/>
    <w:basedOn w:val="a0"/>
    <w:link w:val="1"/>
    <w:rsid w:val="001850B9"/>
    <w:rPr>
      <w:rFonts w:ascii="Times New Roman" w:eastAsiaTheme="minorEastAsia" w:hAnsi="Times New Roman"/>
      <w:b/>
      <w:kern w:val="44"/>
      <w:sz w:val="48"/>
    </w:rPr>
  </w:style>
  <w:style w:type="character" w:customStyle="1" w:styleId="20">
    <w:name w:val="标题 2 字符"/>
    <w:basedOn w:val="a0"/>
    <w:link w:val="2"/>
    <w:rsid w:val="001850B9"/>
    <w:rPr>
      <w:rFonts w:ascii="Arial" w:eastAsia="黑体" w:hAnsi="Arial" w:cstheme="minorBidi"/>
      <w:b/>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585A3A-4F9A-4B72-8068-EB3E1BFD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1713</Words>
  <Characters>9770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王棋</cp:lastModifiedBy>
  <cp:revision>154</cp:revision>
  <cp:lastPrinted>2020-09-27T06:08:00Z</cp:lastPrinted>
  <dcterms:created xsi:type="dcterms:W3CDTF">2020-04-12T01:30:00Z</dcterms:created>
  <dcterms:modified xsi:type="dcterms:W3CDTF">2020-09-27T09:15:00Z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