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天津市鹏峰投资有限公司所持天津市鹏峰汽车贸易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有限公司100%股权及债权捆绑转让项目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项目编号：BBWCQJY20-313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4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你交易所有权扣除</w:t>
      </w:r>
      <w:r>
        <w:rPr>
          <w:rFonts w:hint="eastAsia" w:ascii="仿宋_GB2312" w:hAnsi="仿宋_GB2312" w:eastAsia="仿宋_GB2312" w:cs="仿宋_GB2312"/>
          <w:sz w:val="21"/>
          <w:szCs w:val="21"/>
        </w:rPr>
        <w:t>我方所交纳的保证金。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bookmarkStart w:id="0" w:name="_GoBack"/>
      <w:r>
        <w:rPr>
          <w:rFonts w:hint="eastAsia" w:ascii="仿宋_GB2312" w:hAnsi="仿宋_GB2312" w:eastAsia="仿宋_GB2312" w:cs="仿宋_GB2312"/>
          <w:sz w:val="21"/>
          <w:szCs w:val="21"/>
        </w:rPr>
        <w:t>九、我方同意，如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非因转让方原因，</w:t>
      </w:r>
      <w:r>
        <w:rPr>
          <w:rFonts w:hint="eastAsia" w:ascii="仿宋_GB2312" w:hAnsi="仿宋_GB2312" w:eastAsia="仿宋_GB2312" w:cs="仿宋_GB2312"/>
          <w:sz w:val="21"/>
          <w:szCs w:val="21"/>
        </w:rPr>
        <w:t>我方出现以下行为之一者视为违约，你交易所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21"/>
          <w:szCs w:val="21"/>
        </w:rPr>
        <w:t>扣除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21"/>
          <w:szCs w:val="21"/>
        </w:rPr>
        <w:t>方应交纳的交易费用后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如该违约情形是在交易双方签订《成交确认书》或《交易合同》等成交文件后出现的，还须扣除转让方应交纳的交易费用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1"/>
          <w:szCs w:val="21"/>
        </w:rPr>
        <w:t>，转让方有权扣除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21"/>
          <w:szCs w:val="21"/>
        </w:rPr>
        <w:t>方已交纳的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剩余</w:t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保证金作为补偿，保证金不足以补偿的，转让方可按实际损失继续追诉，且有权取消意向受让资格（包括已取得的最终受让资格）。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你交易所扣除我方和转让方应交纳的交易费用的计算标准为：项目未成交的，按挂牌底价为基数计算；项目成交的，按成交价为基数计算。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（1）提供虚假资料致使竞价无效；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（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1"/>
          <w:szCs w:val="21"/>
        </w:rPr>
        <w:t>）被确认为受让方后未按时与交易所签署成交确认文件，或故意拖延（超过约定时间10天）不与转让方签署交易合同；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（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1"/>
          <w:szCs w:val="21"/>
        </w:rPr>
        <w:t>）被确认为受让方后未按时足额支付成交价款或竞价服务费；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（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1"/>
          <w:szCs w:val="21"/>
        </w:rPr>
        <w:t>）与他人串通，损害国家、集体或他人的合法权益；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（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1"/>
          <w:szCs w:val="21"/>
        </w:rPr>
        <w:t xml:space="preserve">）扰乱交易秩序，使交易活动无法进行； 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（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1"/>
          <w:szCs w:val="21"/>
        </w:rPr>
        <w:t>）违反法律法规或交易所交易规则规定的其他情形。</w:t>
      </w:r>
    </w:p>
    <w:bookmarkEnd w:id="0"/>
    <w:p>
      <w:pPr>
        <w:widowControl/>
        <w:spacing w:line="300" w:lineRule="exact"/>
        <w:ind w:firstLine="420" w:firstLineChars="200"/>
        <w:jc w:val="left"/>
        <w:rPr>
          <w:rFonts w:ascii="微软雅黑" w:hAnsi="微软雅黑" w:eastAsia="微软雅黑" w:cs="微软雅黑"/>
          <w:color w:val="666666"/>
          <w:kern w:val="0"/>
          <w:szCs w:val="21"/>
        </w:rPr>
      </w:pP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3949CA"/>
    <w:rsid w:val="105E7D10"/>
    <w:rsid w:val="108414A3"/>
    <w:rsid w:val="164906FA"/>
    <w:rsid w:val="186D0E50"/>
    <w:rsid w:val="194724B7"/>
    <w:rsid w:val="1E4C4168"/>
    <w:rsid w:val="249764E6"/>
    <w:rsid w:val="24E75905"/>
    <w:rsid w:val="2D300E7B"/>
    <w:rsid w:val="310D11AA"/>
    <w:rsid w:val="43F92248"/>
    <w:rsid w:val="4A7363B1"/>
    <w:rsid w:val="4EFF78B6"/>
    <w:rsid w:val="5420442D"/>
    <w:rsid w:val="5FAE3570"/>
    <w:rsid w:val="6369256E"/>
    <w:rsid w:val="6525299D"/>
    <w:rsid w:val="681F5605"/>
    <w:rsid w:val="6A11057C"/>
    <w:rsid w:val="71BC0DFA"/>
    <w:rsid w:val="7F50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熊健锡</cp:lastModifiedBy>
  <dcterms:modified xsi:type="dcterms:W3CDTF">2020-10-15T08:07:20Z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