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天津市鹏峰投资有限公司所持十家汽车销售、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汽车贸易有限公司股权及债权捆绑转让项目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项目编号：BBWCQJY20-300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4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你交易所有权扣除</w:t>
      </w:r>
      <w:r>
        <w:rPr>
          <w:rFonts w:hint="eastAsia" w:ascii="仿宋_GB2312" w:hAnsi="仿宋_GB2312" w:eastAsia="仿宋_GB2312" w:cs="仿宋_GB2312"/>
          <w:sz w:val="21"/>
          <w:szCs w:val="21"/>
        </w:rPr>
        <w:t>我方所交纳的保证金。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/>
          <w:sz w:val="21"/>
          <w:szCs w:val="21"/>
        </w:rPr>
        <w:t>九、我方同意，如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非因转让方原因，</w:t>
      </w:r>
      <w:r>
        <w:rPr>
          <w:rFonts w:hint="eastAsia" w:ascii="仿宋_GB2312" w:eastAsia="仿宋_GB2312"/>
          <w:sz w:val="21"/>
          <w:szCs w:val="21"/>
        </w:rPr>
        <w:t>我方出现以下行为之一者视为违约，你交易所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在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扣除</w:t>
      </w:r>
      <w:r>
        <w:rPr>
          <w:rFonts w:hint="eastAsia" w:ascii="仿宋_GB2312" w:eastAsia="仿宋_GB2312" w:cstheme="minorBidi"/>
          <w:kern w:val="2"/>
          <w:szCs w:val="21"/>
          <w:lang w:val="en-US" w:eastAsia="zh-CN"/>
        </w:rPr>
        <w:t>我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方应交纳的交易费用后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eastAsia="zh-CN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如该违约情形是在</w:t>
      </w:r>
      <w:r>
        <w:rPr>
          <w:rFonts w:hint="eastAsia" w:ascii="仿宋_GB2312" w:eastAsia="仿宋_GB2312" w:hAnsiTheme="minorHAnsi" w:cstheme="minorBidi"/>
          <w:color w:val="666666"/>
          <w:kern w:val="2"/>
          <w:sz w:val="21"/>
          <w:szCs w:val="21"/>
          <w:u w:val="none"/>
          <w:lang w:val="en-US" w:eastAsia="zh-CN"/>
        </w:rPr>
        <w:t>交易双方签订《成交确认书》或《交易合同》等成交文件后出现的，还须扣除转让方应交纳的交易费用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eastAsia="zh-CN"/>
        </w:rPr>
        <w:t>）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，转让方有权扣除</w:t>
      </w:r>
      <w:r>
        <w:rPr>
          <w:rFonts w:hint="eastAsia" w:ascii="仿宋_GB2312" w:eastAsia="仿宋_GB2312" w:cstheme="minorBidi"/>
          <w:kern w:val="2"/>
          <w:szCs w:val="21"/>
          <w:lang w:eastAsia="zh-CN"/>
        </w:rPr>
        <w:t>我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方已交纳的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剩余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 xml:space="preserve">保证金作为补偿，保证金不足以补偿的，转让方可按实际损失继续追诉，且有权取消意向受让资格（包括已取得的最终受让资格）。 </w:t>
      </w:r>
      <w:r>
        <w:rPr>
          <w:rFonts w:hint="eastAsia" w:ascii="仿宋_GB2312" w:eastAsia="仿宋_GB2312" w:cstheme="minorBidi"/>
          <w:kern w:val="2"/>
          <w:szCs w:val="21"/>
          <w:lang w:val="en-US" w:eastAsia="zh-CN"/>
        </w:rPr>
        <w:t>你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交易所扣除</w:t>
      </w:r>
      <w:r>
        <w:rPr>
          <w:rFonts w:hint="eastAsia" w:ascii="仿宋_GB2312" w:eastAsia="仿宋_GB2312" w:cstheme="minorBidi"/>
          <w:kern w:val="2"/>
          <w:szCs w:val="21"/>
          <w:lang w:val="en-US" w:eastAsia="zh-CN"/>
        </w:rPr>
        <w:t>我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方</w:t>
      </w:r>
      <w:r>
        <w:rPr>
          <w:rFonts w:hint="eastAsia" w:ascii="仿宋_GB2312" w:eastAsia="仿宋_GB2312" w:cstheme="minorBidi"/>
          <w:kern w:val="2"/>
          <w:szCs w:val="21"/>
          <w:lang w:val="en-US" w:eastAsia="zh-CN"/>
        </w:rPr>
        <w:t>和转让方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应交纳的交易费用的计算标准为：项目未成交的，按挂牌底价为基数计算；项目成交的，按成交价为基数计算。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sz w:val="21"/>
          <w:szCs w:val="21"/>
        </w:rPr>
        <w:t>（1）提供虚假资料致使竞价无效；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2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）被确认为受让方后未按时与交易所签署成交确认文件，或故意拖延（超过约定时间10天）不与转让方签署交易合同；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3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）被确认为受让方后未按时足额支付成交价款或竞价服务费；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4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）与他人串通，损害国家、集体或他人的合法权益；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5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 xml:space="preserve">）扰乱交易秩序，使交易活动无法进行； </w:t>
      </w:r>
    </w:p>
    <w:p>
      <w:pPr>
        <w:widowControl/>
        <w:numPr>
          <w:ilvl w:val="0"/>
          <w:numId w:val="0"/>
        </w:numPr>
        <w:adjustRightInd w:val="0"/>
        <w:snapToGrid w:val="0"/>
        <w:spacing w:beforeLines="0" w:afterLines="0" w:line="240" w:lineRule="exact"/>
        <w:ind w:firstLine="420" w:firstLineChars="200"/>
        <w:jc w:val="left"/>
        <w:rPr>
          <w:rFonts w:hint="eastAsia" w:ascii="仿宋_GB2312" w:eastAsia="仿宋_GB2312" w:hAnsiTheme="minorHAnsi" w:cstheme="minorBidi"/>
          <w:color w:val="666666"/>
          <w:kern w:val="2"/>
          <w:szCs w:val="21"/>
        </w:rPr>
      </w:pP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（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  <w:lang w:val="en-US" w:eastAsia="zh-CN"/>
        </w:rPr>
        <w:t>6</w:t>
      </w:r>
      <w:r>
        <w:rPr>
          <w:rFonts w:hint="eastAsia" w:ascii="仿宋_GB2312" w:eastAsia="仿宋_GB2312" w:hAnsiTheme="minorHAnsi" w:cstheme="minorBidi"/>
          <w:color w:val="666666"/>
          <w:kern w:val="2"/>
          <w:szCs w:val="21"/>
        </w:rPr>
        <w:t>）违反法律法规或交易所交易规则规定的其他情形。</w:t>
      </w:r>
    </w:p>
    <w:p>
      <w:pPr>
        <w:widowControl/>
        <w:spacing w:line="300" w:lineRule="exact"/>
        <w:ind w:firstLine="420" w:firstLineChars="200"/>
        <w:jc w:val="left"/>
        <w:rPr>
          <w:rFonts w:ascii="微软雅黑" w:hAnsi="微软雅黑" w:eastAsia="微软雅黑" w:cs="微软雅黑"/>
          <w:color w:val="666666"/>
          <w:kern w:val="0"/>
          <w:szCs w:val="21"/>
        </w:rPr>
      </w:pP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3949CA"/>
    <w:rsid w:val="105E7D10"/>
    <w:rsid w:val="108414A3"/>
    <w:rsid w:val="186D0E50"/>
    <w:rsid w:val="194724B7"/>
    <w:rsid w:val="1E4C4168"/>
    <w:rsid w:val="249764E6"/>
    <w:rsid w:val="24E75905"/>
    <w:rsid w:val="2D300E7B"/>
    <w:rsid w:val="310D11AA"/>
    <w:rsid w:val="43F92248"/>
    <w:rsid w:val="4A7363B1"/>
    <w:rsid w:val="4EFF78B6"/>
    <w:rsid w:val="5420442D"/>
    <w:rsid w:val="5FAE3570"/>
    <w:rsid w:val="6369256E"/>
    <w:rsid w:val="6525299D"/>
    <w:rsid w:val="681F5605"/>
    <w:rsid w:val="6A11057C"/>
    <w:rsid w:val="71BC0DFA"/>
    <w:rsid w:val="7F50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熊健锡</cp:lastModifiedBy>
  <dcterms:modified xsi:type="dcterms:W3CDTF">2020-10-13T08:50:32Z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