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XXXX废旧物资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购销合同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合同编号: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GNWZ</w:t>
      </w:r>
      <w:r>
        <w:rPr>
          <w:rFonts w:hint="eastAsia" w:ascii="仿宋_GB2312" w:hAnsi="仿宋_GB2312" w:eastAsia="仿宋_GB2312" w:cs="仿宋_GB2312"/>
          <w:sz w:val="32"/>
          <w:szCs w:val="32"/>
        </w:rPr>
        <w:t>XM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XS2100XX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甲方:内蒙古新蒙煤炭有限责任公司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乙方: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经甲乙双方协商，就乙方购买甲方受托出售的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废旧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达成以下协议。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一、合同有效期: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1、合同有效期: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2、XXX废旧物资销售</w:t>
      </w:r>
      <w:r>
        <w:rPr>
          <w:rFonts w:hint="eastAsia" w:ascii="仿宋_GB2312" w:hAnsi="仿宋_GB2312" w:eastAsia="仿宋_GB2312" w:cs="仿宋_GB2312"/>
          <w:sz w:val="32"/>
          <w:szCs w:val="32"/>
        </w:rPr>
        <w:t>单价: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元/吨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含13%增值税）。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二、合同标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物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货物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2、数量: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(1）货物的预估数量: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说明:以上数量仅为参考，实际以现场出库单为准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(2）合同履行时，乙方必须将上述物资全部回收，实际数量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预估数量的20%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(3）货物的实际数量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货物经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甲方指定过磅点</w:t>
      </w:r>
      <w:r>
        <w:rPr>
          <w:rFonts w:hint="eastAsia" w:ascii="仿宋_GB2312" w:hAnsi="仿宋_GB2312" w:eastAsia="仿宋_GB2312" w:cs="仿宋_GB2312"/>
          <w:sz w:val="32"/>
          <w:szCs w:val="32"/>
        </w:rPr>
        <w:t>称重检验后确定的数量为实际数量，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结算时以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实际数量进行价格结算: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三、履约保证金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甲方收到全部预付交易价款后，通知乙方3个工作日内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甲方指定账户缴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纳预估交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易价款的15%作为提货</w:t>
      </w:r>
      <w:r>
        <w:rPr>
          <w:rFonts w:hint="eastAsia" w:ascii="仿宋_GB2312" w:hAnsi="仿宋_GB2312" w:eastAsia="仿宋_GB2312" w:cs="仿宋_GB2312"/>
          <w:sz w:val="32"/>
          <w:szCs w:val="32"/>
        </w:rPr>
        <w:t>履约保证金。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结算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货款方式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、实际结算价格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乙方在提货前须将预估货款缴纳至指定产权交易中心，由产权交易中心将预估货款转至甲方指定账户。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甲乙双方以结算单</w:t>
      </w:r>
      <w:r>
        <w:rPr>
          <w:rFonts w:hint="eastAsia" w:ascii="仿宋_GB2312" w:hAnsi="仿宋_GB2312" w:eastAsia="仿宋_GB2312" w:cs="仿宋_GB2312"/>
          <w:sz w:val="32"/>
          <w:szCs w:val="32"/>
        </w:rPr>
        <w:t>为准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货物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金额核对无误</w:t>
      </w:r>
      <w:r>
        <w:rPr>
          <w:rFonts w:hint="eastAsia" w:ascii="仿宋_GB2312" w:hAnsi="仿宋_GB2312" w:eastAsia="仿宋_GB2312" w:cs="仿宋_GB2312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）乙方到甲方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指定地点提取标的物，拆解、装卸、运输等一切费用（含过磅费）均由乙方承担。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5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  <w:u w:val="none"/>
          <w:lang w:val="en-US" w:eastAsia="zh-CN"/>
        </w:rPr>
        <w:t>因现场特殊情况实际出库数量大于提货单数量时，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按照合同约定单价对实际拉运数量确定交易金额进行货款补交，</w:t>
      </w:r>
      <w:r>
        <w:rPr>
          <w:rFonts w:hint="eastAsia" w:ascii="仿宋_GB2312" w:hAnsi="仿宋_GB2312" w:eastAsia="仿宋_GB2312" w:cs="仿宋_GB2312"/>
          <w:kern w:val="56"/>
          <w:sz w:val="32"/>
          <w:szCs w:val="32"/>
          <w:u w:val="none"/>
          <w:lang w:val="en-US" w:eastAsia="zh-CN"/>
        </w:rPr>
        <w:t>待重新收到提货单，并核实交易金额处于限额以下后方可办理出场。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甲方指定账户信息: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账号:1500 1686 6390 5250 1207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账户名:内蒙古新蒙煤炭有限责任公司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开户行:中国建设银行鄂尔多斯市团结路支行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五、提货、清运与验收：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</w:t>
      </w:r>
      <w:r>
        <w:rPr>
          <w:rFonts w:hint="eastAsia" w:ascii="仿宋_GB2312" w:hAnsi="仿宋_GB2312" w:eastAsia="仿宋_GB2312" w:cs="仿宋_GB2312"/>
          <w:sz w:val="32"/>
          <w:szCs w:val="32"/>
        </w:rPr>
        <w:t>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( 1）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</w:t>
      </w:r>
      <w:r>
        <w:rPr>
          <w:rFonts w:hint="eastAsia" w:ascii="仿宋_GB2312" w:hAnsi="仿宋_GB2312" w:eastAsia="仿宋_GB2312" w:cs="仿宋_GB2312"/>
          <w:sz w:val="32"/>
          <w:szCs w:val="32"/>
        </w:rPr>
        <w:t>货时间:乙方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接到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日内开始提货。乙方分批提货的，工作时间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以委托方货物所在地</w:t>
      </w:r>
      <w:r>
        <w:rPr>
          <w:rFonts w:hint="eastAsia" w:ascii="仿宋_GB2312" w:hAnsi="仿宋_GB2312" w:eastAsia="仿宋_GB2312" w:cs="仿宋_GB2312"/>
          <w:sz w:val="32"/>
          <w:szCs w:val="32"/>
        </w:rPr>
        <w:t>作息时间为标准。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</w:rPr>
        <w:t>交货地点: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甲方指定地点。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2、清运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作业区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现场垃圾清运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，经委托方验收认可后乙方方可离场。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提货当日，由甲方、乙方及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委托方三方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代表现场共同对货物的数量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重量、质量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(2）重量计量:以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委托方指定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的计量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工具</w:t>
      </w:r>
      <w:r>
        <w:rPr>
          <w:rFonts w:hint="eastAsia" w:ascii="仿宋_GB2312" w:hAnsi="仿宋_GB2312" w:eastAsia="仿宋_GB2312" w:cs="仿宋_GB2312"/>
          <w:sz w:val="32"/>
          <w:szCs w:val="32"/>
        </w:rPr>
        <w:t>为准，在处置现场出具的磅单为本合同的数量结算依据。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六、结算方式及期限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1、甲方根据实际结算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一次性提货完毕后向乙方出具结算单并开具发票（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税率依据委托方给甲方开具的为准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2、甲乙双方应当自甲方与委托方结算完成后，按照结算单上的实际结算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结算，如乙方预缴货款大于实际结算金额，由甲方无息退还乙方多余</w:t>
      </w:r>
      <w:r>
        <w:rPr>
          <w:rFonts w:hint="eastAsia" w:ascii="仿宋_GB2312" w:hAnsi="仿宋_GB2312" w:eastAsia="仿宋_GB2312" w:cs="仿宋_GB2312"/>
          <w:sz w:val="32"/>
          <w:szCs w:val="32"/>
        </w:rPr>
        <w:t>货款。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在乙方无违约行为且约定货物全部提清、货款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结清后的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全额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无息退</w:t>
      </w:r>
      <w:r>
        <w:rPr>
          <w:rFonts w:hint="eastAsia" w:ascii="仿宋_GB2312" w:hAnsi="仿宋_GB2312" w:eastAsia="仿宋_GB2312" w:cs="仿宋_GB2312"/>
          <w:sz w:val="32"/>
          <w:szCs w:val="32"/>
        </w:rPr>
        <w:t>还乙方保证金。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、违约责任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1、甲乙双方应严格履行本合同，除依据中华人民共和国法律法规所认定的不可抗力因素外，均不得擅自解除、修改本合同。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、以下情况视为乙方违约: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在计量、分类过程中有作弊行为的;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货物中夹带、隐匿其他不允许或未计价的物资;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因乙方雇佣人员不具有相应资质或在拆、装、卸及运输过程中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未按相关法律法规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安全管理规定操作，以及违反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安全责任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履约承诺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致使甲方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或委托方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造成损失的，或被甲方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或委托方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上级管理单位认定为事故的;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若乙方未按本合同约定时间支付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履约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保证金，每逾期一日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</w:rPr>
        <w:t>方应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从乙</w:t>
      </w: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货款中扣除5</w:t>
      </w:r>
      <w:r>
        <w:rPr>
          <w:rFonts w:hint="eastAsia" w:ascii="仿宋_GB2312" w:hAnsi="仿宋_GB2312" w:eastAsia="仿宋_GB2312" w:cs="仿宋_GB2312"/>
          <w:sz w:val="32"/>
          <w:szCs w:val="32"/>
        </w:rPr>
        <w:t>%的违约金，逾期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日的，甲方有权选择解除本合同，并有权要求乙方支付应付款项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%的违约金;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乙方未按本合同约定的期限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拉</w:t>
      </w:r>
      <w:r>
        <w:rPr>
          <w:rFonts w:hint="eastAsia" w:ascii="仿宋_GB2312" w:hAnsi="仿宋_GB2312" w:eastAsia="仿宋_GB2312" w:cs="仿宋_GB2312"/>
          <w:sz w:val="32"/>
          <w:szCs w:val="32"/>
        </w:rPr>
        <w:t>运完毕货物的，每逾期一日乙方应向甲方支付预估货款5%的违约金，逾期五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的，甲方有权选择解除本合同，并有权要求乙方支付预估货款5O%的违约金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除全部履约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保证金。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乙方在搬运过程中须遵守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相关规定及管理要求，保证无事故，若发生人身伤亡事故，或对周边建筑物及设施损坏事故，则由乙方承担全部责任，并根据事故责任承担相应赔偿责任。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（7）乙方一旦提交受让资料并缴纳提货</w:t>
      </w:r>
      <w:r>
        <w:rPr>
          <w:rFonts w:hint="eastAsia" w:ascii="仿宋_GB2312" w:hAnsi="仿宋_GB2312" w:eastAsia="仿宋_GB2312" w:cs="仿宋_GB2312"/>
          <w:sz w:val="32"/>
          <w:szCs w:val="32"/>
        </w:rPr>
        <w:t>履约保证金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视为已完全了解和认可标的物状况及相关约定，自愿接受标的物全部现状及瑕疵，并愿承担一切责任与风险，被确定受让资格后不得以不了解标的状况、标的有瑕疵为由而拒绝履行相关受让义务，否则视为违约，甲方将按照合同约定相关条款处置履约保证金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（8）乙方受让标的物须按甲方或委托方指定的货物装卸顺序搬运离场。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9）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现场作业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时，未经甲方书面同意,不得让第三方人员进入场地施工作业,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乙方发生该类违约行为,甲方有权扣除乙方部分或全部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履约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并立即解除合同。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</w:t>
      </w:r>
      <w:r>
        <w:rPr>
          <w:rFonts w:hint="eastAsia" w:ascii="仿宋_GB2312" w:hAnsi="仿宋_GB2312" w:eastAsia="仿宋_GB2312" w:cs="仿宋_GB2312"/>
          <w:sz w:val="32"/>
          <w:szCs w:val="32"/>
        </w:rPr>
        <w:t>因乙方原因致使合同不能履行或中途解除合同履行，甲方有权扣除乙方全部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履约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保证金，且不再与乙方进行任何相关业务合作。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、其它约定事项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场禁止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</w:rPr>
        <w:t>火作业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如现场需明火作业的，须经过委托方及甲方批准后方可进行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、本合同甲乙双方签字、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后生效。合同履行期内，双方均不得随意变更或解除合同。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合同如有未尽事宜，须经双方共同协商，做出补充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补充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与本合同具有同等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效力。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叁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</w:rPr>
        <w:t>方执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乙方执壹份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。本合同在规定期限内货、款、票结清后自动失效。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</w:p>
    <w:tbl>
      <w:tblPr>
        <w:tblStyle w:val="7"/>
        <w:tblpPr w:leftFromText="180" w:rightFromText="180" w:vertAnchor="text" w:horzAnchor="page" w:tblpX="1429" w:tblpY="159"/>
        <w:tblW w:w="9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4208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</w:p>
        </w:tc>
        <w:tc>
          <w:tcPr>
            <w:tcW w:w="42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8"/>
                <w:sz w:val="30"/>
                <w:szCs w:val="30"/>
              </w:rPr>
              <w:t xml:space="preserve"> 甲  方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8"/>
                <w:sz w:val="30"/>
                <w:szCs w:val="30"/>
              </w:rPr>
              <w:t>乙  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>名  称</w:t>
            </w:r>
          </w:p>
        </w:tc>
        <w:tc>
          <w:tcPr>
            <w:tcW w:w="420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内蒙古新蒙煤炭有限责任公司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>地  址</w:t>
            </w:r>
          </w:p>
        </w:tc>
        <w:tc>
          <w:tcPr>
            <w:tcW w:w="420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eastAsia="zh-CN"/>
              </w:rPr>
              <w:t>内蒙古鄂尔多斯市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  <w:t>东胜区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>邮  编</w:t>
            </w:r>
          </w:p>
        </w:tc>
        <w:tc>
          <w:tcPr>
            <w:tcW w:w="4208" w:type="dxa"/>
            <w:noWrap w:val="0"/>
            <w:vAlign w:val="center"/>
          </w:tcPr>
          <w:p>
            <w:pPr>
              <w:spacing w:line="360" w:lineRule="auto"/>
              <w:ind w:firstLine="632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  <w:t>017000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spacing w:line="360" w:lineRule="auto"/>
              <w:ind w:firstLine="632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>电  话</w:t>
            </w:r>
          </w:p>
        </w:tc>
        <w:tc>
          <w:tcPr>
            <w:tcW w:w="42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  <w:t>0477-8206862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>开户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>银行</w:t>
            </w:r>
          </w:p>
        </w:tc>
        <w:tc>
          <w:tcPr>
            <w:tcW w:w="42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  <w:t>中国建行银行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  <w:t>鄂尔多斯市团结路支行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>帐 号</w:t>
            </w:r>
          </w:p>
        </w:tc>
        <w:tc>
          <w:tcPr>
            <w:tcW w:w="4208" w:type="dxa"/>
            <w:noWrap w:val="0"/>
            <w:vAlign w:val="center"/>
          </w:tcPr>
          <w:p>
            <w:pPr>
              <w:tabs>
                <w:tab w:val="left" w:pos="297"/>
                <w:tab w:val="center" w:pos="1873"/>
              </w:tabs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pacing w:val="8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  <w:t>15001686639052501207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tabs>
                <w:tab w:val="left" w:pos="297"/>
                <w:tab w:val="center" w:pos="1873"/>
              </w:tabs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>税 号</w:t>
            </w:r>
          </w:p>
        </w:tc>
        <w:tc>
          <w:tcPr>
            <w:tcW w:w="42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  <w:t>911506277014276483</w:t>
            </w:r>
          </w:p>
        </w:tc>
        <w:tc>
          <w:tcPr>
            <w:tcW w:w="41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>法定代表人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>签字</w:t>
            </w:r>
          </w:p>
        </w:tc>
        <w:tc>
          <w:tcPr>
            <w:tcW w:w="42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</w:p>
        </w:tc>
        <w:tc>
          <w:tcPr>
            <w:tcW w:w="418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>委托代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>理人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>签字</w:t>
            </w:r>
          </w:p>
        </w:tc>
        <w:tc>
          <w:tcPr>
            <w:tcW w:w="42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</w:p>
        </w:tc>
        <w:tc>
          <w:tcPr>
            <w:tcW w:w="418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>日期</w:t>
            </w:r>
          </w:p>
        </w:tc>
        <w:tc>
          <w:tcPr>
            <w:tcW w:w="4208" w:type="dxa"/>
            <w:noWrap w:val="0"/>
            <w:vAlign w:val="bottom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 xml:space="preserve">     （  盖  章  ）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 xml:space="preserve">  年   月   日</w:t>
            </w:r>
          </w:p>
        </w:tc>
        <w:tc>
          <w:tcPr>
            <w:tcW w:w="4183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 xml:space="preserve">     （  盖  章  ）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0"/>
                <w:szCs w:val="30"/>
              </w:rPr>
              <w:t xml:space="preserve">  年   月   日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13D85"/>
    <w:rsid w:val="16AB4E90"/>
    <w:rsid w:val="43BB5D5B"/>
    <w:rsid w:val="4F713D85"/>
    <w:rsid w:val="54003CCA"/>
    <w:rsid w:val="56E526FF"/>
    <w:rsid w:val="5EDA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2021-03-08T01:40:00Z</dcterms:created>
  <dc:creator>Administrator</dc:creator>
  <cp:lastModifiedBy>Administrator</cp:lastModifiedBy>
  <dcterms:modified xsi:type="dcterms:W3CDTF">2021-03-26T01:29:51Z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