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上海大锰汽车销售服务有限公司</w:t>
      </w:r>
      <w:r>
        <w:rPr>
          <w:rFonts w:hint="eastAsia" w:asciiTheme="majorEastAsia" w:hAnsiTheme="majorEastAsia" w:eastAsiaTheme="majorEastAsia" w:cstheme="majorEastAsia"/>
          <w:b/>
          <w:sz w:val="32"/>
          <w:szCs w:val="32"/>
          <w:lang w:val="en-US" w:eastAsia="zh-CN"/>
        </w:rPr>
        <w:t>51%股权转让</w:t>
      </w:r>
      <w:r>
        <w:rPr>
          <w:rFonts w:hint="eastAsia" w:asciiTheme="majorEastAsia" w:hAnsiTheme="majorEastAsia" w:eastAsiaTheme="majorEastAsia" w:cstheme="majorEastAsia"/>
          <w:b/>
          <w:sz w:val="32"/>
          <w:szCs w:val="32"/>
        </w:rPr>
        <w:t>项目</w:t>
      </w:r>
    </w:p>
    <w:p>
      <w:pPr>
        <w:spacing w:line="400" w:lineRule="exact"/>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受让申请书</w:t>
      </w:r>
    </w:p>
    <w:p>
      <w:pPr>
        <w:spacing w:line="400" w:lineRule="exact"/>
        <w:jc w:val="center"/>
        <w:rPr>
          <w:rFonts w:hint="default" w:ascii="仿宋_GB2312" w:hAnsi="仿宋_GB2312" w:eastAsia="仿宋_GB2312" w:cs="仿宋_GB2312"/>
          <w:sz w:val="24"/>
          <w:lang w:val="en-US" w:eastAsia="zh-CN"/>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kern w:val="2"/>
          <w:szCs w:val="21"/>
          <w:lang w:eastAsia="zh-CN"/>
        </w:rPr>
        <w:t>21-</w:t>
      </w:r>
      <w:r>
        <w:rPr>
          <w:rFonts w:hint="eastAsia" w:ascii="仿宋_GB2312" w:hAnsi="仿宋_GB2312" w:eastAsia="仿宋_GB2312" w:cs="仿宋_GB2312"/>
          <w:kern w:val="2"/>
          <w:szCs w:val="21"/>
          <w:lang w:val="en-US" w:eastAsia="zh-CN"/>
        </w:rPr>
        <w:t>87(2)</w:t>
      </w:r>
    </w:p>
    <w:tbl>
      <w:tblPr>
        <w:tblStyle w:val="7"/>
        <w:tblpPr w:leftFromText="180" w:rightFromText="180" w:vertAnchor="text" w:horzAnchor="page" w:tblpX="1990" w:tblpY="282"/>
        <w:tblOverlap w:val="never"/>
        <w:tblW w:w="846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1787"/>
        <w:gridCol w:w="1963"/>
        <w:gridCol w:w="1725"/>
        <w:gridCol w:w="17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413" w:type="dxa"/>
            <w:gridSpan w:val="3"/>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413" w:type="dxa"/>
            <w:gridSpan w:val="3"/>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sz w:val="24"/>
                <w:szCs w:val="24"/>
              </w:rPr>
              <w:t>上海大锰汽车销售服务有限公司</w:t>
            </w:r>
            <w:r>
              <w:rPr>
                <w:rFonts w:hint="eastAsia" w:ascii="仿宋_GB2312" w:hAnsi="宋体" w:eastAsia="仿宋_GB2312" w:cstheme="minorBidi"/>
                <w:b w:val="0"/>
                <w:sz w:val="24"/>
                <w:szCs w:val="24"/>
                <w:lang w:val="en-US" w:eastAsia="zh-CN"/>
              </w:rPr>
              <w:t>51%股权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413" w:type="dxa"/>
            <w:gridSpan w:val="3"/>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人民币</w:t>
            </w:r>
            <w:r>
              <w:rPr>
                <w:rFonts w:hint="eastAsia" w:ascii="仿宋_GB2312" w:hAnsi="宋体" w:eastAsia="仿宋_GB2312"/>
                <w:sz w:val="24"/>
                <w:lang w:val="en-US" w:eastAsia="zh-CN"/>
              </w:rPr>
              <w:t>40万</w:t>
            </w:r>
            <w:r>
              <w:rPr>
                <w:rFonts w:hint="eastAsia" w:ascii="仿宋_GB2312" w:hAnsi="宋体" w:eastAsia="仿宋_GB2312"/>
                <w:sz w:val="24"/>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67" w:hRule="atLeast"/>
        </w:trPr>
        <w:tc>
          <w:tcPr>
            <w:tcW w:w="1269"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200" w:type="dxa"/>
            <w:gridSpan w:val="4"/>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196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725"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725"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196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725"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725"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3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13" w:type="dxa"/>
            <w:gridSpan w:val="3"/>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13" w:type="dxa"/>
            <w:gridSpan w:val="3"/>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trPr>
        <w:tc>
          <w:tcPr>
            <w:tcW w:w="1269"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200" w:type="dxa"/>
            <w:gridSpan w:val="4"/>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1963"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725"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725"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46" w:hRule="atLeast"/>
        </w:trPr>
        <w:tc>
          <w:tcPr>
            <w:tcW w:w="1269"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13" w:type="dxa"/>
            <w:gridSpan w:val="3"/>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w:t>
            </w:r>
            <w:r>
              <w:rPr>
                <w:rFonts w:hint="eastAsia" w:ascii="仿宋_GB2312" w:hAnsi="宋体" w:eastAsia="仿宋_GB2312"/>
                <w:sz w:val="24"/>
                <w:lang w:eastAsia="zh-CN"/>
              </w:rPr>
              <w:t>□</w:t>
            </w:r>
            <w:r>
              <w:rPr>
                <w:rFonts w:hint="eastAsia" w:ascii="仿宋_GB2312" w:hAnsi="宋体" w:eastAsia="仿宋_GB2312"/>
                <w:sz w:val="24"/>
              </w:rPr>
              <w:t>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787" w:type="dxa"/>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1963" w:type="dxa"/>
            <w:tcBorders>
              <w:top w:val="single" w:color="auto" w:sz="12" w:space="0"/>
            </w:tcBorders>
            <w:vAlign w:val="center"/>
          </w:tcPr>
          <w:p>
            <w:pPr>
              <w:spacing w:line="260" w:lineRule="exact"/>
              <w:jc w:val="center"/>
              <w:rPr>
                <w:rFonts w:ascii="仿宋_GB2312" w:hAnsi="宋体" w:eastAsia="仿宋_GB2312"/>
                <w:sz w:val="24"/>
              </w:rPr>
            </w:pPr>
          </w:p>
        </w:tc>
        <w:tc>
          <w:tcPr>
            <w:tcW w:w="1725" w:type="dxa"/>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725"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vAlign w:val="center"/>
          </w:tcPr>
          <w:p>
            <w:pPr>
              <w:spacing w:line="260" w:lineRule="exact"/>
              <w:rPr>
                <w:rFonts w:ascii="仿宋_GB2312" w:hAnsi="宋体" w:eastAsia="仿宋_GB2312"/>
                <w:sz w:val="24"/>
              </w:rPr>
            </w:pPr>
          </w:p>
        </w:tc>
        <w:tc>
          <w:tcPr>
            <w:tcW w:w="1787" w:type="dxa"/>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1963" w:type="dxa"/>
            <w:vAlign w:val="center"/>
          </w:tcPr>
          <w:p>
            <w:pPr>
              <w:spacing w:line="260" w:lineRule="exact"/>
              <w:jc w:val="center"/>
              <w:rPr>
                <w:rFonts w:ascii="仿宋_GB2312" w:hAnsi="宋体" w:eastAsia="仿宋_GB2312"/>
                <w:b/>
                <w:bCs/>
                <w:sz w:val="24"/>
              </w:rPr>
            </w:pPr>
          </w:p>
        </w:tc>
        <w:tc>
          <w:tcPr>
            <w:tcW w:w="1725" w:type="dxa"/>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725"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vAlign w:val="center"/>
          </w:tcPr>
          <w:p>
            <w:pPr>
              <w:spacing w:line="260" w:lineRule="exact"/>
              <w:rPr>
                <w:rFonts w:ascii="仿宋_GB2312" w:hAnsi="宋体" w:eastAsia="仿宋_GB2312"/>
                <w:sz w:val="24"/>
              </w:rPr>
            </w:pPr>
          </w:p>
        </w:tc>
        <w:tc>
          <w:tcPr>
            <w:tcW w:w="1787" w:type="dxa"/>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1963" w:type="dxa"/>
            <w:vAlign w:val="center"/>
          </w:tcPr>
          <w:p>
            <w:pPr>
              <w:spacing w:line="260" w:lineRule="exact"/>
              <w:jc w:val="center"/>
              <w:rPr>
                <w:rFonts w:ascii="仿宋_GB2312" w:hAnsi="宋体" w:eastAsia="仿宋_GB2312"/>
                <w:b/>
                <w:bCs/>
                <w:sz w:val="24"/>
              </w:rPr>
            </w:pPr>
          </w:p>
        </w:tc>
        <w:tc>
          <w:tcPr>
            <w:tcW w:w="1725" w:type="dxa"/>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725"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w:t>
      </w:r>
      <w:bookmarkStart w:id="0" w:name="_GoBack"/>
      <w:bookmarkEnd w:id="0"/>
      <w:r>
        <w:rPr>
          <w:rFonts w:hint="eastAsia" w:ascii="仿宋_GB2312" w:hAnsi="宋体" w:eastAsia="仿宋_GB2312"/>
          <w:color w:val="000000"/>
          <w:szCs w:val="21"/>
        </w:rPr>
        <w:t>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3</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三</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九、我方同意，如非因转让方原因，我方出现以下行为之一者视为违约，你交易所在扣除我方应交纳的交易费用后（如该违约情形是在交易双方签订《成交确认书》或《交易合同》等成交文件后出现的，还须扣除转让方应交纳的交易费用），转让方有权扣除我方已交纳的剩余保证金作为补偿，保证金不足以补偿的，转让方可按实际损失继续追诉，且有权取消意向受让资格（包括已取得的最终受让资格）。 你交易所扣除我方和转让方应交纳的交易费用的计算标准为：项目未成交的，按挂牌底价为基数计算；项目成交的，按成交价为基数计算。</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（1）提供虚假资料致使竞价无效；</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（2）被确认为受让方后未按时与交易所签署成交确认文件，或故意拖延（超过约定时间10天）不与转让方签署交易合同；</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（3）被确认为受让方后未按时足额支付成交价款或竞价服务费；</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（4）与他人串通，损害国家、集体或他人的合法权益；</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 xml:space="preserve">（5）扰乱交易秩序，使交易活动无法进行； </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（6）违反法律法规或交易所交易规则规定的其他情形。</w:t>
      </w:r>
    </w:p>
    <w:p>
      <w:pPr>
        <w:widowControl w:val="0"/>
        <w:adjustRightInd w:val="0"/>
        <w:snapToGrid w:val="0"/>
        <w:spacing w:line="240" w:lineRule="exact"/>
        <w:ind w:firstLine="420" w:firstLineChars="200"/>
        <w:jc w:val="both"/>
        <w:rPr>
          <w:rFonts w:hint="eastAsia" w:ascii="仿宋_GB2312" w:eastAsia="仿宋_GB2312"/>
          <w:color w:val="auto"/>
          <w:szCs w:val="21"/>
        </w:rPr>
      </w:pPr>
      <w:r>
        <w:rPr>
          <w:rFonts w:hint="eastAsia" w:ascii="仿宋_GB2312" w:eastAsia="仿宋_GB2312"/>
          <w:szCs w:val="21"/>
        </w:rPr>
        <w:t>违约方需承担守约方为实现合法权益所支出的各项费用（包括但不限于律师费、诉讼费、保全费、执行费等费用）。</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8240;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6A+5rRAAAA&#10;AwEAAA8AAAAAAAAAAQAgAAAAIgAAAGRycy9kb3ducmV2LnhtbFBLAQIUABQAAAAIAIdO4kC9rK/v&#10;sgEAAEUDAAAOAAAAAAAAAAEAIAAAACABAABkcnMvZTJvRG9jLnhtbFBLBQYAAAAABgAGAFkBAABE&#10;BQ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8521FEF"/>
    <w:rsid w:val="0B3949CA"/>
    <w:rsid w:val="105E7D10"/>
    <w:rsid w:val="108414A3"/>
    <w:rsid w:val="11B046F4"/>
    <w:rsid w:val="186D0E50"/>
    <w:rsid w:val="194724B7"/>
    <w:rsid w:val="1B8566D2"/>
    <w:rsid w:val="1E4C4168"/>
    <w:rsid w:val="249764E6"/>
    <w:rsid w:val="24E75905"/>
    <w:rsid w:val="310D11AA"/>
    <w:rsid w:val="31787671"/>
    <w:rsid w:val="4213258A"/>
    <w:rsid w:val="43F92248"/>
    <w:rsid w:val="4A7363B1"/>
    <w:rsid w:val="4EFF78B6"/>
    <w:rsid w:val="5420442D"/>
    <w:rsid w:val="563D68C0"/>
    <w:rsid w:val="5FAE3570"/>
    <w:rsid w:val="6369256E"/>
    <w:rsid w:val="6525299D"/>
    <w:rsid w:val="681F5605"/>
    <w:rsid w:val="6A11057C"/>
    <w:rsid w:val="71BC0DFA"/>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annotation text"/>
    <w:basedOn w:val="1"/>
    <w:link w:val="10"/>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uiPriority w:val="0"/>
    <w:rPr>
      <w:sz w:val="21"/>
      <w:szCs w:val="21"/>
    </w:rPr>
  </w:style>
  <w:style w:type="character" w:customStyle="1" w:styleId="10">
    <w:name w:val="批注文字字符"/>
    <w:basedOn w:val="8"/>
    <w:link w:val="2"/>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2084</Characters>
  <Lines>17</Lines>
  <Paragraphs>4</Paragraphs>
  <TotalTime>2</TotalTime>
  <ScaleCrop>false</ScaleCrop>
  <LinksUpToDate>false</LinksUpToDate>
  <CharactersWithSpaces>2445</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王亚革</cp:lastModifiedBy>
  <dcterms:modified xsi:type="dcterms:W3CDTF">2021-06-18T10:49:37Z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