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Theme="minorEastAsia" w:hAnsiTheme="minorEastAsia" w:eastAsiaTheme="minorEastAsia"/>
          <w:sz w:val="24"/>
          <w:szCs w:val="24"/>
          <w:lang w:eastAsia="zh-CN"/>
        </w:rPr>
      </w:pPr>
      <w:r>
        <w:rPr>
          <w:rFonts w:hint="eastAsia" w:cs="方正小标宋简体" w:asciiTheme="minorEastAsia" w:hAnsiTheme="minorEastAsia" w:eastAsiaTheme="minorEastAsia"/>
          <w:sz w:val="44"/>
          <w:szCs w:val="44"/>
          <w:lang w:eastAsia="zh-CN"/>
        </w:rPr>
        <w:t>分项报价表</w:t>
      </w:r>
    </w:p>
    <w:tbl>
      <w:tblPr>
        <w:tblStyle w:val="9"/>
        <w:tblW w:w="9355" w:type="dxa"/>
        <w:tblInd w:w="0" w:type="dxa"/>
        <w:shd w:val="clear" w:color="auto" w:fill="auto"/>
        <w:tblLayout w:type="fixed"/>
        <w:tblCellMar>
          <w:top w:w="0" w:type="dxa"/>
          <w:left w:w="0" w:type="dxa"/>
          <w:bottom w:w="0" w:type="dxa"/>
          <w:right w:w="0" w:type="dxa"/>
        </w:tblCellMar>
      </w:tblPr>
      <w:tblGrid>
        <w:gridCol w:w="372"/>
        <w:gridCol w:w="695"/>
        <w:gridCol w:w="1180"/>
        <w:gridCol w:w="4229"/>
        <w:gridCol w:w="695"/>
        <w:gridCol w:w="695"/>
        <w:gridCol w:w="769"/>
        <w:gridCol w:w="720"/>
      </w:tblGrid>
      <w:tr>
        <w:tblPrEx>
          <w:shd w:val="clear" w:color="auto" w:fill="auto"/>
          <w:tblLayout w:type="fixed"/>
          <w:tblCellMar>
            <w:top w:w="0" w:type="dxa"/>
            <w:left w:w="0" w:type="dxa"/>
            <w:bottom w:w="0" w:type="dxa"/>
            <w:right w:w="0" w:type="dxa"/>
          </w:tblCellMar>
        </w:tblPrEx>
        <w:trPr>
          <w:trHeight w:val="240" w:hRule="atLeast"/>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大类</w:t>
            </w:r>
          </w:p>
        </w:tc>
        <w:tc>
          <w:tcPr>
            <w:tcW w:w="695" w:type="dxa"/>
            <w:tcBorders>
              <w:top w:val="single" w:color="000000" w:sz="8" w:space="0"/>
              <w:left w:val="single" w:color="auto" w:sz="4"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类型</w:t>
            </w:r>
          </w:p>
        </w:tc>
        <w:tc>
          <w:tcPr>
            <w:tcW w:w="1180"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422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参数</w:t>
            </w:r>
          </w:p>
        </w:tc>
        <w:tc>
          <w:tcPr>
            <w:tcW w:w="695"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695"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76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单位（元）</w:t>
            </w:r>
          </w:p>
        </w:tc>
        <w:tc>
          <w:tcPr>
            <w:tcW w:w="72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总价（元）</w:t>
            </w:r>
          </w:p>
        </w:tc>
      </w:tr>
      <w:tr>
        <w:tblPrEx>
          <w:tblLayout w:type="fixed"/>
          <w:tblCellMar>
            <w:top w:w="0" w:type="dxa"/>
            <w:left w:w="0" w:type="dxa"/>
            <w:bottom w:w="0" w:type="dxa"/>
            <w:right w:w="0" w:type="dxa"/>
          </w:tblCellMar>
        </w:tblPrEx>
        <w:trPr>
          <w:trHeight w:val="694" w:hRule="atLeast"/>
        </w:trPr>
        <w:tc>
          <w:tcPr>
            <w:tcW w:w="3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w:t>
            </w:r>
          </w:p>
        </w:tc>
        <w:tc>
          <w:tcPr>
            <w:tcW w:w="695" w:type="dxa"/>
            <w:vMerge w:val="restart"/>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多旋翼无人机</w:t>
            </w:r>
          </w:p>
        </w:tc>
        <w:tc>
          <w:tcPr>
            <w:tcW w:w="11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大疆M300RTK（包含规划软件，制图软件）</w:t>
            </w: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标准配置：                                                                                                                        飞行器机身*1；带屏遥控器行业版*1；TB60智能飞行电池*2；WB37智能电池*1；桨叶*4；起落架*2；手提箱*1；维修工具*1；BS60智能电池箱*1；视觉标定板*1；规划软件*1；制图软件*1；128G高速存储卡*2；读卡器3.0*1                                                                                                                          </w:t>
            </w:r>
          </w:p>
        </w:tc>
        <w:tc>
          <w:tcPr>
            <w:tcW w:w="695" w:type="dxa"/>
            <w:vMerge w:val="restart"/>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vMerge w:val="restart"/>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6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0" w:name="_GoBack"/>
            <w:bookmarkEnd w:id="0"/>
          </w:p>
        </w:tc>
        <w:tc>
          <w:tcPr>
            <w:tcW w:w="7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●飞行器</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尺寸（展开，不包含桨叶）：810×670×430 mm（长×宽×高）</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尺寸（折叠，包含桨叶）：430×420×430 mm（长×宽×高）</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对称电机轴距895 mm</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重量（含下置单云台支架）：空机重量（不含电池）：3.6 kg；空机重量（含双电池）：6.3 kg；最大载重2.7 kg；最大起飞重量9 kg</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最大旋转角速度俯仰轴：300°/s 航向轴：100°/s；最大俯仰角度30° （P模式且前视视觉系统启用：25°）</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最大水平飞行速度23 m/s</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最大飞行海拔高度：5000 m（2110 桨叶，起飞重量≤7 kg）/ 7000 m（2195 高原静音桨叶，起飞重量≤7 kg）</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最大可承受风速15 m/s （7级风）；最大飞行时间55 min；IP 防护等级IP45</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GNSSGPS+GLONASS+BeiDou+Galileo</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工作环境温度-20°C 至 50°C</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●遥控器：操控无人机</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工作频率2.4000-2.4835 GHz5.725-5.850 GHz</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最大信号有效距离（无干扰、无遮挡）NCC/FCC：15 kmCE/MIC：8 kmSRRC：8 km</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外置电池容量：4920 mAh</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电压：7.6 V；电池类型：LiPo；能量：37.39 Wh</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实现双控控制</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●视觉系统：无人机上配置障碍物感知范围前后左右：0.7-40 m上下：0.6-30 m</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●红外感知系统：无人机上配置障碍物感知范围0.1-8 m FOV30°（±15°）使用环境漫反射，大尺寸，高反射率（反射率&gt;10%）障碍物</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●上下补光灯：无人机上配置，有效照明距离5 m</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●FPV摄像头：无人机上配置，分辨率960p，FOV145°，帧率30 fps</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●智能飞行电池：容量5935 mAh；电压52.8 V；电池类型LiPo 12S；能量274 Wh</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电池整体重量约 1.35 kg，工作环境温度-20℃ 至 50℃，充电环境温度-20°C 至 40°C（当环境温度低于 5°C时，电池会启动自加热功能，在低温环境下充电有可能会降低电池使用寿命）</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外形尺寸501×403×252 mm；空箱重量8.37 kg</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输入电压100-120 VAC，50-60 Hz / 220-240 VAC，50-60 Hz；最大输入功率1070 W</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输出功率100-120 V：750 W220-240 V：992 W；工作环境温度-20℃ 至 40℃。</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2"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●配套规划软件：常规航线仿地航线仿面航线区域航线区域仿地纵向航线带状航线带状仿地立面航线折线航线环绕仿地单点环绕视频航线精细仿地立面等距测绘电力巡检航线多种航线任务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加载模型、加载正射影像、查看地形数据、点线面矢量绘制、三维量测、表面积计算、方量计算、重投影、生成TFW、提取图斑、计算重叠度、地面点坐标反查，软件内拥有全国高清卫星底图图层，提供多种DEM、DSM数据，能够在软件内规划kml，查看地形，标注测量，还能够检查成片的POS数据，导入导出POS信息，TIFF图像重投影等多种测绘用功能。                                     ●支持多台不同PC端进行使用。永久版，免费升级。</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图形处理软件                                                                                                             ● 支持基于CAD的DWG格式矢量图层导入和绘制,支持不少于六种的网络图层加载、基于本地信息或网络信息的POI加载、分辨率不低于12.5m的高程图加载、20种在线地图图源。                                                                                                                  ● 软件需支持ETOPO DEM，可支持分辨率达到1.8km、GMTED2010DEM最高分辨率不低于250m、SRTM3 DEM 最高分辨率不低于90m、ASTER GDEM V2 最高分辨率不低于30m，支持多格式的DEM加载和显示，至少支持F、IMG、GRD等格式;                                                                  ●支持三维场景的飞行浏览和多视角浏览。用户可控制、修改浏览线路和飞行速度。地形夸张：方便地令地形数据的地形起伏效果放大或缩小不同的倍数。自定义提取高程点：自定义设置采样间距和采样点数来提取高程点。自定义提取等高线：进行自定义设置取点密度和等高线间距来提取等高线，也可根据自有的高程数据提取。云端数据：用户登录账户后，绘制点、线、面数据，同步上传到云端。在pc端、安卓端都可以从云端同步到本地，实现数据的云存储和云共享。在线数据发布服务：配套的在线数据发布，可以实现海量数据的互联网发布服务。连接服务器的功能，可以直接通过网络地址连接到远程的服务器，从而实现一份数据，多客户端共享。                                                                                                       ●照片生成路径功能：根据出游拍摄的照片生成轨迹，在地图上直接显示出行路线。GPS文件格式转换：可以把几乎各种格式的GPS文件转换为通用的kml格式。可以把常用的GPS数据格式转换为更为通用的kml格式。支持的格式包括*.gpx、*.gdb、*.trl、*.csv、*.loc、*.wpt、*.plt、*.pcx、*.log、*.loc等等。展点：可以将txt格式的坐标文件转换成kml进行展示，将经纬度坐标(Longitude，Latitude，Elevation，name格式)的文本的内容转换为kml。三维特效：可以添加各种粒子系统的演示效果，喷泉、火焰、水面效果等。                                                                       ●支持多台不同PC端进行使用，永久版，免费升级。                                                 </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9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●提供M300官方检测报告                                     ●提供公示平台可查的AAA级信用企业资质证明；                                              ●无人机故障发生当日内，可提供完全相同的备用机型进行替换使用承诺函；                              ●需提供大疆厂家在采购方所在地市的认证经销商证书                                              ●需要提供大疆官方教练证书进行本次的培训，本次交付需提供至少10天的飞行理论及实操的培训；                                        ●无人机同类供货业绩不少于5份                    ●为保证投标供应商实质性响应招标文件，第一中标候选人需在中标公示后1个工作日内提供样机及软件平台演示，如样机或演示结果与招标文件不符，定为虚假响应招标文件，采购方有权拒绝与该中标候选人签订政府采购合同，同时不予退还投标保证金，并取消其中标候选人资格， 按上述方法由顺延中标候选人进行演示，样机及演示结果满足招标文件并通过采购方评审后，确定为中标人；</w:t>
            </w: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restar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多功能云台相机</w:t>
            </w:r>
          </w:p>
        </w:tc>
        <w:tc>
          <w:tcPr>
            <w:tcW w:w="11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大疆H20T</w:t>
            </w:r>
          </w:p>
        </w:tc>
        <w:tc>
          <w:tcPr>
            <w:tcW w:w="4229"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●总体参数</w:t>
            </w:r>
          </w:p>
        </w:tc>
        <w:tc>
          <w:tcPr>
            <w:tcW w:w="69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防水等级IP44；工作温度-20℃ 至 50℃（测温功能仅支持 -10℃ 至 50℃ 环境使用）</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；存储温度-20℃ 至 60℃</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●变焦相机参数</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035"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传感器1/1.7" CMOS，有效像素 2000 万；镜头DFOV：66.6°-4°焦距：6.83-119.94 mm（等效焦距：31.7-556.2 mm）光圈：f/2.8-f/11（正常），f/1.6-f/11（夜景）对焦距离：1 m 至无穷远（广角），8 m 至无穷远（长焦）；对焦模式MF/AF-C/AF-S；曝光模式程序自动曝光，手动曝光；视频分辨率3840x2160@30fps，1920x1080@30fps；视频格式MP4；视频字幕支持；最大照片尺寸5184 × 3888；照片格式JPEG</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●云台参数</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角度抖动量±0.01°；安装方式可拆式；控转动范围俯仰：－120° 至 +30°平移：±320°；结构设计范围俯仰：－132.5° 至 +42.5° 平移：±330°横滚：-90° 至 +60°</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●广角相机参数</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9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传感器1/2.3" CMOS，有效像素1200万；镜头DFOV：82.9°焦距：4.5 mm（等效焦距：24 mm）光圈：f/2.8对焦距离：1 m至无穷远；曝光模式程序自动曝光，手动曝光；视频分辨率1920×1080@30fps；视频格式MP4；视频字幕支持；最大照片尺寸4056×3040</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照片格式JPEG</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●激光测距仪</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波长905 nm；测量范围3-1200 m</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●热成像传感器</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808"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非制冷氧化钒（VOx）微测热辐射计；镜头DFOV：40.6°焦距：13.5 mm （ 等效焦距：58 mm）光圈：f/1.0对焦距离：5 m 至无穷远；数字变焦1x，2x，4x，8x；视频分辨率640×512 @ 30 Hz；视频格式MP4；照片分辨率640×512；调色盘白热/熔岩/铁红/热铁/医疗/北极/彩虹1/彩虹2/描红/黑热。</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●混合光学变焦23×最大变焦倍数200×联动拍摄变焦、广角、热成像相机同时拍照/录像</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restar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智能电池</w:t>
            </w:r>
          </w:p>
        </w:tc>
        <w:tc>
          <w:tcPr>
            <w:tcW w:w="118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大疆TB60</w:t>
            </w: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●智能飞行电池：容量5935 mAh；电压52.8 V；电池类型LiPo 12S；能量274 Wh</w:t>
            </w:r>
          </w:p>
        </w:tc>
        <w:tc>
          <w:tcPr>
            <w:tcW w:w="69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电池整体重量约 1.35 kg，工作环境温度-20℃ 至 50℃，充电环境温度-20°C 至 40°C（当环境温度低于 5°C时，电池会启动自加热功能，在低温环境下充电有可能会降低电池使用寿命）</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外形尺寸501×403×252 mm；空箱重量8.37 kg</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输入电压100-120 VAC，50-60 Hz / 220-240 VAC，50-60 Hz；最大输入功率1070 W</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9"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输出功率100-120 V：750 W220-240 V：992 W；工作环境温度-20℃ 至 40℃。</w:t>
            </w: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647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无人机合计</w:t>
            </w:r>
          </w:p>
        </w:tc>
        <w:tc>
          <w:tcPr>
            <w:tcW w:w="695" w:type="dxa"/>
            <w:tcBorders>
              <w:top w:val="single" w:color="000000" w:sz="8" w:space="0"/>
              <w:left w:val="single" w:color="auto" w:sz="4"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5"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335" w:hRule="atLeast"/>
        </w:trPr>
        <w:tc>
          <w:tcPr>
            <w:tcW w:w="3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企业智慧屏</w:t>
            </w:r>
          </w:p>
        </w:tc>
        <w:tc>
          <w:tcPr>
            <w:tcW w:w="695" w:type="dxa"/>
            <w:vMerge w:val="restar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华为智慧触屏（86英寸）</w:t>
            </w:r>
          </w:p>
        </w:tc>
        <w:tc>
          <w:tcPr>
            <w:tcW w:w="11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华为ideahub board</w:t>
            </w:r>
          </w:p>
        </w:tc>
        <w:tc>
          <w:tcPr>
            <w:tcW w:w="4229"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企业智慧屏/会议平板/触控一体机/电子白板书写方式智能书写：支持10种语言、11种图形CPU4Core @1.5G操作系统Android 9.0，可选配windows 10音响4个扬声器单元，支持立体声存储8GB+64GB;接口：视频输入：2×HDMI，1×Type-C，1×可选OPS输入视频输出：1×内置屏幕，1×HDMI音频输入：1×内置阵列MIC，1×3.5mm LINE IN，1×OPS可选输入， 2×HDMI音频输入：1×内置扬声器，1×3.5mm LINE OUT，1×HDMI其他：3×USB，1×Type-C，1×RJ45</w:t>
            </w:r>
          </w:p>
        </w:tc>
        <w:tc>
          <w:tcPr>
            <w:tcW w:w="69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vMerge w:val="restart"/>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6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屏幕参数：显示屏尺寸86英寸分辨率3840×2160触摸点数20点亮度400cd/m2(典型值)色域90% NTSC(典型值)可视角度178°/178°扫描频率60Hz</w:t>
            </w:r>
          </w:p>
        </w:tc>
        <w:tc>
          <w:tcPr>
            <w:tcW w:w="69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81"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其他参数：电源性能100V-240V AC，50Hz-60Hz功率450W，产品尺寸1963.8×1176.1×95mm，产品重量76.5kg,包装清单主体×1，挂墙支架×1，书写笔×2，网线×1，电源线×1，膨胀螺栓(M8*60mm)×6，葫芦挂钉(M8*32mm)×2，内六角扳手(M6*140mm)×1，葫芦支撑钉(M8*50mm)×2产品特点1、阻隔有害蓝光，画质如初产品性能无线投屏，智能语音，PQ自动颜色校准算法，AG防眩光处理，一碰投屏，自研笔记追踪算法，云、管、端、芯全链路防护，高等级安全认证C华为协作平板通过光谱偏移技术，从光源上阻隔有害蓝光，采用PQ颜色校准算法，保持画质色域完整不偏黄，通过德国莱茵TüV低蓝光认证，同时具备AG防眩光技术，可适应各种光照环境。2、智绘妙笔，35ms低延时华为协作平板拥有35ms低延时书写体验，自研笔记追踪算法，实现精准的文字图形识别，支持手势擦除，双人书写、扫码带走，书写分享轻松。3、开放应用市场，软件生态丰富华为协作平板芯片内置华为应用市场，100+大屏专属适配应用一键下载，可以满足企业数字化办公和普惠教育的需求。4、华为变屏APP，高清投屏华为变屏功能无需安装App，华为手机碰一碰或者下拉菜单就可实现无线高清投屏，反向控制，翻页标注等功能;投屏时隐私消息免打扰，小屏来消息，大屏不弹框，投屏更放心。5、CCRC高等级信息安全认证华为协作平板通过CCRC(国家网络安全审查与认证中心)高等级信息安全认证，符合中国ESSPP行业安全技术标准，八大场景安全体系为企业打造全链路生产防护.</w:t>
            </w:r>
          </w:p>
        </w:tc>
        <w:tc>
          <w:tcPr>
            <w:tcW w:w="69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9" w:type="dxa"/>
            <w:tcBorders>
              <w:top w:val="single" w:color="000000" w:sz="4"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●需提供华为厂家针对此项目的授权书和售后承诺服务函（加盖公章）</w:t>
            </w:r>
          </w:p>
        </w:tc>
        <w:tc>
          <w:tcPr>
            <w:tcW w:w="69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489"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无线传屏器(ideashare key)</w:t>
            </w:r>
          </w:p>
        </w:tc>
        <w:tc>
          <w:tcPr>
            <w:tcW w:w="422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●工作电压 5V DC MAX功耗 1.5W 工作状态:0℃~40℃环境温度非工作状态:-40℃~+70℃环境相对湿度 工作状态:5%~95% (非冷凝) 非工作状态:0%-95% 包装尺寸(长X宽x高) 213mmx100mmx28mm 传屏器6.png 产品尺寸(长x宽x高)177.3mmx65mmx19.8mm毛重 196g 净重 80g Wi-Fi频率 2.4GHz和5GHz2400MHz-2483.5MHzWi-Fi江作频段 5150MHz-5250MHz Wi-Fi传输功率 &lt;20dBm 本地观看:MAX支持4Kp15fps数据分辨率会议中:MAX支持1080p 30fps操作系统 Windows1032位和64位的Windows7，Windows8，Windows8.1和Windows10</w:t>
            </w:r>
          </w:p>
        </w:tc>
        <w:tc>
          <w:tcPr>
            <w:tcW w:w="6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tcBorders>
              <w:top w:val="nil"/>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54"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I5模块(ideahub  ops)</w:t>
            </w:r>
          </w:p>
        </w:tc>
        <w:tc>
          <w:tcPr>
            <w:tcW w:w="4229"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●i5-8500,8g ddr4,128gssd,4k60,windows10</w:t>
            </w:r>
          </w:p>
        </w:tc>
        <w:tc>
          <w:tcPr>
            <w:tcW w:w="6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移动支架</w:t>
            </w:r>
          </w:p>
        </w:tc>
        <w:tc>
          <w:tcPr>
            <w:tcW w:w="4229"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●ideahub</w:t>
            </w:r>
          </w:p>
        </w:tc>
        <w:tc>
          <w:tcPr>
            <w:tcW w:w="6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触控笔</w:t>
            </w:r>
          </w:p>
        </w:tc>
        <w:tc>
          <w:tcPr>
            <w:tcW w:w="4229"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●ideahub</w:t>
            </w:r>
          </w:p>
        </w:tc>
        <w:tc>
          <w:tcPr>
            <w:tcW w:w="6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3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5"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伸缩教鞭</w:t>
            </w:r>
          </w:p>
        </w:tc>
        <w:tc>
          <w:tcPr>
            <w:tcW w:w="4229"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●ideahub</w:t>
            </w:r>
          </w:p>
        </w:tc>
        <w:tc>
          <w:tcPr>
            <w:tcW w:w="6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27" w:hRule="atLeast"/>
        </w:trPr>
        <w:tc>
          <w:tcPr>
            <w:tcW w:w="647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企业智慧屏合计</w:t>
            </w:r>
          </w:p>
        </w:tc>
        <w:tc>
          <w:tcPr>
            <w:tcW w:w="695" w:type="dxa"/>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34" w:hRule="atLeast"/>
        </w:trPr>
        <w:tc>
          <w:tcPr>
            <w:tcW w:w="647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总合计</w:t>
            </w:r>
          </w:p>
        </w:tc>
        <w:tc>
          <w:tcPr>
            <w:tcW w:w="695" w:type="dxa"/>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9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6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bl>
    <w:p>
      <w:pPr>
        <w:textAlignment w:val="baseline"/>
        <w:rPr>
          <w:rFonts w:asciiTheme="minorEastAsia" w:hAnsiTheme="minorEastAsia" w:eastAsiaTheme="minorEastAsia"/>
          <w:sz w:val="24"/>
          <w:szCs w:val="24"/>
        </w:rPr>
      </w:pPr>
    </w:p>
    <w:p>
      <w:pPr>
        <w:spacing w:line="460" w:lineRule="exact"/>
        <w:jc w:val="left"/>
        <w:textAlignment w:val="baseline"/>
        <w:rPr>
          <w:rFonts w:cs="华文仿宋" w:asciiTheme="minorEastAsia" w:hAnsiTheme="minorEastAsia" w:eastAsiaTheme="minorEastAsia"/>
          <w:sz w:val="24"/>
          <w:szCs w:val="24"/>
        </w:rPr>
      </w:pPr>
    </w:p>
    <w:p>
      <w:pPr>
        <w:spacing w:line="460" w:lineRule="exact"/>
        <w:jc w:val="right"/>
        <w:textAlignment w:val="baseline"/>
        <w:rPr>
          <w:rFonts w:asciiTheme="minorEastAsia" w:hAnsiTheme="minorEastAsia" w:eastAsiaTheme="minorEastAsia"/>
          <w:sz w:val="24"/>
          <w:szCs w:val="24"/>
        </w:rPr>
      </w:pPr>
      <w:r>
        <w:rPr>
          <w:rFonts w:hint="eastAsia" w:cs="华文仿宋" w:asciiTheme="minorEastAsia" w:hAnsiTheme="minorEastAsia" w:eastAsiaTheme="minorEastAsia"/>
          <w:sz w:val="24"/>
          <w:szCs w:val="24"/>
        </w:rPr>
        <w:t xml:space="preserve">       单位</w:t>
      </w:r>
      <w:r>
        <w:rPr>
          <w:rFonts w:hint="eastAsia" w:cs="华文仿宋" w:asciiTheme="minorEastAsia" w:hAnsiTheme="minorEastAsia" w:eastAsiaTheme="minorEastAsia"/>
          <w:sz w:val="24"/>
          <w:szCs w:val="24"/>
          <w:lang w:eastAsia="zh-CN"/>
        </w:rPr>
        <w:t>名称</w:t>
      </w:r>
      <w:r>
        <w:rPr>
          <w:rFonts w:hint="eastAsia" w:cs="华文仿宋" w:asciiTheme="minorEastAsia" w:hAnsiTheme="minorEastAsia" w:eastAsiaTheme="minorEastAsia"/>
          <w:sz w:val="24"/>
          <w:szCs w:val="24"/>
        </w:rPr>
        <w:t>：</w:t>
      </w:r>
      <w:r>
        <w:rPr>
          <w:rFonts w:hint="eastAsia" w:ascii="Arial" w:hAnsi="Arial" w:eastAsia="宋体" w:cs="Arial"/>
          <w:i w:val="0"/>
          <w:caps w:val="0"/>
          <w:color w:val="333333"/>
          <w:spacing w:val="0"/>
          <w:sz w:val="24"/>
          <w:szCs w:val="24"/>
          <w:shd w:val="clear" w:fill="FFFFFF"/>
        </w:rPr>
        <w:t>中国内蒙古森工集团乌尔旗汉森林工业有限公司</w:t>
      </w:r>
    </w:p>
    <w:p>
      <w:pPr>
        <w:spacing w:line="460" w:lineRule="exact"/>
        <w:ind w:firstLine="4320" w:firstLineChars="1800"/>
        <w:jc w:val="right"/>
        <w:textAlignment w:val="baseline"/>
        <w:rPr>
          <w:rFonts w:asciiTheme="minorEastAsia" w:hAnsiTheme="minorEastAsia" w:eastAsiaTheme="minorEastAsia"/>
          <w:sz w:val="24"/>
          <w:szCs w:val="24"/>
        </w:rPr>
      </w:pPr>
      <w:r>
        <w:rPr>
          <w:rFonts w:hint="eastAsia" w:cs="华文仿宋" w:asciiTheme="minorEastAsia" w:hAnsiTheme="minorEastAsia" w:eastAsiaTheme="minorEastAsia"/>
          <w:sz w:val="24"/>
          <w:szCs w:val="24"/>
        </w:rPr>
        <w:t>（盖章）</w:t>
      </w:r>
    </w:p>
    <w:p>
      <w:pPr>
        <w:ind w:firstLine="630"/>
        <w:jc w:val="right"/>
        <w:textAlignment w:val="baseline"/>
        <w:rPr>
          <w:rFonts w:cs="华文仿宋" w:asciiTheme="minorEastAsia" w:hAnsiTheme="minorEastAsia" w:eastAsiaTheme="minorEastAsia"/>
          <w:sz w:val="24"/>
          <w:szCs w:val="24"/>
        </w:rPr>
      </w:pPr>
      <w:r>
        <w:rPr>
          <w:rFonts w:cs="华文仿宋" w:asciiTheme="minorEastAsia" w:hAnsiTheme="minorEastAsia" w:eastAsiaTheme="minorEastAsia"/>
          <w:sz w:val="24"/>
          <w:szCs w:val="24"/>
        </w:rPr>
        <w:t xml:space="preserve">                            </w:t>
      </w:r>
      <w:r>
        <w:rPr>
          <w:rFonts w:hint="eastAsia" w:cs="华文仿宋" w:asciiTheme="minorEastAsia" w:hAnsiTheme="minorEastAsia" w:eastAsiaTheme="minorEastAsia"/>
          <w:sz w:val="24"/>
          <w:szCs w:val="24"/>
        </w:rPr>
        <w:t>2021年</w:t>
      </w:r>
      <w:r>
        <w:rPr>
          <w:rFonts w:hint="eastAsia" w:cs="华文仿宋" w:asciiTheme="minorEastAsia" w:hAnsiTheme="minorEastAsia" w:eastAsiaTheme="minorEastAsia"/>
          <w:sz w:val="24"/>
          <w:szCs w:val="24"/>
          <w:lang w:val="en-US" w:eastAsia="zh-CN"/>
        </w:rPr>
        <w:t xml:space="preserve">  </w:t>
      </w:r>
      <w:r>
        <w:rPr>
          <w:rFonts w:hint="eastAsia" w:cs="华文仿宋" w:asciiTheme="minorEastAsia" w:hAnsiTheme="minorEastAsia" w:eastAsiaTheme="minorEastAsia"/>
          <w:sz w:val="24"/>
          <w:szCs w:val="24"/>
        </w:rPr>
        <w:t>月</w:t>
      </w:r>
      <w:r>
        <w:rPr>
          <w:rFonts w:hint="eastAsia" w:cs="华文仿宋" w:asciiTheme="minorEastAsia" w:hAnsiTheme="minorEastAsia" w:eastAsiaTheme="minorEastAsia"/>
          <w:sz w:val="24"/>
          <w:szCs w:val="24"/>
          <w:lang w:val="en-US" w:eastAsia="zh-CN"/>
        </w:rPr>
        <w:t xml:space="preserve">  </w:t>
      </w:r>
      <w:r>
        <w:rPr>
          <w:rFonts w:hint="eastAsia" w:cs="华文仿宋" w:asciiTheme="minorEastAsia" w:hAnsiTheme="minorEastAsia" w:eastAsiaTheme="minorEastAsia"/>
          <w:sz w:val="24"/>
          <w:szCs w:val="24"/>
        </w:rPr>
        <w:t>日</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8D"/>
    <w:rsid w:val="00097A47"/>
    <w:rsid w:val="00132EF8"/>
    <w:rsid w:val="001A4A3D"/>
    <w:rsid w:val="003B6C20"/>
    <w:rsid w:val="00433576"/>
    <w:rsid w:val="00615087"/>
    <w:rsid w:val="008052F9"/>
    <w:rsid w:val="008D28E0"/>
    <w:rsid w:val="0095429E"/>
    <w:rsid w:val="009D60FB"/>
    <w:rsid w:val="00C245B8"/>
    <w:rsid w:val="00DD3003"/>
    <w:rsid w:val="00F4608D"/>
    <w:rsid w:val="0436139B"/>
    <w:rsid w:val="05B6690A"/>
    <w:rsid w:val="06D44AE3"/>
    <w:rsid w:val="07C23613"/>
    <w:rsid w:val="08960482"/>
    <w:rsid w:val="091A4227"/>
    <w:rsid w:val="0F9D4F19"/>
    <w:rsid w:val="11F3120A"/>
    <w:rsid w:val="12CE37FD"/>
    <w:rsid w:val="139B760D"/>
    <w:rsid w:val="15E5186C"/>
    <w:rsid w:val="16EC0468"/>
    <w:rsid w:val="175B5FC5"/>
    <w:rsid w:val="17CE56B2"/>
    <w:rsid w:val="1DA754F7"/>
    <w:rsid w:val="1F01283C"/>
    <w:rsid w:val="2380428E"/>
    <w:rsid w:val="23B93BD8"/>
    <w:rsid w:val="24AE6C44"/>
    <w:rsid w:val="267E4FF1"/>
    <w:rsid w:val="27EB6C05"/>
    <w:rsid w:val="290A40C7"/>
    <w:rsid w:val="2A187B0F"/>
    <w:rsid w:val="2A2C234F"/>
    <w:rsid w:val="2C580905"/>
    <w:rsid w:val="2F327B66"/>
    <w:rsid w:val="2FEA5966"/>
    <w:rsid w:val="39847425"/>
    <w:rsid w:val="39FB63AB"/>
    <w:rsid w:val="3D947668"/>
    <w:rsid w:val="3E302CCE"/>
    <w:rsid w:val="3FDF3D80"/>
    <w:rsid w:val="41CF61B0"/>
    <w:rsid w:val="45755AB7"/>
    <w:rsid w:val="4607232B"/>
    <w:rsid w:val="46CD7A04"/>
    <w:rsid w:val="47752596"/>
    <w:rsid w:val="47843DB8"/>
    <w:rsid w:val="47B229F5"/>
    <w:rsid w:val="49E51944"/>
    <w:rsid w:val="49EF3801"/>
    <w:rsid w:val="4D4B6EDB"/>
    <w:rsid w:val="4E3A1316"/>
    <w:rsid w:val="4F566F71"/>
    <w:rsid w:val="5037096B"/>
    <w:rsid w:val="50662EAE"/>
    <w:rsid w:val="50B25033"/>
    <w:rsid w:val="511B1B67"/>
    <w:rsid w:val="53051D2C"/>
    <w:rsid w:val="540057A3"/>
    <w:rsid w:val="54D7457C"/>
    <w:rsid w:val="563C0163"/>
    <w:rsid w:val="57AB39FB"/>
    <w:rsid w:val="597940D7"/>
    <w:rsid w:val="5D8C631A"/>
    <w:rsid w:val="5FA2640B"/>
    <w:rsid w:val="60D22B37"/>
    <w:rsid w:val="61C65FBE"/>
    <w:rsid w:val="61CE2739"/>
    <w:rsid w:val="624B6AD5"/>
    <w:rsid w:val="634630D6"/>
    <w:rsid w:val="63EB4A30"/>
    <w:rsid w:val="65E316CC"/>
    <w:rsid w:val="675A414A"/>
    <w:rsid w:val="677D6460"/>
    <w:rsid w:val="67F43779"/>
    <w:rsid w:val="69F316E1"/>
    <w:rsid w:val="6A28513B"/>
    <w:rsid w:val="6D4279B0"/>
    <w:rsid w:val="6F431EFE"/>
    <w:rsid w:val="718764C4"/>
    <w:rsid w:val="725C1AB7"/>
    <w:rsid w:val="72811308"/>
    <w:rsid w:val="72D335BC"/>
    <w:rsid w:val="74BA23CF"/>
    <w:rsid w:val="75214D2D"/>
    <w:rsid w:val="755141C6"/>
    <w:rsid w:val="756D58D9"/>
    <w:rsid w:val="758A1DA3"/>
    <w:rsid w:val="774B10F3"/>
    <w:rsid w:val="7A0D6FB1"/>
    <w:rsid w:val="7BBF5FE2"/>
    <w:rsid w:val="7CE332DD"/>
    <w:rsid w:val="7E1E0D4A"/>
    <w:rsid w:val="7F64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rFonts w:ascii="仿宋_GB2312" w:hAnsi="宋体" w:eastAsia="仿宋_GB2312"/>
    </w:rPr>
  </w:style>
  <w:style w:type="paragraph" w:styleId="3">
    <w:name w:val="Body Text Indent"/>
    <w:basedOn w:val="1"/>
    <w:qFormat/>
    <w:uiPriority w:val="0"/>
    <w:pPr>
      <w:spacing w:after="120"/>
      <w:ind w:left="420" w:leftChars="200"/>
    </w:p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hover"/>
    <w:basedOn w:val="8"/>
    <w:qFormat/>
    <w:uiPriority w:val="0"/>
    <w:rPr>
      <w:color w:val="5FB878"/>
    </w:rPr>
  </w:style>
  <w:style w:type="character" w:customStyle="1" w:styleId="12">
    <w:name w:val="hover1"/>
    <w:basedOn w:val="8"/>
    <w:qFormat/>
    <w:uiPriority w:val="0"/>
    <w:rPr>
      <w:color w:val="5FB878"/>
    </w:rPr>
  </w:style>
  <w:style w:type="character" w:customStyle="1" w:styleId="13">
    <w:name w:val="hover2"/>
    <w:basedOn w:val="8"/>
    <w:qFormat/>
    <w:uiPriority w:val="0"/>
    <w:rPr>
      <w:color w:val="FFFFFF"/>
    </w:rPr>
  </w:style>
  <w:style w:type="character" w:customStyle="1" w:styleId="14">
    <w:name w:val="layui-this2"/>
    <w:basedOn w:val="8"/>
    <w:qFormat/>
    <w:uiPriority w:val="0"/>
    <w:rPr>
      <w:bdr w:val="single" w:color="EEEEEE" w:sz="6" w:space="0"/>
      <w:shd w:val="clear" w:color="auto" w:fill="FFFFFF"/>
    </w:rPr>
  </w:style>
  <w:style w:type="character" w:customStyle="1" w:styleId="15">
    <w:name w:val="first-child"/>
    <w:basedOn w:val="8"/>
    <w:qFormat/>
    <w:uiPriority w:val="0"/>
  </w:style>
  <w:style w:type="character" w:customStyle="1" w:styleId="16">
    <w:name w:val="hover3"/>
    <w:basedOn w:val="8"/>
    <w:qFormat/>
    <w:uiPriority w:val="0"/>
    <w:rPr>
      <w:color w:val="5FB878"/>
    </w:rPr>
  </w:style>
  <w:style w:type="character" w:customStyle="1" w:styleId="17">
    <w:name w:val="hover4"/>
    <w:basedOn w:val="8"/>
    <w:qFormat/>
    <w:uiPriority w:val="0"/>
    <w:rPr>
      <w:color w:val="FFFFFF"/>
    </w:rPr>
  </w:style>
  <w:style w:type="paragraph" w:styleId="18">
    <w:name w:val="List Paragraph"/>
    <w:basedOn w:val="1"/>
    <w:qFormat/>
    <w:uiPriority w:val="34"/>
    <w:pPr>
      <w:ind w:firstLine="420" w:firstLineChars="200"/>
    </w:pPr>
  </w:style>
  <w:style w:type="character" w:customStyle="1" w:styleId="19">
    <w:name w:val="font31"/>
    <w:basedOn w:val="8"/>
    <w:qFormat/>
    <w:uiPriority w:val="0"/>
    <w:rPr>
      <w:rFonts w:hint="eastAsia" w:ascii="宋体" w:hAnsi="宋体" w:eastAsia="宋体" w:cs="宋体"/>
      <w:color w:val="000000"/>
      <w:sz w:val="20"/>
      <w:szCs w:val="20"/>
      <w:u w:val="none"/>
    </w:rPr>
  </w:style>
  <w:style w:type="character" w:customStyle="1" w:styleId="20">
    <w:name w:val="font71"/>
    <w:basedOn w:val="8"/>
    <w:qFormat/>
    <w:uiPriority w:val="0"/>
    <w:rPr>
      <w:rFonts w:hint="eastAsia" w:ascii="宋体" w:hAnsi="宋体" w:eastAsia="宋体" w:cs="宋体"/>
      <w:b/>
      <w:color w:val="FF0000"/>
      <w:sz w:val="20"/>
      <w:szCs w:val="20"/>
      <w:u w:val="none"/>
    </w:rPr>
  </w:style>
  <w:style w:type="character" w:customStyle="1" w:styleId="21">
    <w:name w:val="页眉 字符"/>
    <w:basedOn w:val="8"/>
    <w:link w:val="6"/>
    <w:qFormat/>
    <w:uiPriority w:val="0"/>
    <w:rPr>
      <w:rFonts w:ascii="Calibri" w:hAnsi="Calibri"/>
      <w:kern w:val="2"/>
      <w:sz w:val="18"/>
      <w:szCs w:val="18"/>
    </w:rPr>
  </w:style>
  <w:style w:type="character" w:customStyle="1" w:styleId="22">
    <w:name w:val="页脚 字符"/>
    <w:basedOn w:val="8"/>
    <w:link w:val="5"/>
    <w:qFormat/>
    <w:uiPriority w:val="0"/>
    <w:rPr>
      <w:rFonts w:ascii="Calibri" w:hAnsi="Calibri"/>
      <w:kern w:val="2"/>
      <w:sz w:val="18"/>
      <w:szCs w:val="18"/>
    </w:rPr>
  </w:style>
  <w:style w:type="character" w:customStyle="1" w:styleId="23">
    <w:name w:val="font11"/>
    <w:basedOn w:val="8"/>
    <w:qFormat/>
    <w:uiPriority w:val="0"/>
    <w:rPr>
      <w:rFonts w:hint="eastAsia" w:ascii="宋体" w:hAnsi="宋体" w:eastAsia="宋体" w:cs="宋体"/>
      <w:color w:val="000000"/>
      <w:sz w:val="20"/>
      <w:szCs w:val="20"/>
      <w:u w:val="none"/>
    </w:rPr>
  </w:style>
  <w:style w:type="character" w:customStyle="1" w:styleId="24">
    <w:name w:val="font01"/>
    <w:basedOn w:val="8"/>
    <w:qFormat/>
    <w:uiPriority w:val="0"/>
    <w:rPr>
      <w:rFonts w:hint="eastAsia" w:ascii="宋体" w:hAnsi="宋体" w:eastAsia="宋体" w:cs="宋体"/>
      <w:color w:val="FF0000"/>
      <w:sz w:val="20"/>
      <w:szCs w:val="20"/>
      <w:u w:val="none"/>
    </w:rPr>
  </w:style>
  <w:style w:type="character" w:customStyle="1" w:styleId="25">
    <w:name w:val="font61"/>
    <w:basedOn w:val="8"/>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279</Words>
  <Characters>1592</Characters>
  <Lines>13</Lines>
  <Paragraphs>3</Paragraphs>
  <TotalTime>4</TotalTime>
  <ScaleCrop>false</ScaleCrop>
  <LinksUpToDate>false</LinksUpToDate>
  <CharactersWithSpaces>1868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2021-08-11T08:06:00Z</dcterms:created>
  <dc:creator>zhaolf</dc:creator>
  <cp:lastModifiedBy>NTKO</cp:lastModifiedBy>
  <cp:lastPrinted>2020-06-28T02:51:00Z</cp:lastPrinted>
  <dcterms:modified xsi:type="dcterms:W3CDTF">2021-08-30T06:08:57Z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3A2DF146376B43D385586CCE53804044</vt:lpwstr>
  </property>
</Properties>
</file>