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900"/>
        </w:tabs>
        <w:adjustRightInd w:val="0"/>
        <w:snapToGrid w:val="0"/>
        <w:spacing w:line="400" w:lineRule="exact"/>
        <w:ind w:right="-6" w:rightChars="-3"/>
        <w:jc w:val="left"/>
        <w:rPr>
          <w:rFonts w:hint="eastAsia" w:asciiTheme="minorEastAsia" w:hAnsiTheme="minorEastAsia" w:eastAsiaTheme="minorEastAsia" w:cstheme="minorEastAsia"/>
          <w:kern w:val="2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</w:rPr>
        <w:fldChar w:fldCharType="begin"/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</w:rPr>
        <w:instrText xml:space="preserve"> HYPERLINK "http://www.e-jy.com.cn/ejyzx/eWebEditor/uploadfile/20201203165758361003.doc" \t "http://www.ejy365.com/_blank" </w:instrTex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</w:rPr>
        <w:fldChar w:fldCharType="separate"/>
      </w:r>
      <w:r>
        <w:rPr>
          <w:rStyle w:val="5"/>
          <w:rFonts w:hint="eastAsia" w:asciiTheme="minorEastAsia" w:hAnsiTheme="minorEastAsia" w:eastAsiaTheme="minorEastAsia" w:cstheme="minorEastAsia"/>
          <w:kern w:val="2"/>
          <w:sz w:val="21"/>
          <w:szCs w:val="21"/>
        </w:rPr>
        <w:t>附件</w:t>
      </w:r>
      <w:r>
        <w:rPr>
          <w:rStyle w:val="5"/>
          <w:rFonts w:hint="eastAsia" w:asciiTheme="minorEastAsia" w:hAnsiTheme="minorEastAsia" w:cstheme="minorEastAsia"/>
          <w:kern w:val="2"/>
          <w:sz w:val="21"/>
          <w:szCs w:val="21"/>
          <w:lang w:val="en-US" w:eastAsia="zh-CN"/>
        </w:rPr>
        <w:t>5</w:t>
      </w:r>
      <w:r>
        <w:rPr>
          <w:rStyle w:val="5"/>
          <w:rFonts w:hint="eastAsia" w:asciiTheme="minorEastAsia" w:hAnsiTheme="minorEastAsia" w:eastAsiaTheme="minorEastAsia" w:cstheme="minorEastAsia"/>
          <w:kern w:val="2"/>
          <w:sz w:val="21"/>
          <w:szCs w:val="21"/>
        </w:rPr>
        <w:t>.</w:t>
      </w:r>
      <w:r>
        <w:rPr>
          <w:rStyle w:val="5"/>
          <w:rFonts w:hint="eastAsia" w:asciiTheme="minorEastAsia" w:hAnsiTheme="minorEastAsia" w:cstheme="minorEastAsia"/>
          <w:kern w:val="2"/>
          <w:sz w:val="21"/>
          <w:szCs w:val="21"/>
          <w:lang w:eastAsia="zh-CN"/>
        </w:rPr>
        <w:t>合同样板</w:t>
      </w:r>
      <w:r>
        <w:rPr>
          <w:rStyle w:val="5"/>
          <w:rFonts w:hint="eastAsia" w:asciiTheme="minorEastAsia" w:hAnsiTheme="minorEastAsia" w:eastAsiaTheme="minorEastAsia" w:cstheme="minorEastAsia"/>
          <w:kern w:val="2"/>
          <w:sz w:val="21"/>
          <w:szCs w:val="21"/>
        </w:rPr>
        <w:t>.doc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</w:rPr>
        <w:fldChar w:fldCharType="end"/>
      </w:r>
    </w:p>
    <w:p>
      <w:pPr>
        <w:tabs>
          <w:tab w:val="left" w:pos="18900"/>
        </w:tabs>
        <w:adjustRightInd w:val="0"/>
        <w:snapToGrid w:val="0"/>
        <w:ind w:right="-6" w:rightChars="-3"/>
        <w:jc w:val="center"/>
        <w:rPr>
          <w:rFonts w:hint="eastAsia" w:ascii="宋体" w:hAnsi="宋体" w:eastAsia="宋体" w:cs="宋体"/>
          <w:b/>
          <w:bCs w:val="0"/>
          <w:sz w:val="36"/>
          <w:szCs w:val="36"/>
          <w:u w:val="single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sz w:val="36"/>
          <w:szCs w:val="36"/>
        </w:rPr>
        <w:t>褐 煤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 xml:space="preserve"> 块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 xml:space="preserve"> 买 卖 合 同</w:t>
      </w:r>
    </w:p>
    <w:tbl>
      <w:tblPr>
        <w:tblStyle w:val="3"/>
        <w:tblpPr w:leftFromText="180" w:rightFromText="180" w:vertAnchor="text" w:horzAnchor="page" w:tblpX="1202" w:tblpY="147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4"/>
        <w:gridCol w:w="46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39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ind w:hanging="2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甲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方：内蒙古兴安铜锌冶炼有限公司</w:t>
            </w:r>
          </w:p>
          <w:p>
            <w:pPr>
              <w:adjustRightInd w:val="0"/>
              <w:snapToGrid w:val="0"/>
              <w:ind w:hanging="2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ind w:hanging="2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乙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方：</w:t>
            </w:r>
          </w:p>
        </w:tc>
        <w:tc>
          <w:tcPr>
            <w:tcW w:w="4641" w:type="dxa"/>
            <w:noWrap w:val="0"/>
            <w:vAlign w:val="center"/>
          </w:tcPr>
          <w:p>
            <w:pPr>
              <w:adjustRightInd w:val="0"/>
              <w:snapToGrid w:val="0"/>
              <w:ind w:firstLine="720" w:firstLineChars="3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合同编号：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539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hanging="2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4641" w:type="dxa"/>
            <w:noWrap w:val="0"/>
            <w:vAlign w:val="center"/>
          </w:tcPr>
          <w:p>
            <w:pPr>
              <w:adjustRightInd w:val="0"/>
              <w:snapToGrid w:val="0"/>
              <w:ind w:firstLine="720" w:firstLineChars="3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签订地点：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锡盟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西乌旗白音华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39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hanging="2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4641" w:type="dxa"/>
            <w:noWrap w:val="0"/>
            <w:vAlign w:val="center"/>
          </w:tcPr>
          <w:p>
            <w:pPr>
              <w:adjustRightInd w:val="0"/>
              <w:snapToGrid w:val="0"/>
              <w:ind w:left="279" w:leftChars="133" w:firstLine="477" w:firstLineChars="19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签订时间：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甲乙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双方经过协商，本着自愿及平等互利的原则，就煤炭买卖事宜达成如下一致：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firstLine="482" w:firstLineChars="200"/>
        <w:jc w:val="left"/>
        <w:textAlignment w:val="auto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货物名称及质量标准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1.货物名称：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褐煤块（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20mm-50mm和30mm-80mm）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2.质量标准：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</w:t>
      </w:r>
      <w:r>
        <w:rPr>
          <w:rFonts w:hint="eastAsia" w:ascii="宋体" w:hAnsi="宋体" w:eastAsia="宋体" w:cs="宋体"/>
          <w:sz w:val="24"/>
          <w:szCs w:val="24"/>
        </w:rPr>
        <w:t>褐煤块（20mm-50mm）：平均热值≥3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00 cal/g。组分：</w:t>
      </w:r>
      <w:r>
        <w:rPr>
          <w:rFonts w:hint="eastAsia" w:ascii="宋体" w:hAnsi="宋体" w:eastAsia="宋体" w:cs="宋体"/>
          <w:kern w:val="0"/>
          <w:sz w:val="24"/>
          <w:szCs w:val="24"/>
        </w:rPr>
        <w:t>FC(ad)≥38%，Mar≤33%</w:t>
      </w:r>
      <w:r>
        <w:rPr>
          <w:rFonts w:hint="eastAsia" w:ascii="宋体" w:hAnsi="宋体" w:eastAsia="宋体" w:cs="宋体"/>
          <w:sz w:val="24"/>
          <w:szCs w:val="24"/>
        </w:rPr>
        <w:t>。粒度：20mm-50mm。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</w:t>
      </w:r>
      <w:r>
        <w:rPr>
          <w:rFonts w:hint="eastAsia" w:ascii="宋体" w:hAnsi="宋体" w:eastAsia="宋体" w:cs="宋体"/>
          <w:sz w:val="24"/>
          <w:szCs w:val="24"/>
        </w:rPr>
        <w:t>褐煤块（30mm-80mm）：平均热值≥3500 cal/g。组分：</w:t>
      </w:r>
      <w:r>
        <w:rPr>
          <w:rFonts w:hint="eastAsia" w:ascii="宋体" w:hAnsi="宋体" w:eastAsia="宋体" w:cs="宋体"/>
          <w:kern w:val="0"/>
          <w:sz w:val="24"/>
          <w:szCs w:val="24"/>
        </w:rPr>
        <w:t>FC(ad) ≥38%，Aad≤20%，Mar≤33%</w:t>
      </w:r>
      <w:r>
        <w:rPr>
          <w:rFonts w:hint="eastAsia" w:ascii="宋体" w:hAnsi="宋体" w:eastAsia="宋体" w:cs="宋体"/>
          <w:sz w:val="24"/>
          <w:szCs w:val="24"/>
        </w:rPr>
        <w:t>。粒度：30mm-80mm。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注：本合同所阐述的热值均为“收到基低位发热量”。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52"/>
          <w:tab w:val="left" w:pos="99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6" w:rightChars="-3" w:firstLine="480" w:firstLineChars="200"/>
        <w:textAlignment w:val="auto"/>
        <w:outlineLvl w:val="9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二</w:t>
      </w:r>
      <w:r>
        <w:rPr>
          <w:rFonts w:hint="eastAsia" w:ascii="宋体" w:hAnsi="宋体" w:cs="宋体"/>
          <w:b/>
          <w:bCs/>
          <w:sz w:val="24"/>
          <w:szCs w:val="24"/>
        </w:rPr>
        <w:t>、数量、供货时间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52"/>
          <w:tab w:val="left" w:pos="99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6" w:rightChars="-3" w:firstLine="480" w:firstLineChars="200"/>
        <w:textAlignment w:val="auto"/>
        <w:outlineLvl w:val="9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  <w:lang w:eastAsia="zh-CN"/>
        </w:rPr>
        <w:t>供货</w:t>
      </w:r>
      <w:r>
        <w:rPr>
          <w:rFonts w:hint="eastAsia" w:ascii="宋体" w:hAnsi="宋体" w:cs="宋体"/>
          <w:bCs/>
          <w:sz w:val="24"/>
          <w:szCs w:val="24"/>
        </w:rPr>
        <w:t>总量为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2.5</w:t>
      </w:r>
      <w:r>
        <w:rPr>
          <w:rFonts w:hint="eastAsia" w:ascii="宋体" w:hAnsi="宋体" w:cs="宋体"/>
          <w:bCs/>
          <w:sz w:val="24"/>
          <w:szCs w:val="24"/>
        </w:rPr>
        <w:t>万吨（以实际到货数量为准，误差不超过总量的±5%）。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52"/>
          <w:tab w:val="left" w:pos="99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6" w:rightChars="-3"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供货时间为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2021年9月26日至2021年12月26日。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52"/>
          <w:tab w:val="left" w:pos="994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-4" w:rightChars="-2"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甲方熔炼分厂还原褐煤（二五块）每日用量约为230吨/天；氧化锌煤气站褐煤（三八块）每日用量约50吨/天，</w:t>
      </w:r>
      <w:r>
        <w:rPr>
          <w:rFonts w:hint="eastAsia" w:ascii="宋体" w:hAnsi="宋体" w:cs="宋体"/>
          <w:bCs/>
          <w:sz w:val="24"/>
          <w:szCs w:val="24"/>
        </w:rPr>
        <w:t>乙方须在保证甲方生产需要前提下，均匀送达,具体到货要求服从甲方人员安排，如生产出现特殊情况，需要调整发货计划，双方另行协商。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68" w:leftChars="0" w:firstLine="562" w:firstLineChars="0"/>
        <w:textAlignment w:val="auto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货物数量及质量验收标准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1.货物数量验收标准：按国家规定（±4‰）磅差执行，超出规定磅差部分，由双方协商解决；如双方对磅差无异议，重量结算以甲方磅单为准。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2.质量验收标准：采样方式按照国标GB475-2008号《商品煤样人工采取方法》的规范执行。甲乙双方共同取样,现场测定水分,双方签字后生效,品质样分成三份,甲乙双方各一份,另一份作为仲裁样,留存甲方（若乙方不派人现场测水和分样,则视为乙方认可甲方所测水份和留存仲裁样的有效性）。甲乙双方分别对样品进行化验,双方如对化验结果无异议,以甲方化验结果为准。任何一方如对化验结果有异议,应协商解决,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协商无法解决,则应通过具备合格资质的权威仲裁机构解决,仲裁结果作为最终结算依据,仲裁费由输方承担。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57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68" w:leftChars="0" w:right="-4" w:rightChars="-2" w:firstLine="562" w:firstLineChars="0"/>
        <w:textAlignment w:val="auto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结算价格</w:t>
      </w:r>
      <w:r>
        <w:rPr>
          <w:rFonts w:hint="eastAsia" w:ascii="宋体" w:hAnsi="宋体" w:cs="宋体"/>
          <w:bCs/>
          <w:sz w:val="24"/>
          <w:szCs w:val="24"/>
        </w:rPr>
        <w:t>（以下价格为含税价）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7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630" w:leftChars="0" w:right="-4" w:rightChars="-2"/>
        <w:textAlignment w:val="auto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1.</w:t>
      </w:r>
      <w:r>
        <w:rPr>
          <w:rFonts w:hint="eastAsia" w:ascii="微软雅黑" w:hAnsi="微软雅黑" w:eastAsia="微软雅黑" w:cs="微软雅黑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褐煤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块（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30mm-80mm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）</w:t>
      </w:r>
      <w:r>
        <w:rPr>
          <w:rFonts w:hint="eastAsia" w:ascii="宋体" w:hAnsi="宋体" w:cs="宋体"/>
          <w:bCs/>
          <w:sz w:val="24"/>
          <w:szCs w:val="24"/>
        </w:rPr>
        <w:t>结算价格：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960" w:firstLineChars="400"/>
        <w:textAlignment w:val="auto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供货方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保证</w:t>
      </w:r>
      <w:r>
        <w:rPr>
          <w:rFonts w:hint="eastAsia" w:ascii="宋体" w:hAnsi="宋体" w:eastAsia="宋体" w:cs="宋体"/>
          <w:sz w:val="24"/>
          <w:szCs w:val="24"/>
        </w:rPr>
        <w:t>褐煤块（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0mm-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0mm）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收到基低位发热量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不低于3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00</w:t>
      </w:r>
      <w:r>
        <w:rPr>
          <w:rFonts w:hint="eastAsia" w:ascii="宋体" w:hAnsi="宋体" w:cs="宋体"/>
          <w:bCs/>
          <w:sz w:val="24"/>
          <w:szCs w:val="24"/>
        </w:rPr>
        <w:t>cal/g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,如</w:t>
      </w:r>
      <w:r>
        <w:rPr>
          <w:rFonts w:hint="eastAsia" w:ascii="宋体" w:hAnsi="宋体" w:eastAsia="宋体" w:cs="宋体"/>
          <w:sz w:val="24"/>
          <w:szCs w:val="24"/>
        </w:rPr>
        <w:t>褐煤块（30mm-80mm）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每日平均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发热量低于3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00 </w:t>
      </w:r>
      <w:r>
        <w:rPr>
          <w:rFonts w:hint="eastAsia" w:ascii="宋体" w:hAnsi="宋体" w:cs="宋体"/>
          <w:bCs/>
          <w:sz w:val="24"/>
          <w:szCs w:val="24"/>
        </w:rPr>
        <w:t>cal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/g,</w:t>
      </w:r>
      <w:r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  <w:t>每降</w:t>
      </w:r>
      <w:r>
        <w:rPr>
          <w:rFonts w:hint="default" w:ascii="宋体" w:hAnsi="宋体" w:eastAsia="宋体" w:cs="宋体"/>
          <w:b w:val="0"/>
          <w:bCs/>
          <w:sz w:val="24"/>
          <w:szCs w:val="24"/>
          <w:highlight w:val="magenta"/>
          <w:lang w:val="en-US" w:eastAsia="zh-CN"/>
        </w:rPr>
        <w:t>低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magenta"/>
          <w:lang w:val="en-US" w:eastAsia="zh-CN"/>
        </w:rPr>
        <w:t>1</w:t>
      </w:r>
      <w:r>
        <w:rPr>
          <w:rFonts w:hint="default" w:ascii="宋体" w:hAnsi="宋体" w:eastAsia="宋体" w:cs="宋体"/>
          <w:b w:val="0"/>
          <w:bCs/>
          <w:sz w:val="24"/>
          <w:szCs w:val="24"/>
          <w:highlight w:val="magenta"/>
          <w:lang w:val="en-US" w:eastAsia="zh-CN"/>
        </w:rPr>
        <w:t>cal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magenta"/>
          <w:lang w:val="en-US" w:eastAsia="zh-CN"/>
        </w:rPr>
        <w:t>/g</w:t>
      </w:r>
      <w:r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在结算价格基础上相应扣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magenta"/>
          <w:lang w:val="en-US" w:eastAsia="zh-CN"/>
        </w:rPr>
        <w:t>减0.1元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/吨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。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每车发热量不低于3200</w:t>
      </w:r>
      <w:r>
        <w:rPr>
          <w:rFonts w:hint="eastAsia" w:ascii="宋体" w:hAnsi="宋体" w:cs="宋体"/>
          <w:bCs/>
          <w:sz w:val="24"/>
          <w:szCs w:val="24"/>
        </w:rPr>
        <w:t>cal/g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低于3200</w:t>
      </w:r>
      <w:r>
        <w:rPr>
          <w:rFonts w:hint="eastAsia" w:ascii="宋体" w:hAnsi="宋体" w:cs="宋体"/>
          <w:bCs/>
          <w:sz w:val="24"/>
          <w:szCs w:val="24"/>
        </w:rPr>
        <w:t>cal/g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当车不预结算。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spacing w:line="360" w:lineRule="auto"/>
        <w:ind w:firstLine="960" w:firstLineChars="400"/>
        <w:textAlignment w:val="auto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褐煤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块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20mm-50mm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）</w:t>
      </w:r>
      <w:r>
        <w:rPr>
          <w:rFonts w:hint="eastAsia" w:ascii="宋体" w:hAnsi="宋体" w:cs="宋体"/>
          <w:bCs/>
          <w:sz w:val="24"/>
          <w:szCs w:val="24"/>
        </w:rPr>
        <w:t>结算价格：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630" w:leftChars="0" w:right="-4" w:rightChars="-2"/>
        <w:textAlignment w:val="auto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供货方保证</w:t>
      </w:r>
      <w:r>
        <w:rPr>
          <w:rFonts w:hint="eastAsia" w:ascii="宋体" w:hAnsi="宋体" w:eastAsia="宋体" w:cs="宋体"/>
          <w:sz w:val="24"/>
          <w:szCs w:val="24"/>
        </w:rPr>
        <w:t>褐煤块（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0mm-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0mm）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收到基低位发热量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不低于3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00</w:t>
      </w:r>
      <w:r>
        <w:rPr>
          <w:rFonts w:hint="eastAsia" w:ascii="宋体" w:hAnsi="宋体" w:cs="宋体"/>
          <w:bCs/>
          <w:sz w:val="24"/>
          <w:szCs w:val="24"/>
        </w:rPr>
        <w:t>cal/g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如</w:t>
      </w:r>
      <w:r>
        <w:rPr>
          <w:rFonts w:hint="eastAsia" w:ascii="宋体" w:hAnsi="宋体" w:eastAsia="宋体" w:cs="宋体"/>
          <w:sz w:val="24"/>
          <w:szCs w:val="24"/>
        </w:rPr>
        <w:t>褐煤块（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0mm-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0mm）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每日平均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发热量低于3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00 </w:t>
      </w:r>
      <w:r>
        <w:rPr>
          <w:rFonts w:hint="eastAsia" w:ascii="宋体" w:hAnsi="宋体" w:cs="宋体"/>
          <w:bCs/>
          <w:sz w:val="24"/>
          <w:szCs w:val="24"/>
        </w:rPr>
        <w:t>cal/g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,</w:t>
      </w:r>
      <w:r>
        <w:rPr>
          <w:rFonts w:hint="default" w:ascii="宋体" w:hAnsi="宋体" w:eastAsia="宋体" w:cs="宋体"/>
          <w:b w:val="0"/>
          <w:bCs/>
          <w:sz w:val="24"/>
          <w:szCs w:val="24"/>
          <w:highlight w:val="magenta"/>
          <w:lang w:val="en-US" w:eastAsia="zh-CN"/>
        </w:rPr>
        <w:t>每降低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magenta"/>
          <w:lang w:val="en-US" w:eastAsia="zh-CN"/>
        </w:rPr>
        <w:t>1</w:t>
      </w:r>
      <w:r>
        <w:rPr>
          <w:rFonts w:hint="default" w:ascii="宋体" w:hAnsi="宋体" w:eastAsia="宋体" w:cs="宋体"/>
          <w:b w:val="0"/>
          <w:bCs/>
          <w:sz w:val="24"/>
          <w:szCs w:val="24"/>
          <w:highlight w:val="magenta"/>
          <w:lang w:val="en-US" w:eastAsia="zh-CN"/>
        </w:rPr>
        <w:t>cal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magenta"/>
          <w:lang w:val="en-US" w:eastAsia="zh-CN"/>
        </w:rPr>
        <w:t>/g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，在结算价格基础上相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magenta"/>
          <w:lang w:val="en-US" w:eastAsia="zh-CN"/>
        </w:rPr>
        <w:t>应扣减0.1元/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吨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，单车发热量不低于3100</w:t>
      </w:r>
      <w:r>
        <w:rPr>
          <w:rFonts w:hint="eastAsia" w:ascii="宋体" w:hAnsi="宋体" w:cs="宋体"/>
          <w:bCs/>
          <w:sz w:val="24"/>
          <w:szCs w:val="24"/>
        </w:rPr>
        <w:t>cal/g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低于3100</w:t>
      </w:r>
      <w:r>
        <w:rPr>
          <w:rFonts w:hint="eastAsia" w:ascii="宋体" w:hAnsi="宋体" w:cs="宋体"/>
          <w:bCs/>
          <w:sz w:val="24"/>
          <w:szCs w:val="24"/>
        </w:rPr>
        <w:t>cal/g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当车不预结算。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-4" w:rightChars="-2" w:firstLine="482" w:firstLineChars="200"/>
        <w:textAlignment w:val="auto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五、</w:t>
      </w:r>
      <w:r>
        <w:rPr>
          <w:rFonts w:hint="eastAsia" w:ascii="宋体" w:hAnsi="宋体" w:cs="宋体"/>
          <w:b/>
          <w:bCs/>
          <w:sz w:val="24"/>
          <w:szCs w:val="24"/>
        </w:rPr>
        <w:t>履约保证金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-4" w:rightChars="-2" w:firstLine="480" w:firstLineChars="200"/>
        <w:textAlignment w:val="auto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乙方须向甲方交付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Cs/>
          <w:sz w:val="24"/>
          <w:szCs w:val="24"/>
        </w:rPr>
        <w:t>0万元履约保证金（不计利息），若乙方不能及时供货，甲方有权扣除部分或全部保证金。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630" w:leftChars="0" w:right="-4" w:rightChars="-2"/>
        <w:textAlignment w:val="auto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六、</w:t>
      </w:r>
      <w:r>
        <w:rPr>
          <w:rFonts w:hint="eastAsia" w:ascii="宋体" w:hAnsi="宋体" w:cs="宋体"/>
          <w:b/>
          <w:bCs/>
          <w:sz w:val="24"/>
          <w:szCs w:val="24"/>
        </w:rPr>
        <w:t>交货地点、运输费用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-4" w:rightChars="-2" w:firstLine="480" w:firstLineChars="200"/>
        <w:textAlignment w:val="auto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乙方负责将货物运至甲方指定厂内并承担全部运输费用。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630" w:leftChars="0"/>
        <w:textAlignment w:val="auto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七、</w:t>
      </w:r>
      <w:r>
        <w:rPr>
          <w:rFonts w:hint="eastAsia" w:ascii="宋体" w:hAnsi="宋体" w:cs="宋体"/>
          <w:b/>
          <w:bCs/>
          <w:sz w:val="24"/>
          <w:szCs w:val="24"/>
        </w:rPr>
        <w:t>乙方所配车辆及驾驶人员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相关要求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200" w:firstLine="480" w:firstLineChars="200"/>
        <w:textAlignment w:val="auto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车辆及驾驶人员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证件手续完备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Cs/>
          <w:sz w:val="24"/>
          <w:szCs w:val="24"/>
        </w:rPr>
        <w:t>资质要真实有效、合法齐全。同时，乙方的车辆及工作人员还要必须严格遵守我单位的车辆管理办法，服从我方管理。要及时盖苫布、严禁超速、严禁散落、杜绝违章操作；按指定路线和地点进行运输装卸，严禁插队乱停放车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-4" w:rightChars="-2" w:firstLine="482" w:firstLineChars="200"/>
        <w:textAlignment w:val="auto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八、付款及结算方式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每月25日为结算日，每月结算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一次</w:t>
      </w:r>
      <w:r>
        <w:rPr>
          <w:rFonts w:hint="eastAsia" w:ascii="宋体" w:hAnsi="宋体" w:cs="宋体"/>
          <w:bCs/>
          <w:sz w:val="24"/>
          <w:szCs w:val="24"/>
        </w:rPr>
        <w:t>。每次结算完，乙方依据结算单，提供全额增值税专用发票（税率为13%、一票制）甲方收到发票后，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15</w:t>
      </w:r>
      <w:r>
        <w:rPr>
          <w:rFonts w:hint="eastAsia" w:ascii="宋体" w:hAnsi="宋体" w:cs="宋体"/>
          <w:bCs/>
          <w:sz w:val="24"/>
          <w:szCs w:val="24"/>
        </w:rPr>
        <w:t>个工作日内结清货款。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482" w:firstLineChars="200"/>
        <w:textAlignment w:val="auto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九、解决纠纷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（一）其他事项：本合同未尽事宜,双方协商解决；协商不成则提请甲方所在地人民法院诉讼解决。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-6" w:rightChars="-3" w:firstLine="480" w:firstLineChars="200"/>
        <w:textAlignment w:val="auto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（二）合同效力</w:t>
      </w:r>
    </w:p>
    <w:p>
      <w:pPr>
        <w:keepNext w:val="0"/>
        <w:keepLines w:val="0"/>
        <w:pageBreakBefore w:val="0"/>
        <w:widowControl w:val="0"/>
        <w:tabs>
          <w:tab w:val="left" w:pos="966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1.本合同经双方法定代表人或授权委托人签字或盖章,并加盖双方合同专用公章后生效；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-6" w:rightChars="-3" w:firstLine="480" w:firstLineChars="200"/>
        <w:textAlignment w:val="auto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2.在履行合同中,买卖双方如遇不可抗力因素等问题,以补充协议方式另行约定,不同意签订补充协议,则视为合同自动终止。</w:t>
      </w:r>
    </w:p>
    <w:p>
      <w:pPr>
        <w:keepNext w:val="0"/>
        <w:keepLines w:val="0"/>
        <w:pageBreakBefore w:val="0"/>
        <w:widowControl w:val="0"/>
        <w:tabs>
          <w:tab w:val="left" w:pos="98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3.合同有效期：自20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21</w:t>
      </w:r>
      <w:r>
        <w:rPr>
          <w:rFonts w:hint="eastAsia" w:ascii="宋体" w:hAnsi="宋体" w:cs="宋体"/>
          <w:bCs/>
          <w:sz w:val="24"/>
          <w:szCs w:val="24"/>
        </w:rPr>
        <w:t>年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bCs/>
          <w:sz w:val="24"/>
          <w:szCs w:val="24"/>
        </w:rPr>
        <w:t>月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26</w:t>
      </w:r>
      <w:r>
        <w:rPr>
          <w:rFonts w:hint="eastAsia" w:ascii="宋体" w:hAnsi="宋体" w:cs="宋体"/>
          <w:bCs/>
          <w:sz w:val="24"/>
          <w:szCs w:val="24"/>
        </w:rPr>
        <w:t>日至202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Cs/>
          <w:sz w:val="24"/>
          <w:szCs w:val="24"/>
        </w:rPr>
        <w:t>年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bCs/>
          <w:sz w:val="24"/>
          <w:szCs w:val="24"/>
        </w:rPr>
        <w:t>月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26</w:t>
      </w:r>
      <w:r>
        <w:rPr>
          <w:rFonts w:hint="eastAsia" w:ascii="宋体" w:hAnsi="宋体" w:cs="宋体"/>
          <w:bCs/>
          <w:sz w:val="24"/>
          <w:szCs w:val="24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4.本合同一式肆份，甲方执叁份，乙方执壹份，双方签字盖章后生效。（盖公章的传真件与合同原件具有相同的法律效力）。</w:t>
      </w:r>
    </w:p>
    <w:tbl>
      <w:tblPr>
        <w:tblStyle w:val="3"/>
        <w:tblpPr w:leftFromText="180" w:rightFromText="180" w:vertAnchor="text" w:horzAnchor="page" w:tblpX="1262" w:tblpY="25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5"/>
        <w:gridCol w:w="4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4845" w:type="dxa"/>
            <w:noWrap w:val="0"/>
            <w:vAlign w:val="center"/>
          </w:tcPr>
          <w:p>
            <w:pPr>
              <w:adjustRightInd w:val="0"/>
              <w:snapToGrid w:val="0"/>
              <w:ind w:hanging="2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甲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方：内蒙古兴安铜锌冶炼有限公司</w:t>
            </w:r>
          </w:p>
        </w:tc>
        <w:tc>
          <w:tcPr>
            <w:tcW w:w="478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乙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484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地址：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锡盟西乌旗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白音华工业园区</w:t>
            </w:r>
          </w:p>
        </w:tc>
        <w:tc>
          <w:tcPr>
            <w:tcW w:w="478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地址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484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法定代表人：</w:t>
            </w:r>
          </w:p>
        </w:tc>
        <w:tc>
          <w:tcPr>
            <w:tcW w:w="478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法定代表人：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484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开户银行：内蒙古西乌珠穆沁工商银行</w:t>
            </w:r>
          </w:p>
        </w:tc>
        <w:tc>
          <w:tcPr>
            <w:tcW w:w="478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开户银行：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484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账号：0610 0349 0920 0026 740</w:t>
            </w:r>
          </w:p>
        </w:tc>
        <w:tc>
          <w:tcPr>
            <w:tcW w:w="478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帐号：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484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纳税人登记号：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91152526670683162Y</w:t>
            </w:r>
          </w:p>
        </w:tc>
        <w:tc>
          <w:tcPr>
            <w:tcW w:w="478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纳税人登记号：</w:t>
            </w:r>
          </w:p>
        </w:tc>
      </w:tr>
    </w:tbl>
    <w:p>
      <w:pPr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8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F3F21"/>
    <w:multiLevelType w:val="multilevel"/>
    <w:tmpl w:val="2F3F3F21"/>
    <w:lvl w:ilvl="0" w:tentative="0">
      <w:start w:val="3"/>
      <w:numFmt w:val="japaneseCounting"/>
      <w:lvlText w:val="%1、"/>
      <w:lvlJc w:val="left"/>
      <w:pPr>
        <w:ind w:left="2071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2123" w:hanging="420"/>
      </w:pPr>
    </w:lvl>
    <w:lvl w:ilvl="2" w:tentative="0">
      <w:start w:val="1"/>
      <w:numFmt w:val="lowerRoman"/>
      <w:lvlText w:val="%3."/>
      <w:lvlJc w:val="right"/>
      <w:pPr>
        <w:ind w:left="2543" w:hanging="420"/>
      </w:pPr>
    </w:lvl>
    <w:lvl w:ilvl="3" w:tentative="0">
      <w:start w:val="1"/>
      <w:numFmt w:val="decimal"/>
      <w:lvlText w:val="%4."/>
      <w:lvlJc w:val="left"/>
      <w:pPr>
        <w:ind w:left="2963" w:hanging="420"/>
      </w:pPr>
    </w:lvl>
    <w:lvl w:ilvl="4" w:tentative="0">
      <w:start w:val="1"/>
      <w:numFmt w:val="lowerLetter"/>
      <w:lvlText w:val="%5)"/>
      <w:lvlJc w:val="left"/>
      <w:pPr>
        <w:ind w:left="3383" w:hanging="420"/>
      </w:pPr>
    </w:lvl>
    <w:lvl w:ilvl="5" w:tentative="0">
      <w:start w:val="1"/>
      <w:numFmt w:val="lowerRoman"/>
      <w:lvlText w:val="%6."/>
      <w:lvlJc w:val="right"/>
      <w:pPr>
        <w:ind w:left="3803" w:hanging="420"/>
      </w:pPr>
    </w:lvl>
    <w:lvl w:ilvl="6" w:tentative="0">
      <w:start w:val="1"/>
      <w:numFmt w:val="decimal"/>
      <w:lvlText w:val="%7."/>
      <w:lvlJc w:val="left"/>
      <w:pPr>
        <w:ind w:left="4223" w:hanging="420"/>
      </w:pPr>
    </w:lvl>
    <w:lvl w:ilvl="7" w:tentative="0">
      <w:start w:val="1"/>
      <w:numFmt w:val="lowerLetter"/>
      <w:lvlText w:val="%8)"/>
      <w:lvlJc w:val="left"/>
      <w:pPr>
        <w:ind w:left="4643" w:hanging="420"/>
      </w:pPr>
    </w:lvl>
    <w:lvl w:ilvl="8" w:tentative="0">
      <w:start w:val="1"/>
      <w:numFmt w:val="lowerRoman"/>
      <w:lvlText w:val="%9."/>
      <w:lvlJc w:val="right"/>
      <w:pPr>
        <w:ind w:left="5063" w:hanging="420"/>
      </w:pPr>
    </w:lvl>
  </w:abstractNum>
  <w:abstractNum w:abstractNumId="1">
    <w:nsid w:val="43706015"/>
    <w:multiLevelType w:val="multilevel"/>
    <w:tmpl w:val="43706015"/>
    <w:lvl w:ilvl="0" w:tentative="0">
      <w:start w:val="1"/>
      <w:numFmt w:val="japaneseCounting"/>
      <w:lvlText w:val="%1、"/>
      <w:lvlJc w:val="left"/>
      <w:pPr>
        <w:ind w:left="128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3" w:hanging="420"/>
      </w:pPr>
    </w:lvl>
    <w:lvl w:ilvl="2" w:tentative="0">
      <w:start w:val="1"/>
      <w:numFmt w:val="lowerRoman"/>
      <w:lvlText w:val="%3."/>
      <w:lvlJc w:val="right"/>
      <w:pPr>
        <w:ind w:left="1823" w:hanging="420"/>
      </w:pPr>
    </w:lvl>
    <w:lvl w:ilvl="3" w:tentative="0">
      <w:start w:val="1"/>
      <w:numFmt w:val="decimal"/>
      <w:lvlText w:val="%4."/>
      <w:lvlJc w:val="left"/>
      <w:pPr>
        <w:ind w:left="2243" w:hanging="420"/>
      </w:pPr>
    </w:lvl>
    <w:lvl w:ilvl="4" w:tentative="0">
      <w:start w:val="1"/>
      <w:numFmt w:val="lowerLetter"/>
      <w:lvlText w:val="%5)"/>
      <w:lvlJc w:val="left"/>
      <w:pPr>
        <w:ind w:left="2663" w:hanging="420"/>
      </w:pPr>
    </w:lvl>
    <w:lvl w:ilvl="5" w:tentative="0">
      <w:start w:val="1"/>
      <w:numFmt w:val="lowerRoman"/>
      <w:lvlText w:val="%6."/>
      <w:lvlJc w:val="right"/>
      <w:pPr>
        <w:ind w:left="3083" w:hanging="420"/>
      </w:pPr>
    </w:lvl>
    <w:lvl w:ilvl="6" w:tentative="0">
      <w:start w:val="1"/>
      <w:numFmt w:val="decimal"/>
      <w:lvlText w:val="%7."/>
      <w:lvlJc w:val="left"/>
      <w:pPr>
        <w:ind w:left="3503" w:hanging="420"/>
      </w:pPr>
    </w:lvl>
    <w:lvl w:ilvl="7" w:tentative="0">
      <w:start w:val="1"/>
      <w:numFmt w:val="lowerLetter"/>
      <w:lvlText w:val="%8)"/>
      <w:lvlJc w:val="left"/>
      <w:pPr>
        <w:ind w:left="3923" w:hanging="420"/>
      </w:pPr>
    </w:lvl>
    <w:lvl w:ilvl="8" w:tentative="0">
      <w:start w:val="1"/>
      <w:numFmt w:val="lowerRoman"/>
      <w:lvlText w:val="%9."/>
      <w:lvlJc w:val="right"/>
      <w:pPr>
        <w:ind w:left="4343" w:hanging="420"/>
      </w:pPr>
    </w:lvl>
  </w:abstractNum>
  <w:abstractNum w:abstractNumId="2">
    <w:nsid w:val="536B9F79"/>
    <w:multiLevelType w:val="singleLevel"/>
    <w:tmpl w:val="536B9F7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9269E"/>
    <w:rsid w:val="65E6056D"/>
    <w:rsid w:val="7388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_Style 1"/>
    <w:basedOn w:val="1"/>
    <w:qFormat/>
    <w:uiPriority w:val="34"/>
    <w:pPr>
      <w:ind w:firstLine="420" w:firstLineChars="200"/>
    </w:pPr>
  </w:style>
  <w:style w:type="paragraph" w:customStyle="1" w:styleId="7">
    <w:name w:val="_Style 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持续工作中</cp:lastModifiedBy>
  <dcterms:modified xsi:type="dcterms:W3CDTF">2021-09-09T00:43:57Z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