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00"/>
        </w:tabs>
        <w:adjustRightInd w:val="0"/>
        <w:snapToGrid w:val="0"/>
        <w:spacing w:line="400" w:lineRule="exact"/>
        <w:ind w:right="-6" w:rightChars="-3"/>
        <w:jc w:val="left"/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instrText xml:space="preserve"> HYPERLINK "http://www.e-jy.com.cn/ejyzx/eWebEditor/uploadfile/20201203165758361003.doc" \t "http://www.ejy365.com/_blank" </w:instrTex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附件</w:t>
      </w:r>
      <w:r>
        <w:rPr>
          <w:rStyle w:val="4"/>
          <w:rFonts w:hint="eastAsia" w:asciiTheme="minorEastAsia" w:hAnsiTheme="minorEastAsia" w:cstheme="minorEastAsia"/>
          <w:kern w:val="2"/>
          <w:sz w:val="21"/>
          <w:szCs w:val="21"/>
          <w:lang w:val="en-US" w:eastAsia="zh-CN"/>
        </w:rPr>
        <w:t>5</w:t>
      </w:r>
      <w:r>
        <w:rPr>
          <w:rStyle w:val="4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.</w:t>
      </w:r>
      <w:r>
        <w:rPr>
          <w:rStyle w:val="4"/>
          <w:rFonts w:hint="eastAsia" w:asciiTheme="minorEastAsia" w:hAnsiTheme="minorEastAsia" w:cstheme="minorEastAsia"/>
          <w:kern w:val="2"/>
          <w:sz w:val="21"/>
          <w:szCs w:val="21"/>
          <w:lang w:eastAsia="zh-CN"/>
        </w:rPr>
        <w:t>合同样板</w:t>
      </w:r>
      <w:r>
        <w:rPr>
          <w:rStyle w:val="4"/>
          <w:rFonts w:hint="eastAsia" w:asciiTheme="minorEastAsia" w:hAnsiTheme="minorEastAsia" w:eastAsiaTheme="minorEastAsia" w:cstheme="minorEastAsia"/>
          <w:kern w:val="2"/>
          <w:sz w:val="21"/>
          <w:szCs w:val="21"/>
        </w:rPr>
        <w:t>.doc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</w:rPr>
        <w:fldChar w:fldCharType="end"/>
      </w:r>
    </w:p>
    <w:p>
      <w:pPr>
        <w:tabs>
          <w:tab w:val="left" w:pos="18900"/>
        </w:tabs>
        <w:adjustRightInd w:val="0"/>
        <w:snapToGrid w:val="0"/>
        <w:spacing w:line="400" w:lineRule="exact"/>
        <w:ind w:right="-6" w:rightChars="-3" w:firstLine="3000" w:firstLineChars="1000"/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 xml:space="preserve">   </w:t>
      </w:r>
    </w:p>
    <w:p>
      <w:pPr>
        <w:tabs>
          <w:tab w:val="left" w:pos="18900"/>
        </w:tabs>
        <w:adjustRightInd w:val="0"/>
        <w:snapToGrid w:val="0"/>
        <w:spacing w:line="400" w:lineRule="exact"/>
        <w:ind w:right="-6" w:rightChars="-3" w:firstLine="3614" w:firstLineChars="1000"/>
        <w:rPr>
          <w:rFonts w:hint="eastAsia" w:ascii="宋体" w:hAnsi="宋体" w:eastAsia="宋体" w:cs="宋体"/>
          <w:b w:val="0"/>
          <w:bCs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辅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料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类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买 卖 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合 同</w:t>
      </w:r>
    </w:p>
    <w:tbl>
      <w:tblPr>
        <w:tblStyle w:val="2"/>
        <w:tblpPr w:leftFromText="180" w:rightFromText="180" w:vertAnchor="text" w:horzAnchor="page" w:tblpX="1337" w:tblpY="14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5"/>
        <w:gridCol w:w="4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4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（买受人）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：内蒙古兴安铜锌冶炼有限公司</w:t>
            </w:r>
          </w:p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（出卖人）：</w:t>
            </w:r>
          </w:p>
          <w:p>
            <w:pPr>
              <w:adjustRightInd w:val="0"/>
              <w:snapToGrid w:val="0"/>
              <w:ind w:firstLine="217" w:firstLineChars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638" w:type="dxa"/>
            <w:noWrap w:val="0"/>
            <w:vAlign w:val="center"/>
          </w:tcPr>
          <w:p>
            <w:pPr>
              <w:adjustRightInd w:val="0"/>
              <w:snapToGrid w:val="0"/>
              <w:ind w:firstLine="1200" w:firstLineChars="500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合同编号：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6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签订地点：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锡盟西乌旗白音华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4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hanging="2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638" w:type="dxa"/>
            <w:noWrap w:val="0"/>
            <w:vAlign w:val="center"/>
          </w:tcPr>
          <w:p>
            <w:pPr>
              <w:adjustRightInd w:val="0"/>
              <w:snapToGrid w:val="0"/>
              <w:ind w:firstLine="1200" w:firstLineChars="5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签订时间：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甲乙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双方经过协商，本着自愿及平等互利的原则，就煤炭买卖事宜达成如下一致：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第一条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煤炭品种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：烟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煤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质量标准：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灰分（Aad）&lt;15%      挥发分（Vad）&lt;31%      固定碳Fc（ad）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&gt;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54%   水份（Mar）&lt;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4%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硫（st，d）</w:t>
      </w:r>
      <w:r>
        <w:rPr>
          <w:rFonts w:hint="eastAsia" w:ascii="宋体" w:hAnsi="宋体" w:eastAsia="宋体" w:cs="宋体"/>
          <w:sz w:val="24"/>
          <w:szCs w:val="24"/>
        </w:rPr>
        <w:t>&lt;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1.0%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粒度：20mm-50mm    热值（Qnet.a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r）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≥5500cal/g。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注：本合同中所阐述的热值均为“收到基低位发热量”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第二条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煤炭数量、计量方法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、到货批量：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480" w:firstLineChars="200"/>
        <w:textAlignment w:val="auto"/>
        <w:outlineLvl w:val="9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煤炭数量：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6000吨，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总到货数量误差不超过总量的±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计量方法：以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方检斤计量为准，计量单位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52"/>
          <w:tab w:val="left" w:pos="9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到货要求：自合同签订之日起，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一个月之内供齐全部货物，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按甲方要求分批次到货，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每天最多到货车辆不得超过15车。（具体到货要求服从甲方人员安排，如生产出现特殊情况，需要调整发货计划，双方另行协商。）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第三条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结算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价格：（到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方厂区指定煤仓，煤价为到厂价，一票制）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以实际供货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的烟煤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热值5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Cal/g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为基准，基准价格为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元/吨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（价款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元/吨，税款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当实际供货热值在5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cal/g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的基准上每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降低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100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cal/g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以内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，结算价格在基准价基础上相应减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20.00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元/吨。当热值低于4500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cal/g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时按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褐煤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280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元/吨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结算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（2）当14%≤水分(Mar%)&lt;15%时，在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基准价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基础上扣减8.1元/吨；当15%≤水分(Mar%)&lt;17%时，在基准价基础上扣减32.4元/吨；当17%≤水分(Mar%)时，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褐煤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280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元/吨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结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算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）当固定碳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Fc（ad）&lt;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54%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时，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每下降一个百分点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结算价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在基准价基础上扣减20元/吨，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固定碳&gt;54%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，每增加一个百分点不加价，单车化验；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）如乙方灰分、挥发分、粒度等质量指标未达到甲方的质量标准，甲方根据实际情况有权提前终止合同，由此造成的损失由乙方承担。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第四条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运输及装缷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乙方</w:t>
      </w:r>
      <w:r>
        <w:rPr>
          <w:rFonts w:hint="eastAsia"/>
          <w:sz w:val="24"/>
          <w:szCs w:val="24"/>
          <w:u w:val="none"/>
        </w:rPr>
        <w:t>负责运输货物到</w:t>
      </w:r>
      <w:r>
        <w:rPr>
          <w:rFonts w:hint="eastAsia"/>
          <w:sz w:val="24"/>
          <w:szCs w:val="24"/>
          <w:u w:val="none"/>
          <w:lang w:eastAsia="zh-CN"/>
        </w:rPr>
        <w:t>甲方（内蒙古兴安铜锌冶炼有限公司）</w:t>
      </w:r>
      <w:r>
        <w:rPr>
          <w:rFonts w:hint="eastAsia"/>
          <w:sz w:val="24"/>
          <w:szCs w:val="24"/>
          <w:u w:val="none"/>
        </w:rPr>
        <w:t>厂区内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，甲方负责机械（装载机）卸货，人工清底。如乙方提供车辆不符合机械卸货条件，甲方不负责卸货。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6" w:rightChars="-3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第五条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付款及结算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方式：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按月结算，每月到货结算后，乙方提供全额增值税专用发票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（税率1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%）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，甲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在15个工作日内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予以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付款，付款方式为电汇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乙方</w:t>
      </w:r>
      <w:r>
        <w:rPr>
          <w:rFonts w:hint="eastAsia"/>
          <w:sz w:val="24"/>
          <w:szCs w:val="24"/>
        </w:rPr>
        <w:t>所提供增值税发票为国家正规发票，如发票非正规发票，产生一切法律后果，均由</w:t>
      </w:r>
      <w:r>
        <w:rPr>
          <w:rFonts w:hint="eastAsia"/>
          <w:sz w:val="24"/>
          <w:szCs w:val="24"/>
          <w:lang w:eastAsia="zh-CN"/>
        </w:rPr>
        <w:t>乙方</w:t>
      </w:r>
      <w:r>
        <w:rPr>
          <w:rFonts w:hint="eastAsia"/>
          <w:sz w:val="24"/>
          <w:szCs w:val="24"/>
        </w:rPr>
        <w:t>承担，与</w:t>
      </w:r>
      <w:r>
        <w:rPr>
          <w:rFonts w:hint="eastAsia"/>
          <w:sz w:val="24"/>
          <w:szCs w:val="24"/>
          <w:lang w:eastAsia="zh-CN"/>
        </w:rPr>
        <w:t>甲方</w:t>
      </w:r>
      <w:r>
        <w:rPr>
          <w:rFonts w:hint="eastAsia"/>
          <w:sz w:val="24"/>
          <w:szCs w:val="24"/>
        </w:rPr>
        <w:t>无关。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482" w:hanging="482" w:hangingChars="200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检验：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水分及品质检验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结果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方为准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取样方法按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GB475-2008号《商品煤样人工采取方法》的规范执行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。甲乙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双方共同取样，现场测定水分，双方签字后生效，品质样分成三份，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甲乙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双方各一份，另一份作为仲裁样，留存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方（如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方不派人现场测水和分样，则视为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乙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方认可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方所测水分和留存仲裁样的有效性）。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甲乙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双方分别对样品进行化验，双方如对化验结果无异议，以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方化验结果为准。任何一方如对化验结果有异议，应协商解决，如协商无法解决，则应通过具备合格资质的权威仲裁机构解决，仲裁结果作为最终结算依据，仲裁费由输方承担。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第七条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违约责任：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自合同签订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日起，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乙方需向甲方支付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履约保证金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伍拾万元整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，如乙方在执行合同期间未按照合同要求履行职责，甲方有权扣罚乙方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部分或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全额履约保证金。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第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条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解决纠纷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本合同未尽事宜，双方协商解决；协商不成则提请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甲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方所在地人民法院诉讼解决。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第九条：合同有效期：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2021年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第十条 </w:t>
      </w:r>
      <w:r>
        <w:rPr>
          <w:rFonts w:hint="eastAsia" w:ascii="宋体" w:hAnsi="宋体" w:cs="宋体"/>
          <w:b/>
          <w:bCs/>
          <w:sz w:val="24"/>
          <w:szCs w:val="24"/>
        </w:rPr>
        <w:t>其他约定事项：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720" w:firstLineChars="3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本合同一式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cs="宋体"/>
          <w:sz w:val="24"/>
          <w:szCs w:val="24"/>
        </w:rPr>
        <w:t>份，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宋体"/>
          <w:sz w:val="24"/>
          <w:szCs w:val="24"/>
        </w:rPr>
        <w:t>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肆</w:t>
      </w:r>
      <w:r>
        <w:rPr>
          <w:rFonts w:hint="eastAsia" w:ascii="宋体" w:hAnsi="宋体" w:cs="宋体"/>
          <w:sz w:val="24"/>
          <w:szCs w:val="24"/>
        </w:rPr>
        <w:t>份，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乙方执壹份，</w:t>
      </w:r>
      <w:r>
        <w:rPr>
          <w:rFonts w:hint="eastAsia" w:ascii="宋体" w:hAnsi="宋体" w:cs="宋体"/>
          <w:sz w:val="24"/>
          <w:szCs w:val="24"/>
        </w:rPr>
        <w:t>双方签字盖章后生效，附件及传真件经双方确认签字盖章后具有同等法律效力。</w:t>
      </w:r>
    </w:p>
    <w:tbl>
      <w:tblPr>
        <w:tblStyle w:val="2"/>
        <w:tblpPr w:leftFromText="180" w:rightFromText="180" w:vertAnchor="text" w:horzAnchor="page" w:tblpX="1400" w:tblpY="257"/>
        <w:tblOverlap w:val="never"/>
        <w:tblW w:w="98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方：内蒙古兴安铜锌冶炼有限公司</w:t>
            </w:r>
          </w:p>
        </w:tc>
        <w:tc>
          <w:tcPr>
            <w:tcW w:w="4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方：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内蒙古锡盟西乌旗白音华工业园区</w:t>
            </w:r>
          </w:p>
        </w:tc>
        <w:tc>
          <w:tcPr>
            <w:tcW w:w="4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地址：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法定代表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人：</w:t>
            </w:r>
          </w:p>
        </w:tc>
        <w:tc>
          <w:tcPr>
            <w:tcW w:w="4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法定代表人（或授权委托人）：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中国工商银行股份有限公司西乌珠穆沁支行 </w:t>
            </w:r>
          </w:p>
        </w:tc>
        <w:tc>
          <w:tcPr>
            <w:tcW w:w="4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账号：06100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34909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2000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26740</w:t>
            </w:r>
          </w:p>
        </w:tc>
        <w:tc>
          <w:tcPr>
            <w:tcW w:w="4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帐号：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税号：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9115 2526 6706 8316 2Y</w:t>
            </w:r>
          </w:p>
        </w:tc>
        <w:tc>
          <w:tcPr>
            <w:tcW w:w="4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税号：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行号：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102201703497</w:t>
            </w:r>
          </w:p>
        </w:tc>
        <w:tc>
          <w:tcPr>
            <w:tcW w:w="499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行号：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DEDA"/>
    <w:multiLevelType w:val="singleLevel"/>
    <w:tmpl w:val="4C36DEDA"/>
    <w:lvl w:ilvl="0" w:tentative="0">
      <w:start w:val="6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10753"/>
    <w:rsid w:val="194874A2"/>
    <w:rsid w:val="2AEA2F31"/>
    <w:rsid w:val="400E4983"/>
    <w:rsid w:val="6DE13A73"/>
    <w:rsid w:val="6FC607DE"/>
    <w:rsid w:val="75B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_Style 1"/>
    <w:basedOn w:val="1"/>
    <w:qFormat/>
    <w:uiPriority w:val="34"/>
    <w:pPr>
      <w:ind w:firstLine="420" w:firstLineChars="200"/>
    </w:pPr>
  </w:style>
  <w:style w:type="paragraph" w:customStyle="1" w:styleId="6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2021-08-24T05:32:00Z</dcterms:created>
  <dc:creator>admin</dc:creator>
  <cp:lastModifiedBy>持续工作中</cp:lastModifiedBy>
  <dcterms:modified xsi:type="dcterms:W3CDTF">2021-10-09T08:36:58Z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