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3262"/>
        <w:gridCol w:w="959"/>
        <w:gridCol w:w="850"/>
        <w:gridCol w:w="893"/>
        <w:gridCol w:w="884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燃煤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热量(Qnet,v,ar(cal/g))为2900卡以上，灰分（Ad)为25%以下、全水(Mt)为40%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以下、全硫(St,d)0.3%以下。本项目限价为22万元，包括税金、装卸费、运输费等全部费用。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3D101868"/>
    <w:rsid w:val="42241FBA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2021-10-13T05:15:43Z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