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"/>
        <w:gridCol w:w="248"/>
        <w:gridCol w:w="1029"/>
        <w:gridCol w:w="9582"/>
        <w:gridCol w:w="598"/>
        <w:gridCol w:w="332"/>
        <w:gridCol w:w="921"/>
        <w:gridCol w:w="752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型号</w:t>
            </w:r>
          </w:p>
        </w:tc>
        <w:tc>
          <w:tcPr>
            <w:tcW w:w="3287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142" w:leftChars="59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技术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14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数量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限价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单价报价（元）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总价报价（元）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水质监测管理系统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287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监测内容：温度、PH、浊度、电导率、溶解氧 、盐度、总溶解固体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组成部分：生态监测管理系统平台和数据采集监测站点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生态监测管理系统平台功能</w:t>
            </w:r>
          </w:p>
          <w:p>
            <w:pPr>
              <w:pStyle w:val="1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平台特点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将负氧离子、空气温度湿度、大气压、雨量、风速风向及水质温度、PH、电导、溶解氧、浊度、盐度和总溶解固体等监测因子集中展现到一个平台 ，同时预留接口，方便以后扩展其他要素。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基于地理系统平台的终端设备管理,监测站点分布一目了然,能快速定位数据源位置信息；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实时回传、存储、统计和分析各监测站点监测到的各要素数据，实现在线实时监测；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精细化、多维度的数据分析，直观反应不同要素数据关系，便于进行更深次研究；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支持无限扩展各要素和各种传输协议终端监测设备接入，自由配置要监测内容；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可根据需求自定义要素数据警戒线，并设置报警邮箱，实现数据异常自动报警；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可灵活配置数据统计和分析的展示形式：表格、曲线、柱图、饼图和图表大小等；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可在背景底图上选择或上传不同类型监测站点图标，实现站点图标自定义；</w:t>
            </w:r>
          </w:p>
          <w:p>
            <w:pPr>
              <w:pStyle w:val="10"/>
              <w:numPr>
                <w:ilvl w:val="1"/>
                <w:numId w:val="1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可灵活设置各层级组织成员账户的登陆权限，按需设置不同的数据浏览、系统设置和管理权限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平台要求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1、预留接口，以便日后接入其他环境监测设备 共享监测管理平台。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（三）数据库二次开发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1、SQL 2012 软件二次开发应用，历史数据存储、调用、分类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（四）物联网数据采集软件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1、现场监测站监测指标等各种信息数据通过智能网关发送的数据接收、过滤，连接上位机监测软件与现场设备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二、数据采集监测站点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（一） 数据采集处理及传输单元技术参数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技术规格：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工作温度范围  (℃ )：-40℃ ~70℃（标准）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最大扫描速率：10 Hz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模拟输入：6  个单端或 3 对差分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脉冲通道数：8个（P_SW,P_LL,C1,C2和SE1-SE4）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开关激发通道：2 个（VX1、VX2）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通讯 / 数据存储端口：1  个 RS-232,1 个  USB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12V控制端口：1个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数字端口I/O：7 个（C1，C2，P_SW和SE1至SE4）可配置为数字输入和输出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输入电压量程（Vdc）：-100~ +2500 mV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模拟电压精度：±（0.1%测量值+偏移量）@ -40～70℃，±（0.04%读数+偏移量）@ 0～40℃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模拟数字转换位数（A/D）: 24位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采集器供电范围：16-32V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实时时钟精度：±1min/月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内    存：30MB（数据存储）；80MB(CPU驱动/程序存储)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尺寸：13.97 x 7.62 x 4.56 cm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重量：242g～249.5g(取决于所选择的通讯方式)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组网配置：可选配GPRS组网，支持局域网组网传输等多种数据回传解决方案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（二）水质监测单元主机技术指标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尺寸：直径10.6cm（包含POM外壁），长度37.6cm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最深置放：10m，IP68防护等级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材质：POM和316不锈钢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工作温度：0~45℃，无冻结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接口：支持RS-485通讯，Modbus RTU协议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电源： 12~24V DC  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功耗区间： 20~120mA@12V&lt;3mA@12V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传感器预警：支持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清洁刷：可自行设置清洁间隔，减速电机及尼龙刷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校准：搭配通用平台，接全数字传感器，传感器具有独立校准功能，维护校准方便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（三）水环境因子技术指标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1、温度技术指标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范围：-5到50 ℃；精度：± 0.30℃；分辨率：0.01℃；方法：热敏电阻法；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2、PH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范围：0~14个单位；精度：± 0.2个单位；分辨率：0.01个单位；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方法：离子电极法；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3、浊度技术指标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范围：0.3-1000 NTU；精度：3%FS ；分辨率：0.01NTU；方法：90°散射；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4、电导率技术指标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范围：1uS/cm-100mS/cm；精度：±1%FS ；分辨率：0.0001mS/cm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方法：4镍电极电导池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5、溶解氧技术指标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范围：0-20mg/L；精度：±3%mg/L；分辨率：0.01mg/L；方法：荧光寿命法；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6、盐度技术指标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范围：0~70ppt；精度：±0.2ppt；分辨率：0.01ppt；方法：电导率换算；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7、总溶解固体技术指标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范围：0~64000mg/L；精度：1%FS；分辨率：0.01mg/L；方法：电导率换算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（四）防雷单元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1、避雷器：长度&gt;20cm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2、电源防雷器：3KA，IP20，导轨安</w:t>
            </w:r>
          </w:p>
          <w:p>
            <w:pPr>
              <w:pStyle w:val="10"/>
              <w:numPr>
                <w:ilvl w:val="0"/>
                <w:numId w:val="2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充放电控制器、电源开关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4、长排线、电源线、穿线管、接头等若干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（五）防护机箱及安装附件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 材质：双开门钢材框架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2、 防护等级：IP65防尘、防水、防虫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3、 防护性能：具有结露保护功能，可防止结露、静电、雷电感应、极板短路等导致的不良影响 或损坏；具备防雷措施，保证设备在野外环境下能可靠稳定运行。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4、安装附件：电缆接头、防护罩等若干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（六）太阳能供电系统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太阳能支架，光伏板，蓄电池；内置电路线缆及附件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（七）通讯单元</w:t>
            </w:r>
          </w:p>
          <w:p>
            <w:pPr>
              <w:pStyle w:val="10"/>
              <w:numPr>
                <w:ilvl w:val="0"/>
                <w:numId w:val="3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采用32位高性能处理器，内置硬件看门狗电路，保证模块运行稳定</w:t>
            </w:r>
          </w:p>
          <w:p>
            <w:pPr>
              <w:pStyle w:val="10"/>
              <w:numPr>
                <w:ilvl w:val="0"/>
                <w:numId w:val="3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所有通讯接口均进行防雷击、浪涌处理</w:t>
            </w:r>
          </w:p>
          <w:p>
            <w:pPr>
              <w:pStyle w:val="10"/>
              <w:numPr>
                <w:ilvl w:val="0"/>
                <w:numId w:val="3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使用工业级4G模块，内嵌全功能TCP协议栈</w:t>
            </w:r>
          </w:p>
          <w:p>
            <w:pPr>
              <w:pStyle w:val="10"/>
              <w:numPr>
                <w:ilvl w:val="0"/>
                <w:numId w:val="3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数据全透明传输，用户无需了解复杂的 TCP/IP、PPP 等协议</w:t>
            </w:r>
          </w:p>
          <w:p>
            <w:pPr>
              <w:pStyle w:val="10"/>
              <w:numPr>
                <w:ilvl w:val="0"/>
                <w:numId w:val="3"/>
              </w:numPr>
              <w:snapToGrid/>
              <w:spacing w:before="0" w:beforeAutospacing="0" w:after="0" w:afterAutospacing="0" w:line="240" w:lineRule="auto"/>
              <w:ind w:left="142" w:leftChars="59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支持数据中心动态域名或IP 地址访问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（八）系统集成服务/线缆辅材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1、通讯线缆：国标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2、总线及接线盒：国标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3、调试线：国标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4、系统集成：定制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（九）安装调试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w w:val="100"/>
                <w:sz w:val="21"/>
                <w:szCs w:val="21"/>
              </w:rPr>
              <w:t>需要进行现场环境勘测；现浇混凝土，小型构件 ；电缆，光纤，安装用电源线，控制线及塑料管材；人工平整场地 ；基础垫层，沙石，灰土</w:t>
            </w:r>
          </w:p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要求：▲</w:t>
            </w:r>
            <w:r>
              <w:rPr>
                <w:rFonts w:hint="eastAsia" w:cs="Calibri"/>
                <w:sz w:val="21"/>
                <w:szCs w:val="21"/>
              </w:rPr>
              <w:t>为保证供应商实质性响应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竞价公告</w:t>
            </w:r>
            <w:r>
              <w:rPr>
                <w:rFonts w:hint="eastAsia" w:cs="Calibri"/>
                <w:sz w:val="21"/>
                <w:szCs w:val="21"/>
              </w:rPr>
              <w:t>，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成交供应商</w:t>
            </w:r>
            <w:r>
              <w:rPr>
                <w:rFonts w:hint="eastAsia" w:cs="Calibri"/>
                <w:sz w:val="21"/>
                <w:szCs w:val="21"/>
              </w:rPr>
              <w:t>需在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成交公告发布</w:t>
            </w:r>
            <w:r>
              <w:rPr>
                <w:rFonts w:hint="eastAsia" w:cs="Calibri"/>
                <w:sz w:val="21"/>
                <w:szCs w:val="21"/>
              </w:rPr>
              <w:t>后3日内提供</w:t>
            </w:r>
            <w:r>
              <w:rPr>
                <w:rFonts w:hint="eastAsia" w:cs="Calibri"/>
                <w:color w:val="FF0000"/>
                <w:sz w:val="21"/>
                <w:szCs w:val="21"/>
                <w:lang w:eastAsia="zh-CN"/>
              </w:rPr>
              <w:t>“水质监测管理系统”</w:t>
            </w:r>
            <w:r>
              <w:rPr>
                <w:rFonts w:hint="eastAsia" w:cs="Calibri"/>
                <w:sz w:val="21"/>
                <w:szCs w:val="21"/>
              </w:rPr>
              <w:t>核心组件及软件平台演示，如演示结果与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eastAsia" w:cs="Calibri"/>
                <w:sz w:val="21"/>
                <w:szCs w:val="21"/>
              </w:rPr>
              <w:t>不符，采购方有权拒绝与该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成交供应商</w:t>
            </w:r>
            <w:r>
              <w:rPr>
                <w:rFonts w:hint="eastAsia" w:cs="Calibri"/>
                <w:sz w:val="21"/>
                <w:szCs w:val="21"/>
              </w:rPr>
              <w:t>签订合同，并取消其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cs="Calibri"/>
                <w:sz w:val="21"/>
                <w:szCs w:val="21"/>
              </w:rPr>
              <w:t>资格，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按照网上竞价（一次报价）的报价原则</w:t>
            </w:r>
            <w:r>
              <w:rPr>
                <w:rFonts w:hint="eastAsia" w:cs="Calibri"/>
                <w:sz w:val="21"/>
                <w:szCs w:val="21"/>
              </w:rPr>
              <w:t>顺延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报价排名第二名的供应商提供核心组件及</w:t>
            </w:r>
            <w:r>
              <w:rPr>
                <w:rFonts w:hint="eastAsia" w:cs="Calibri"/>
                <w:sz w:val="21"/>
                <w:szCs w:val="21"/>
              </w:rPr>
              <w:t>进行演示，演示结果满足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竞价公告要求</w:t>
            </w:r>
            <w:r>
              <w:rPr>
                <w:rFonts w:hint="eastAsia" w:cs="Calibri"/>
                <w:sz w:val="21"/>
                <w:szCs w:val="21"/>
              </w:rPr>
              <w:t>并通过采购方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cs="Calibri"/>
                <w:sz w:val="21"/>
                <w:szCs w:val="21"/>
              </w:rPr>
              <w:t>后，确定为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>成交供应商</w:t>
            </w:r>
            <w:r>
              <w:rPr>
                <w:rFonts w:hint="eastAsia" w:cs="Calibri"/>
                <w:sz w:val="21"/>
                <w:szCs w:val="21"/>
              </w:rPr>
              <w:t>。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套</w:t>
            </w:r>
          </w:p>
        </w:tc>
        <w:tc>
          <w:tcPr>
            <w:tcW w:w="114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0000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</w:t>
            </w:r>
          </w:p>
        </w:tc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三脚架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shd w:val="clear" w:color="auto" w:fill="FFFFFF"/>
              </w:rPr>
              <w:t xml:space="preserve">捷信GT2545T  </w:t>
            </w:r>
          </w:p>
        </w:tc>
        <w:tc>
          <w:tcPr>
            <w:tcW w:w="3287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捷信（GITZO） 捷信GK2545T-82QD旅行者碳纤维三脚架云台套装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副</w:t>
            </w:r>
          </w:p>
        </w:tc>
        <w:tc>
          <w:tcPr>
            <w:tcW w:w="114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1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0000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</w:t>
            </w:r>
          </w:p>
        </w:tc>
        <w:tc>
          <w:tcPr>
            <w:tcW w:w="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解说器</w:t>
            </w:r>
          </w:p>
        </w:tc>
        <w:tc>
          <w:tcPr>
            <w:tcW w:w="353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KML-980 </w:t>
            </w:r>
          </w:p>
        </w:tc>
        <w:tc>
          <w:tcPr>
            <w:tcW w:w="3287" w:type="pct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42" w:leftChars="59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开米乐（KAIMILE） 开米乐无线讲解器一对多导博物馆景区团队讲解导览解说系统设备KML-980T 1发射+50接收+64位充电箱 </w:t>
            </w:r>
          </w:p>
        </w:tc>
        <w:tc>
          <w:tcPr>
            <w:tcW w:w="205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台</w:t>
            </w:r>
          </w:p>
        </w:tc>
        <w:tc>
          <w:tcPr>
            <w:tcW w:w="114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2 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0000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03" w:type="pct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合计（元）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</w:p>
    <w:p>
      <w:pPr>
        <w:snapToGrid/>
        <w:spacing w:before="0" w:beforeAutospacing="0" w:after="0" w:afterAutospacing="0" w:line="360" w:lineRule="auto"/>
        <w:ind w:firstLine="6930" w:firstLineChars="33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供应商名称：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u w:val="single"/>
        </w:rPr>
        <w:t xml:space="preserve">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（加盖公章）</w:t>
      </w:r>
    </w:p>
    <w:p>
      <w:pPr>
        <w:snapToGrid/>
        <w:spacing w:before="0" w:beforeAutospacing="0" w:after="0" w:afterAutospacing="0" w:line="360" w:lineRule="auto"/>
        <w:ind w:firstLine="6930" w:firstLineChars="33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  </w:t>
      </w:r>
    </w:p>
    <w:p>
      <w:pPr>
        <w:snapToGrid/>
        <w:spacing w:before="0" w:beforeAutospacing="0" w:after="0" w:afterAutospacing="0" w:line="360" w:lineRule="auto"/>
        <w:ind w:firstLine="6930" w:firstLineChars="33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 日期：         </w:t>
      </w:r>
    </w:p>
    <w:sectPr>
      <w:pgSz w:w="16838" w:h="11906" w:orient="landscape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3210A"/>
    <w:multiLevelType w:val="multilevel"/>
    <w:tmpl w:val="4D03210A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EC7E41"/>
    <w:multiLevelType w:val="multilevel"/>
    <w:tmpl w:val="5DEC7E4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asci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、"/>
      <w:lvlJc w:val="left"/>
      <w:pPr>
        <w:ind w:left="1260" w:hanging="420"/>
      </w:pPr>
      <w:rPr>
        <w:rFonts w:hint="eastAsia" w:ascii="宋体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4116D0"/>
    <w:multiLevelType w:val="multilevel"/>
    <w:tmpl w:val="624116D0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25" w:hanging="405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2D7"/>
    <w:rsid w:val="00B04DA2"/>
    <w:rsid w:val="00B57970"/>
    <w:rsid w:val="00C30002"/>
    <w:rsid w:val="00CD22D7"/>
    <w:rsid w:val="00D43FAD"/>
    <w:rsid w:val="01AF2DB6"/>
    <w:rsid w:val="166C74B6"/>
    <w:rsid w:val="17F37384"/>
    <w:rsid w:val="1BE64D75"/>
    <w:rsid w:val="1F44735F"/>
    <w:rsid w:val="24C237F4"/>
    <w:rsid w:val="25292C04"/>
    <w:rsid w:val="3B9435D6"/>
    <w:rsid w:val="6528011D"/>
    <w:rsid w:val="6A7A2706"/>
    <w:rsid w:val="6BC42C70"/>
    <w:rsid w:val="777D4604"/>
    <w:rsid w:val="78C2039F"/>
    <w:rsid w:val="7E8D19CB"/>
    <w:rsid w:val="7ED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basedOn w:val="1"/>
    <w:qFormat/>
    <w:uiPriority w:val="1"/>
    <w:pPr>
      <w:widowControl/>
      <w:spacing w:line="240" w:lineRule="auto"/>
      <w:jc w:val="left"/>
    </w:pPr>
    <w:rPr>
      <w:kern w:val="0"/>
      <w:szCs w:val="32"/>
      <w:lang w:eastAsia="en-US" w:bidi="en-US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397</Words>
  <Characters>2265</Characters>
  <Lines>18</Lines>
  <Paragraphs>5</Paragraphs>
  <TotalTime>6</TotalTime>
  <ScaleCrop>false</ScaleCrop>
  <LinksUpToDate>false</LinksUpToDate>
  <CharactersWithSpaces>2657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2021-08-27T08:38:00Z</dcterms:created>
  <dc:creator>Microsoft</dc:creator>
  <cp:lastModifiedBy>CGB_WJ</cp:lastModifiedBy>
  <dcterms:modified xsi:type="dcterms:W3CDTF">2021-10-27T02:12:15Z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