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附件4</w:t>
      </w:r>
    </w:p>
    <w:p/>
    <w:p>
      <w:pPr>
        <w:jc w:val="center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扩容设备项目参数表</w:t>
      </w:r>
    </w:p>
    <w:p>
      <w:pPr>
        <w:jc w:val="center"/>
        <w:rPr>
          <w:rFonts w:ascii="仿宋_GB2312" w:hAnsi="仿宋_GB2312" w:eastAsia="仿宋_GB2312" w:cs="仿宋_GB2312"/>
          <w:b/>
          <w:bCs/>
          <w:sz w:val="30"/>
          <w:szCs w:val="30"/>
        </w:rPr>
      </w:pPr>
    </w:p>
    <w:tbl>
      <w:tblPr>
        <w:tblStyle w:val="4"/>
        <w:tblW w:w="9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472"/>
        <w:gridCol w:w="989"/>
        <w:gridCol w:w="493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szCs w:val="21"/>
              </w:rPr>
              <w:t>项号</w:t>
            </w:r>
          </w:p>
        </w:tc>
        <w:tc>
          <w:tcPr>
            <w:tcW w:w="1472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szCs w:val="21"/>
              </w:rPr>
              <w:t>货物名称</w:t>
            </w:r>
          </w:p>
        </w:tc>
        <w:tc>
          <w:tcPr>
            <w:tcW w:w="989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szCs w:val="21"/>
              </w:rPr>
              <w:t>数量</w:t>
            </w:r>
          </w:p>
        </w:tc>
        <w:tc>
          <w:tcPr>
            <w:tcW w:w="493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szCs w:val="21"/>
              </w:rPr>
              <w:t>单位</w:t>
            </w:r>
          </w:p>
        </w:tc>
        <w:tc>
          <w:tcPr>
            <w:tcW w:w="6120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szCs w:val="21"/>
              </w:rPr>
              <w:t>技术参数要求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6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1472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服务器</w:t>
            </w:r>
          </w:p>
        </w:tc>
        <w:tc>
          <w:tcPr>
            <w:tcW w:w="989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2</w:t>
            </w:r>
          </w:p>
        </w:tc>
        <w:tc>
          <w:tcPr>
            <w:tcW w:w="493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台</w:t>
            </w:r>
          </w:p>
        </w:tc>
        <w:tc>
          <w:tcPr>
            <w:tcW w:w="6120" w:type="dxa"/>
          </w:tcPr>
          <w:p>
            <w:pPr>
              <w:pStyle w:val="7"/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★</w:t>
            </w:r>
            <w:r>
              <w:rPr>
                <w:rFonts w:hint="eastAsia" w:ascii="宋体" w:hAnsi="宋体" w:cs="宋体"/>
                <w:sz w:val="21"/>
                <w:szCs w:val="21"/>
              </w:rPr>
              <w:t>品牌：国产品牌；</w:t>
            </w:r>
          </w:p>
          <w:p>
            <w:pPr>
              <w:pStyle w:val="7"/>
              <w:numPr>
                <w:ilvl w:val="0"/>
                <w:numId w:val="1"/>
              </w:numPr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外形：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≤2U机架式，可支持导轨及理线架；</w:t>
            </w:r>
          </w:p>
          <w:p>
            <w:pPr>
              <w:pStyle w:val="7"/>
              <w:numPr>
                <w:ilvl w:val="0"/>
                <w:numId w:val="1"/>
              </w:numPr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★处理器：Intel Xeon 银牌系列处理器；配置物理CPU个数≥2，每颗CPU 配置12颗物理核心，主频≥2.2GHz；</w:t>
            </w:r>
          </w:p>
          <w:p>
            <w:pPr>
              <w:pStyle w:val="7"/>
              <w:numPr>
                <w:ilvl w:val="0"/>
                <w:numId w:val="1"/>
              </w:numPr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内存：</w:t>
            </w:r>
          </w:p>
          <w:p>
            <w:pPr>
              <w:pStyle w:val="7"/>
              <w:numPr>
                <w:ilvl w:val="0"/>
                <w:numId w:val="2"/>
              </w:numPr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内存插槽数≥24；</w:t>
            </w:r>
          </w:p>
          <w:p>
            <w:pPr>
              <w:pStyle w:val="7"/>
              <w:numPr>
                <w:ilvl w:val="0"/>
                <w:numId w:val="2"/>
              </w:numPr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内存类型：ECC DDR4 2666MHz或以上；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（3）★配置内存容量：32G*8；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5.本地存储：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（1）支持热插拔SAS/SATA/SSD硬盘；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（2）≥8个热插拔2.5寸硬盘槽位；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（3）★配置2块600GB 10K RPM 2.5英寸 SAS盘；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（4）★配置独立2G Cache RAID卡，支持RAID 0/1/5/6/10/50/60，并配置掉电保护；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6.系统扩展：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（1）★配置2个GE电口，4个10GE光口并满配光模块，1块16G双端口HBA卡并满配光模块；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（2）PCI-E I/O插槽总数：≥10个；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7.可靠性：提供冗余交流电源；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8.管理维护：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（1）集成系统管理处理器支持：自动服务器重启、风扇监视和控制、电源监控、温度监控、启动/关闭、按序重启、本地固件更新、错误日志，可通过可视化工具提供系统未来状况的可视显示；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（2）投标产品具备带外故障检测功能，不依赖于OS，对硬件故障如CPU故障、I2C和 IPMB总线故障、内存故障、PCIe设备故障、硬盘故障进行检测和预告警；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（3）投标产品具备带外硬件故障错误数据收集，由带外管理模块进行故障分析，告警，日志导出；故障数据库支持自动定位故障源并提供解决方案；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（4）配置独立的远程管理控制端口，支持远程监控图形界面, 可实现与操作系统无关的远程对服务器的完全控制，包括远程的开机、关机、重启、虚拟软驱、虚拟光驱等操作；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（5）支持中文BIOS界面；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9.安全性：服务器管理系统支持国产自研管理芯片；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10.集成显卡：标配集成显存≥32 MB显卡；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11.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与原有虚拟化平台兼容，并支持无缝迁移及集成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;</w:t>
            </w:r>
          </w:p>
          <w:p>
            <w:pPr>
              <w:pStyle w:val="7"/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.★服务：提供所投产品3年7x10xND原厂上门硬件保修维护服务。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66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</w:t>
            </w:r>
          </w:p>
        </w:tc>
        <w:tc>
          <w:tcPr>
            <w:tcW w:w="1472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光纤交换机扩容</w:t>
            </w:r>
          </w:p>
        </w:tc>
        <w:tc>
          <w:tcPr>
            <w:tcW w:w="989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</w:t>
            </w:r>
          </w:p>
        </w:tc>
        <w:tc>
          <w:tcPr>
            <w:tcW w:w="493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套</w:t>
            </w:r>
          </w:p>
        </w:tc>
        <w:tc>
          <w:tcPr>
            <w:tcW w:w="6120" w:type="dxa"/>
          </w:tcPr>
          <w:p>
            <w:pPr>
              <w:pStyle w:val="7"/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★端口要求：8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16G FC端口激活许可。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66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</w:t>
            </w:r>
          </w:p>
        </w:tc>
        <w:tc>
          <w:tcPr>
            <w:tcW w:w="1472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存储扩容</w:t>
            </w:r>
          </w:p>
        </w:tc>
        <w:tc>
          <w:tcPr>
            <w:tcW w:w="989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493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套</w:t>
            </w:r>
          </w:p>
        </w:tc>
        <w:tc>
          <w:tcPr>
            <w:tcW w:w="6120" w:type="dxa"/>
          </w:tcPr>
          <w:p>
            <w:pPr>
              <w:pStyle w:val="7"/>
              <w:tabs>
                <w:tab w:val="left" w:pos="312"/>
              </w:tabs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pStyle w:val="7"/>
              <w:numPr>
                <w:ilvl w:val="0"/>
                <w:numId w:val="3"/>
              </w:numPr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★配置硬盘：配置容量≥1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块2.4TB 10K SAS 磁盘；</w:t>
            </w:r>
          </w:p>
          <w:p>
            <w:pPr>
              <w:pStyle w:val="7"/>
              <w:numPr>
                <w:ilvl w:val="0"/>
                <w:numId w:val="3"/>
              </w:numPr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★配置1套2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盘位的2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.5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寸磁盘扩展柜。</w:t>
            </w:r>
          </w:p>
          <w:p>
            <w:pPr>
              <w:pStyle w:val="7"/>
              <w:numPr>
                <w:ilvl w:val="0"/>
                <w:numId w:val="3"/>
              </w:numPr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★兼容性：必须兼容现有的存储系统；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6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4</w:t>
            </w:r>
          </w:p>
        </w:tc>
        <w:tc>
          <w:tcPr>
            <w:tcW w:w="1472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shd w:val="clear" w:color="auto" w:fill="FFFFFF"/>
              </w:rPr>
              <w:t>备份一体机</w:t>
            </w:r>
          </w:p>
        </w:tc>
        <w:tc>
          <w:tcPr>
            <w:tcW w:w="989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493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台</w:t>
            </w:r>
          </w:p>
        </w:tc>
        <w:tc>
          <w:tcPr>
            <w:tcW w:w="6120" w:type="dxa"/>
          </w:tcPr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2U机架式</w:t>
            </w:r>
            <w:r>
              <w:rPr>
                <w:rFonts w:hint="eastAsia" w:ascii="宋体" w:hAnsi="宋体" w:cs="宋体"/>
                <w:sz w:val="21"/>
                <w:szCs w:val="21"/>
              </w:rPr>
              <w:t>一体化</w:t>
            </w:r>
            <w:r>
              <w:rPr>
                <w:rFonts w:ascii="宋体" w:hAnsi="宋体" w:cs="宋体"/>
                <w:sz w:val="21"/>
                <w:szCs w:val="21"/>
              </w:rPr>
              <w:t>备份容灾存储设备，</w:t>
            </w:r>
            <w:r>
              <w:rPr>
                <w:rFonts w:hint="eastAsia" w:ascii="宋体" w:hAnsi="宋体" w:cs="宋体"/>
                <w:sz w:val="21"/>
                <w:szCs w:val="21"/>
              </w:rPr>
              <w:t>配置1路八核</w:t>
            </w:r>
            <w:r>
              <w:rPr>
                <w:rFonts w:ascii="宋体" w:hAnsi="宋体" w:cs="宋体"/>
                <w:sz w:val="21"/>
                <w:szCs w:val="21"/>
              </w:rPr>
              <w:t xml:space="preserve"> CPU和32GB内存</w:t>
            </w:r>
            <w:r>
              <w:rPr>
                <w:rFonts w:hint="eastAsia" w:ascii="宋体" w:hAnsi="宋体" w:cs="宋体"/>
                <w:sz w:val="21"/>
                <w:szCs w:val="21"/>
              </w:rPr>
              <w:t>；备份设备系统盘采用</w:t>
            </w:r>
            <w:r>
              <w:rPr>
                <w:rFonts w:ascii="宋体" w:hAnsi="宋体" w:cs="宋体"/>
                <w:sz w:val="21"/>
                <w:szCs w:val="21"/>
              </w:rPr>
              <w:t>2块240GB企业级SSD，通过硬件RAID1（考虑性能，不接受LVM和软RAID）保护，以确保备份系统的安全性和可用性</w:t>
            </w:r>
            <w:r>
              <w:rPr>
                <w:rFonts w:hint="eastAsia" w:ascii="宋体" w:hAnsi="宋体" w:cs="宋体"/>
                <w:sz w:val="21"/>
                <w:szCs w:val="21"/>
              </w:rPr>
              <w:t>。本次配置</w:t>
            </w:r>
            <w:r>
              <w:rPr>
                <w:rFonts w:ascii="宋体" w:hAnsi="宋体" w:cs="宋体"/>
                <w:sz w:val="21"/>
                <w:szCs w:val="21"/>
              </w:rPr>
              <w:t>6块6TB 企业级磁盘。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专业数据备份系统，具有自主知识产权，非</w:t>
            </w:r>
            <w:r>
              <w:rPr>
                <w:rFonts w:ascii="宋体" w:hAnsi="宋体" w:cs="宋体"/>
                <w:sz w:val="21"/>
                <w:szCs w:val="21"/>
              </w:rPr>
              <w:t>OEM</w:t>
            </w:r>
            <w:r>
              <w:rPr>
                <w:rFonts w:hint="eastAsia" w:ascii="宋体" w:hAnsi="宋体" w:cs="宋体"/>
                <w:sz w:val="21"/>
                <w:szCs w:val="21"/>
              </w:rPr>
              <w:t>产品，需提供备份系统的软件著作权。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一套备份与恢复系统</w:t>
            </w:r>
            <w:r>
              <w:rPr>
                <w:rFonts w:ascii="宋体" w:hAnsi="宋体" w:cs="宋体"/>
                <w:sz w:val="21"/>
                <w:szCs w:val="21"/>
              </w:rPr>
              <w:t xml:space="preserve"> , 同时支持定时备份保护、持续数据保护、云备份和异地容灾</w:t>
            </w:r>
            <w:r>
              <w:rPr>
                <w:rFonts w:hint="eastAsia" w:ascii="宋体" w:hAnsi="宋体" w:cs="宋体"/>
                <w:sz w:val="21"/>
                <w:szCs w:val="21"/>
              </w:rPr>
              <w:t>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基于</w:t>
            </w:r>
            <w:r>
              <w:rPr>
                <w:rFonts w:ascii="宋体" w:hAnsi="宋体" w:cs="宋体"/>
                <w:sz w:val="21"/>
                <w:szCs w:val="21"/>
              </w:rPr>
              <w:t>Linux 64位系统(非Windows或Unix)的专用容灾备份存储设备，减少病毒感染机率，确保系统稳定</w:t>
            </w:r>
            <w:r>
              <w:rPr>
                <w:rFonts w:hint="eastAsia" w:ascii="宋体" w:hAnsi="宋体" w:cs="宋体"/>
                <w:sz w:val="21"/>
                <w:szCs w:val="21"/>
              </w:rPr>
              <w:t>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支持系统管理员，审计管理员、安全管理员、租户、</w:t>
            </w:r>
            <w:r>
              <w:rPr>
                <w:rFonts w:ascii="宋体" w:hAnsi="宋体" w:cs="宋体"/>
                <w:sz w:val="21"/>
                <w:szCs w:val="21"/>
              </w:rPr>
              <w:t>操作员和巡检员六类角色，通过分权管理，提升备份系统的管理安全性。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</w:t>
            </w:r>
            <w:r>
              <w:rPr>
                <w:rFonts w:ascii="宋体" w:hAnsi="宋体" w:cs="宋体"/>
                <w:sz w:val="21"/>
                <w:szCs w:val="21"/>
              </w:rPr>
              <w:t>Windows、Linux服务器环境下数据库和文件备份功能，包括SQL Server、Exchange Server、AD、Oracle、Oracle RAC、DB2，MySQL，Mango DB等数据库数据备份，不限制任何数据库、任何操作系统的授权数量。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支持告警功能，依据预先设定告警条件，当系统或任务发生异常时，通过告警显示，或告警邮件通知，用户能够及时采取应对措施，规避风险。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支持对SQL Server、Oracle、MySQL等主流应用进行虚拟化容灾保护，将业务系统转换为虚拟机，非数据库日志同步功能。当生产服务器出现故障时，可通过容灾服务器的容灾虚拟机接管生产服务器业务。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</w:t>
            </w:r>
            <w:r>
              <w:rPr>
                <w:rFonts w:ascii="宋体" w:hAnsi="宋体" w:cs="宋体"/>
                <w:sz w:val="21"/>
                <w:szCs w:val="21"/>
              </w:rPr>
              <w:t>Windows文件系统的卷级备份功能，以整卷为单位进行数据备份，提升海量小文件环境下的备份效率。支持整卷恢复和单文件目录级别的细粒度恢复。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支持对</w:t>
            </w:r>
            <w:r>
              <w:rPr>
                <w:rFonts w:ascii="宋体" w:hAnsi="宋体" w:cs="宋体"/>
                <w:sz w:val="21"/>
                <w:szCs w:val="21"/>
              </w:rPr>
              <w:t>VMware vSphere、XenServer、华为Fusionsphere等主流虚拟化应用的备份，支持单机和集群部署环境。以上虚拟化应用均支持以虚拟机、资源池和整个集群为单位进行备份保护，无需在虚拟机内部安装任何代理软件。不限制任何虚拟机的</w:t>
            </w:r>
            <w:r>
              <w:rPr>
                <w:rFonts w:hint="eastAsia" w:ascii="宋体" w:hAnsi="宋体" w:cs="宋体"/>
                <w:sz w:val="21"/>
                <w:szCs w:val="21"/>
              </w:rPr>
              <w:t>备份</w:t>
            </w:r>
            <w:r>
              <w:rPr>
                <w:rFonts w:ascii="宋体" w:hAnsi="宋体" w:cs="宋体"/>
                <w:sz w:val="21"/>
                <w:szCs w:val="21"/>
              </w:rPr>
              <w:t>授权数量</w:t>
            </w:r>
            <w:r>
              <w:rPr>
                <w:rFonts w:hint="eastAsia" w:ascii="宋体" w:hAnsi="宋体" w:cs="宋体"/>
                <w:sz w:val="21"/>
                <w:szCs w:val="21"/>
              </w:rPr>
              <w:t>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支持虚拟机并发备份和恢复功能，支持在</w:t>
            </w:r>
            <w:r>
              <w:rPr>
                <w:rFonts w:ascii="宋体" w:hAnsi="宋体" w:cs="宋体"/>
                <w:sz w:val="21"/>
                <w:szCs w:val="21"/>
              </w:rPr>
              <w:t>WEB页面中设置单个备份和恢复任务中的虚拟机并发备份和恢复数量，最大可设置10个虚拟机并发数量，可大幅提高备份恢复效率。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支持对备份数据进行加密传输和存储，支持</w:t>
            </w:r>
            <w:r>
              <w:rPr>
                <w:rFonts w:ascii="宋体" w:hAnsi="宋体" w:cs="宋体"/>
                <w:sz w:val="21"/>
                <w:szCs w:val="21"/>
              </w:rPr>
              <w:t>AES256和SM4两种加密算法，提升传输过程以及存储的安全性。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支持将本地备份数据可远程复制到异地的功能，当本地发生场地灾难时，可以通过异地的备份数据进行恢复。远程复制关系建立和具体复制任务的建立，需得到目标端备份系统的确认授权。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永久增量备份功能，初次备份对所有数据进行完全备份，之后只对新增加或改动过的数据做增量备份。每个增量备份的数据副本将自动合成为完全副本，能够大幅度减少备份时间，节省备份数据所需的存储空间，且提升了恢复效率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支持所有数据恢复任务最后一步，均需要操作者在提示界面输入“</w:t>
            </w:r>
            <w:r>
              <w:rPr>
                <w:rFonts w:ascii="宋体" w:hAnsi="宋体" w:cs="宋体"/>
                <w:sz w:val="21"/>
                <w:szCs w:val="21"/>
              </w:rPr>
              <w:t>YES”确认，避免误操作。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支持备份任务的线程数配置，通过线程数调节备份速度。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支持采用云架构部署，可通过云管理软件实现对备份集群系统进行集中统一的运行监控，对备份任务的状态、资源利用情况和存储空间情况等进行监控。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配置原厂工程师安装部署和产品培训服务：包含环境调研、设备上架或软件安装、系统或应用部署和调试、试运行、系统维护指导。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配置原厂</w:t>
            </w:r>
            <w:r>
              <w:rPr>
                <w:rFonts w:ascii="宋体" w:hAnsi="宋体" w:cs="宋体"/>
                <w:sz w:val="21"/>
                <w:szCs w:val="21"/>
              </w:rPr>
              <w:t>3年硬件质保和售后服务，提供5*8小时电话支持、5*8小时网络远程支持、和邮件支持。</w:t>
            </w:r>
            <w:r>
              <w:rPr>
                <w:rFonts w:hint="eastAsia" w:ascii="宋体" w:hAnsi="宋体" w:cs="宋体"/>
                <w:sz w:val="21"/>
                <w:szCs w:val="21"/>
              </w:rPr>
              <w:t>提供原厂商的授权函和售后服务承诺函。</w:t>
            </w:r>
          </w:p>
          <w:p>
            <w:pPr>
              <w:pStyle w:val="7"/>
              <w:numPr>
                <w:ilvl w:val="0"/>
                <w:numId w:val="4"/>
              </w:numPr>
              <w:spacing w:line="5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★</w:t>
            </w:r>
            <w:r>
              <w:rPr>
                <w:rFonts w:hint="eastAsia" w:ascii="宋体" w:hAnsi="宋体" w:cs="宋体"/>
                <w:sz w:val="21"/>
                <w:szCs w:val="21"/>
              </w:rPr>
              <w:t>采购人有权要求签订合同后对供货产品进行测试</w:t>
            </w:r>
            <w:r>
              <w:rPr>
                <w:rFonts w:ascii="宋体" w:hAnsi="宋体" w:cs="宋体"/>
                <w:sz w:val="21"/>
                <w:szCs w:val="21"/>
              </w:rPr>
              <w:t>，如不符合投标文件中所应答的功能，采购人将作退货处理并要求补偿经济损失，同时追究法律责任。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66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5</w:t>
            </w:r>
          </w:p>
        </w:tc>
        <w:tc>
          <w:tcPr>
            <w:tcW w:w="1472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云软件扩容授权</w:t>
            </w:r>
          </w:p>
        </w:tc>
        <w:tc>
          <w:tcPr>
            <w:tcW w:w="989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4</w:t>
            </w:r>
          </w:p>
        </w:tc>
        <w:tc>
          <w:tcPr>
            <w:tcW w:w="493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套</w:t>
            </w:r>
          </w:p>
        </w:tc>
        <w:tc>
          <w:tcPr>
            <w:tcW w:w="6120" w:type="dxa"/>
          </w:tcPr>
          <w:p>
            <w:pPr>
              <w:pStyle w:val="7"/>
              <w:numPr>
                <w:ilvl w:val="0"/>
                <w:numId w:val="5"/>
              </w:numPr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★提供一颗高级C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PU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授权；</w:t>
            </w:r>
          </w:p>
          <w:p>
            <w:pPr>
              <w:pStyle w:val="7"/>
              <w:numPr>
                <w:ilvl w:val="0"/>
                <w:numId w:val="5"/>
              </w:numPr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★必须适用于现有云平台。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66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6</w:t>
            </w:r>
          </w:p>
        </w:tc>
        <w:tc>
          <w:tcPr>
            <w:tcW w:w="1472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/>
              </w:rPr>
              <w:t>光模块</w:t>
            </w:r>
          </w:p>
        </w:tc>
        <w:tc>
          <w:tcPr>
            <w:tcW w:w="989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10</w:t>
            </w:r>
          </w:p>
        </w:tc>
        <w:tc>
          <w:tcPr>
            <w:tcW w:w="493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套</w:t>
            </w:r>
          </w:p>
        </w:tc>
        <w:tc>
          <w:tcPr>
            <w:tcW w:w="6120" w:type="dxa"/>
          </w:tcPr>
          <w:p>
            <w:pPr>
              <w:pStyle w:val="7"/>
              <w:tabs>
                <w:tab w:val="left" w:pos="312"/>
              </w:tabs>
              <w:spacing w:line="520" w:lineRule="exac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SFP+-10G-多模模块(850nm,0.3km,LC)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766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  <w:r>
              <w:rPr>
                <w:rFonts w:ascii="宋体" w:hAnsi="宋体" w:cs="宋体"/>
                <w:sz w:val="21"/>
                <w:szCs w:val="21"/>
              </w:rPr>
              <w:t>4</w:t>
            </w:r>
          </w:p>
        </w:tc>
        <w:tc>
          <w:tcPr>
            <w:tcW w:w="1472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sz w:val="21"/>
                <w:szCs w:val="21"/>
                <w:shd w:val="clear" w:color="auto" w:fill="FFFFFF"/>
              </w:rPr>
              <w:t>技术服务</w:t>
            </w:r>
          </w:p>
        </w:tc>
        <w:tc>
          <w:tcPr>
            <w:tcW w:w="989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493" w:type="dxa"/>
            <w:vAlign w:val="center"/>
          </w:tcPr>
          <w:p>
            <w:pPr>
              <w:pStyle w:val="7"/>
              <w:spacing w:line="5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</w:t>
            </w:r>
          </w:p>
        </w:tc>
        <w:tc>
          <w:tcPr>
            <w:tcW w:w="6120" w:type="dxa"/>
          </w:tcPr>
          <w:p>
            <w:pPr>
              <w:pStyle w:val="8"/>
              <w:widowControl/>
              <w:spacing w:line="520" w:lineRule="exact"/>
              <w:ind w:firstLine="0" w:firstLineChars="0"/>
              <w:contextualSpacing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1.设备安装</w:t>
            </w:r>
          </w:p>
          <w:p>
            <w:pPr>
              <w:pStyle w:val="8"/>
              <w:widowControl/>
              <w:spacing w:line="520" w:lineRule="exact"/>
              <w:ind w:firstLine="0" w:firstLineChars="0"/>
              <w:contextualSpacing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2.虚拟化平台扩容安装</w:t>
            </w:r>
          </w:p>
          <w:p>
            <w:pPr>
              <w:pStyle w:val="8"/>
              <w:widowControl/>
              <w:spacing w:line="520" w:lineRule="exact"/>
              <w:ind w:firstLine="0" w:firstLineChars="0"/>
              <w:contextualSpacing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3.存储扩容安装</w:t>
            </w:r>
          </w:p>
          <w:p>
            <w:pPr>
              <w:pStyle w:val="8"/>
              <w:widowControl/>
              <w:spacing w:line="520" w:lineRule="exact"/>
              <w:ind w:firstLine="0" w:firstLineChars="0"/>
              <w:contextualSpacing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4.网络、安全策略配置</w:t>
            </w:r>
          </w:p>
          <w:p>
            <w:pPr>
              <w:pStyle w:val="8"/>
              <w:widowControl/>
              <w:spacing w:line="520" w:lineRule="exact"/>
              <w:ind w:firstLine="0" w:firstLineChars="0"/>
              <w:contextualSpacing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5.联调测试</w:t>
            </w:r>
          </w:p>
        </w:tc>
      </w:tr>
    </w:tbl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CB1C3B"/>
    <w:multiLevelType w:val="singleLevel"/>
    <w:tmpl w:val="8CCB1C3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989E0B6"/>
    <w:multiLevelType w:val="singleLevel"/>
    <w:tmpl w:val="C989E0B6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E9F7535D"/>
    <w:multiLevelType w:val="singleLevel"/>
    <w:tmpl w:val="E9F7535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A3825E3"/>
    <w:multiLevelType w:val="multilevel"/>
    <w:tmpl w:val="0A3825E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F0F5077"/>
    <w:multiLevelType w:val="multilevel"/>
    <w:tmpl w:val="3F0F5077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116B76"/>
    <w:rsid w:val="00085708"/>
    <w:rsid w:val="00086E0E"/>
    <w:rsid w:val="000A4C4B"/>
    <w:rsid w:val="003C3510"/>
    <w:rsid w:val="009001E4"/>
    <w:rsid w:val="2D116B76"/>
    <w:rsid w:val="35F1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NormalCharacter"/>
    <w:semiHidden/>
    <w:qFormat/>
    <w:uiPriority w:val="0"/>
  </w:style>
  <w:style w:type="paragraph" w:customStyle="1" w:styleId="7">
    <w:name w:val="BodyText"/>
    <w:basedOn w:val="1"/>
    <w:qFormat/>
    <w:uiPriority w:val="0"/>
    <w:pPr>
      <w:spacing w:line="380" w:lineRule="exact"/>
    </w:pPr>
    <w:rPr>
      <w:sz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392</Words>
  <Characters>2241</Characters>
  <Lines>18</Lines>
  <Paragraphs>5</Paragraphs>
  <TotalTime>5</TotalTime>
  <ScaleCrop>false</ScaleCrop>
  <LinksUpToDate>false</LinksUpToDate>
  <CharactersWithSpaces>2628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2021-10-27T02:22:00Z</dcterms:created>
  <dc:creator>Tendy</dc:creator>
  <cp:lastModifiedBy>Tendy</cp:lastModifiedBy>
  <dcterms:modified xsi:type="dcterms:W3CDTF">2021-11-02T09:41:58Z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