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6" w:tblpY="2118"/>
        <w:tblOverlap w:val="never"/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022"/>
        <w:gridCol w:w="4206"/>
        <w:gridCol w:w="1033"/>
        <w:gridCol w:w="1267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85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分类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产品配置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产品数量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元/年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云主机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8C16G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4C8G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4C4G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0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系统盘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数据盘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2000G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1000G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44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抗DDoS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通过内置的识别和检测分析技术检测DDoS攻击，通过流量清洗设备对DDoS 攻击流量进行过滤。及时发现网络中的各类DDoS攻击并实现对攻击流量的快速过滤，有效保护业务免遭攻击。5G防护带宽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云安全中心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要求实现安全评分、资产管理、暴力破解告警、云平台配置检查、漏洞检测、异常登录告警功能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云防火墙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集中管理互联网与移动云VPC之间的访问控制，可自定义防火墙规则，提供对用户内部网络的整体安全防护。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70" w:hRule="atLeast"/>
        </w:trPr>
        <w:tc>
          <w:tcPr>
            <w:tcW w:w="6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合计（含税）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8683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采购限价：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4552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元/年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5年（按年付费，开通满一年后，采购方有权随时单方解除合同）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订购要求：</w:t>
            </w:r>
            <w:r>
              <w:rPr>
                <w:rFonts w:hint="eastAsia" w:ascii="宋体" w:hAnsi="宋体" w:cs="Calibri" w:eastAsiaTheme="minorEastAsia"/>
                <w:color w:val="333333"/>
                <w:kern w:val="0"/>
                <w:sz w:val="21"/>
                <w:szCs w:val="21"/>
                <w:highlight w:val="none"/>
                <w:lang w:val="en-US" w:eastAsia="zh-CN" w:bidi="ar-SA"/>
              </w:rPr>
              <w:t>成交供应商于采购合同签订后3个工作日内开通服务并交付采购方使用，否则视为违约，按照协议扣除相关违约金。</w:t>
            </w:r>
          </w:p>
        </w:tc>
      </w:tr>
    </w:tbl>
    <w:p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附件2.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【</w:t>
      </w:r>
      <w:r>
        <w:rPr>
          <w:rFonts w:hint="eastAsia" w:cs="Calibri"/>
          <w:color w:val="333333"/>
          <w:sz w:val="21"/>
          <w:szCs w:val="21"/>
          <w:highlight w:val="none"/>
          <w:lang w:val="en-US" w:eastAsia="zh-CN"/>
        </w:rPr>
        <w:t>分项报价表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AAE"/>
    <w:rsid w:val="12810753"/>
    <w:rsid w:val="19C067C8"/>
    <w:rsid w:val="2AEA2F31"/>
    <w:rsid w:val="305B2F19"/>
    <w:rsid w:val="400E4983"/>
    <w:rsid w:val="44D169CC"/>
    <w:rsid w:val="5C70519A"/>
    <w:rsid w:val="6DE13A73"/>
    <w:rsid w:val="6FC607DE"/>
    <w:rsid w:val="71635E09"/>
    <w:rsid w:val="74A94FD1"/>
    <w:rsid w:val="75B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333333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2021-08-24T05:32:00Z</dcterms:created>
  <dc:creator>admin</dc:creator>
  <cp:lastModifiedBy>持续工作中</cp:lastModifiedBy>
  <dcterms:modified xsi:type="dcterms:W3CDTF">2021-11-19T09:12:01Z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