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0"/>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一、在中华人民共和国境内依法注册的独立法人或非法人组织（提供中华人民共和国境内行政管理部门登记的主体资格证书（包括但不限于营业执照、事业单位法人证书、社会团体法人登记证书等））；</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p>
    <w:p>
      <w:pPr>
        <w:pStyle w:val="10"/>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一</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未</w:t>
      </w:r>
      <w:r>
        <w:rPr>
          <w:rFonts w:hint="eastAsia" w:ascii="微软雅黑" w:hAnsi="微软雅黑" w:eastAsia="微软雅黑"/>
          <w:color w:val="000000" w:themeColor="text1"/>
          <w:lang w:eastAsia="zh-CN"/>
          <w14:textFill>
            <w14:solidFill>
              <w14:schemeClr w14:val="tx1"/>
            </w14:solidFill>
          </w14:textFill>
        </w:rPr>
        <w:t>被工商行政管理机关列入“严重违法失信企业名单（黑名单）”，提供全国信用信息公示系统（http://www.gsxt.gov.cn/index.html）截图，以网站查询结果为准；</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以下为查询结果示例</w:t>
            </w:r>
            <w:r>
              <w:rPr>
                <w:rFonts w:hint="eastAsia" w:ascii="微软雅黑" w:hAnsi="微软雅黑" w:eastAsia="微软雅黑"/>
                <w:color w:val="000000" w:themeColor="text1"/>
                <w:lang w:eastAsia="zh-CN"/>
                <w14:textFill>
                  <w14:solidFill>
                    <w14:schemeClr w14:val="tx1"/>
                  </w14:solidFill>
                </w14:textFill>
              </w:rPr>
              <w:t>）</w:t>
            </w:r>
          </w:p>
          <w:p>
            <w:pPr>
              <w:pStyle w:val="10"/>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eastAsia="zh-CN"/>
                <w14:textFill>
                  <w14:solidFill>
                    <w14:schemeClr w14:val="tx1"/>
                  </w14:solidFill>
                </w14:textFill>
              </w:rPr>
              <w:drawing>
                <wp:inline distT="0" distB="0" distL="114300" distR="114300">
                  <wp:extent cx="5267960" cy="3418840"/>
                  <wp:effectExtent l="0" t="0" r="5080" b="10160"/>
                  <wp:docPr id="2" name="图片 2" descr="微信截图_2021120213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11202130812"/>
                          <pic:cNvPicPr>
                            <a:picLocks noChangeAspect="1"/>
                          </pic:cNvPicPr>
                        </pic:nvPicPr>
                        <pic:blipFill>
                          <a:blip r:embed="rId6"/>
                          <a:stretch>
                            <a:fillRect/>
                          </a:stretch>
                        </pic:blipFill>
                        <pic:spPr>
                          <a:xfrm>
                            <a:off x="0" y="0"/>
                            <a:ext cx="5267960" cy="3418840"/>
                          </a:xfrm>
                          <a:prstGeom prst="rect">
                            <a:avLst/>
                          </a:prstGeom>
                        </pic:spPr>
                      </pic:pic>
                    </a:graphicData>
                  </a:graphic>
                </wp:inline>
              </w:drawing>
            </w:r>
          </w:p>
        </w:tc>
      </w:tr>
    </w:tbl>
    <w:p>
      <w:pPr>
        <w:pStyle w:val="10"/>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0"/>
              <w:adjustRightInd w:val="0"/>
              <w:snapToGrid w:val="0"/>
              <w:spacing w:before="156" w:beforeLines="50" w:after="156" w:afterLines="50" w:line="360" w:lineRule="auto"/>
              <w:jc w:val="both"/>
            </w:pPr>
            <w:r>
              <w:drawing>
                <wp:inline distT="0" distB="0" distL="114300" distR="114300">
                  <wp:extent cx="4320540" cy="2728595"/>
                  <wp:effectExtent l="0" t="0" r="762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4320540" cy="2728595"/>
                          </a:xfrm>
                          <a:prstGeom prst="rect">
                            <a:avLst/>
                          </a:prstGeom>
                          <a:noFill/>
                          <a:ln>
                            <a:noFill/>
                          </a:ln>
                        </pic:spPr>
                      </pic:pic>
                    </a:graphicData>
                  </a:graphic>
                </wp:inline>
              </w:drawing>
            </w:r>
          </w:p>
          <w:p>
            <w:pPr>
              <w:pStyle w:val="10"/>
              <w:adjustRightInd w:val="0"/>
              <w:snapToGrid w:val="0"/>
              <w:spacing w:before="156" w:beforeLines="50" w:after="156" w:afterLines="50" w:line="360" w:lineRule="auto"/>
              <w:jc w:val="both"/>
              <w:rPr>
                <w:rFonts w:hint="eastAsia"/>
                <w:lang w:eastAsia="zh-CN"/>
              </w:rPr>
            </w:pPr>
            <w:r>
              <w:drawing>
                <wp:inline distT="0" distB="0" distL="114300" distR="114300">
                  <wp:extent cx="4350385" cy="3783965"/>
                  <wp:effectExtent l="0" t="0" r="8255"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4350385" cy="378396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473575" cy="3611245"/>
                  <wp:effectExtent l="0" t="0" r="6985" b="6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4473575" cy="3611245"/>
                          </a:xfrm>
                          <a:prstGeom prst="rect">
                            <a:avLst/>
                          </a:prstGeom>
                          <a:noFill/>
                          <a:ln>
                            <a:noFill/>
                          </a:ln>
                        </pic:spPr>
                      </pic:pic>
                    </a:graphicData>
                  </a:graphic>
                </wp:inline>
              </w:drawing>
            </w:r>
          </w:p>
        </w:tc>
      </w:tr>
    </w:tbl>
    <w:p>
      <w:pPr>
        <w:pStyle w:val="10"/>
        <w:numPr>
          <w:ilvl w:val="0"/>
          <w:numId w:val="2"/>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提供建设行政主管部门颁发的建筑工程专业监理乙级及以上资质（或原有效期内的房屋建筑工程专业监理丙级及以上资质）；</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四、提供建设行政主管部门颁发的市政公用工程专业监理乙级及以上资质（或原有效期内的市政公用工程专业监理丙级及以上资质）；</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0"/>
        </w:numPr>
        <w:adjustRightInd w:val="0"/>
        <w:snapToGrid w:val="0"/>
        <w:spacing w:before="156" w:beforeLines="50" w:after="156" w:afterLines="50" w:line="360" w:lineRule="auto"/>
        <w:ind w:firstLine="480" w:firstLineChars="200"/>
        <w:jc w:val="both"/>
        <w:rPr>
          <w:rFonts w:hint="default"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五、提供拟派总监理工程师的建筑工程专业国家级注册监理工程师执业资格证书；</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0"/>
        </w:numPr>
        <w:adjustRightInd w:val="0"/>
        <w:snapToGrid w:val="0"/>
        <w:spacing w:before="156" w:beforeLines="50" w:after="156" w:afterLines="50" w:line="360" w:lineRule="auto"/>
        <w:ind w:firstLine="480" w:firstLineChars="200"/>
        <w:jc w:val="both"/>
        <w:rPr>
          <w:rFonts w:hint="default"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六、提供承诺函：供应商各专业人员配备齐全，满足工程建设需要（建筑工程类及市政工程类）；</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0"/>
        </w:numPr>
        <w:adjustRightInd w:val="0"/>
        <w:snapToGrid w:val="0"/>
        <w:spacing w:before="156" w:beforeLines="50" w:after="156" w:afterLines="50" w:line="360" w:lineRule="auto"/>
        <w:ind w:firstLine="480" w:firstLineChars="200"/>
        <w:jc w:val="both"/>
        <w:rPr>
          <w:rFonts w:hint="default"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七、提供有效的基本账户开户许可证或基本存款账户信息证明材料；</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3"/>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3"/>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3"/>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2"/>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3"/>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bookmarkStart w:id="0" w:name="_GoBack"/>
      <w:bookmarkEnd w:id="0"/>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6"/>
      </w:rPr>
      <w:instrText xml:space="preserve"> PAGE </w:instrText>
    </w:r>
    <w:r>
      <w:fldChar w:fldCharType="separate"/>
    </w:r>
    <w:r>
      <w:rPr>
        <w:rStyle w:val="16"/>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45DFCE"/>
    <w:multiLevelType w:val="singleLevel"/>
    <w:tmpl w:val="9E45DFCE"/>
    <w:lvl w:ilvl="0" w:tentative="0">
      <w:start w:val="2"/>
      <w:numFmt w:val="chineseCounting"/>
      <w:suff w:val="nothing"/>
      <w:lvlText w:val="（%1）"/>
      <w:lvlJc w:val="left"/>
      <w:rPr>
        <w:rFonts w:hint="eastAsia"/>
      </w:rPr>
    </w:lvl>
  </w:abstractNum>
  <w:abstractNum w:abstractNumId="1">
    <w:nsid w:val="B8D01AF5"/>
    <w:multiLevelType w:val="singleLevel"/>
    <w:tmpl w:val="B8D01AF5"/>
    <w:lvl w:ilvl="0" w:tentative="0">
      <w:start w:val="1"/>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13AA206A"/>
    <w:rsid w:val="1CFC48EF"/>
    <w:rsid w:val="1D756E18"/>
    <w:rsid w:val="22836D67"/>
    <w:rsid w:val="2CF47971"/>
    <w:rsid w:val="2F5A077C"/>
    <w:rsid w:val="32607A69"/>
    <w:rsid w:val="4D8D4D74"/>
    <w:rsid w:val="59A21062"/>
    <w:rsid w:val="5DC673A8"/>
    <w:rsid w:val="68FB2EBA"/>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0"/>
    <w:pPr>
      <w:spacing w:after="120"/>
    </w:pPr>
    <w:rPr>
      <w:rFonts w:ascii="Times New Roman" w:hAnsi="Times New Roman"/>
      <w:szCs w:val="24"/>
    </w:rPr>
  </w:style>
  <w:style w:type="paragraph" w:styleId="4">
    <w:name w:val="Body Text Indent"/>
    <w:basedOn w:val="1"/>
    <w:link w:val="24"/>
    <w:qFormat/>
    <w:uiPriority w:val="0"/>
    <w:pPr>
      <w:ind w:firstLine="830" w:firstLineChars="352"/>
    </w:pPr>
    <w:rPr>
      <w:rFonts w:ascii="仿宋_GB2312" w:hAnsi="Times New Roman" w:eastAsia="仿宋_GB2312"/>
      <w:sz w:val="32"/>
    </w:rPr>
  </w:style>
  <w:style w:type="paragraph" w:styleId="5">
    <w:name w:val="Plain Text"/>
    <w:basedOn w:val="1"/>
    <w:link w:val="20"/>
    <w:qFormat/>
    <w:uiPriority w:val="0"/>
    <w:rPr>
      <w:rFonts w:ascii="宋体" w:hAnsi="Courier New" w:cs="Courier New"/>
      <w:szCs w:val="21"/>
    </w:rPr>
  </w:style>
  <w:style w:type="paragraph" w:styleId="6">
    <w:name w:val="Date"/>
    <w:basedOn w:val="1"/>
    <w:next w:val="1"/>
    <w:link w:val="21"/>
    <w:qFormat/>
    <w:uiPriority w:val="0"/>
    <w:pPr>
      <w:ind w:left="100" w:leftChars="2500"/>
    </w:pPr>
    <w:rPr>
      <w:rFonts w:ascii="宋体" w:hAnsi="Courier New" w:cs="Courier New"/>
      <w:szCs w:val="21"/>
    </w:rPr>
  </w:style>
  <w:style w:type="paragraph" w:styleId="7">
    <w:name w:val="Balloon Text"/>
    <w:basedOn w:val="1"/>
    <w:link w:val="31"/>
    <w:semiHidden/>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1">
    <w:name w:val="Title"/>
    <w:basedOn w:val="1"/>
    <w:next w:val="1"/>
    <w:link w:val="26"/>
    <w:qFormat/>
    <w:uiPriority w:val="0"/>
    <w:pPr>
      <w:spacing w:before="240" w:after="60"/>
      <w:jc w:val="center"/>
      <w:outlineLvl w:val="0"/>
    </w:pPr>
    <w:rPr>
      <w:rFonts w:ascii="Cambria" w:hAnsi="Cambria" w:eastAsia="方正小标宋简体" w:cs="Times New Roman"/>
      <w:b/>
      <w:bCs/>
      <w:sz w:val="44"/>
      <w:szCs w:val="32"/>
    </w:rPr>
  </w:style>
  <w:style w:type="table" w:styleId="13">
    <w:name w:val="Table Grid"/>
    <w:basedOn w:val="12"/>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customStyle="1" w:styleId="17">
    <w:name w:val="标题 2 Char"/>
    <w:basedOn w:val="14"/>
    <w:link w:val="2"/>
    <w:qFormat/>
    <w:uiPriority w:val="9"/>
    <w:rPr>
      <w:rFonts w:ascii="宋体" w:hAnsi="宋体" w:eastAsia="宋体" w:cs="宋体"/>
      <w:b/>
      <w:bCs/>
      <w:kern w:val="0"/>
      <w:sz w:val="36"/>
      <w:szCs w:val="36"/>
    </w:rPr>
  </w:style>
  <w:style w:type="character" w:customStyle="1" w:styleId="18">
    <w:name w:val="页眉 Char"/>
    <w:basedOn w:val="14"/>
    <w:link w:val="9"/>
    <w:qFormat/>
    <w:uiPriority w:val="0"/>
    <w:rPr>
      <w:sz w:val="18"/>
      <w:szCs w:val="18"/>
    </w:rPr>
  </w:style>
  <w:style w:type="character" w:customStyle="1" w:styleId="19">
    <w:name w:val="页脚 Char"/>
    <w:basedOn w:val="14"/>
    <w:link w:val="8"/>
    <w:qFormat/>
    <w:uiPriority w:val="0"/>
    <w:rPr>
      <w:sz w:val="18"/>
      <w:szCs w:val="18"/>
    </w:rPr>
  </w:style>
  <w:style w:type="character" w:customStyle="1" w:styleId="20">
    <w:name w:val="纯文本 Char"/>
    <w:basedOn w:val="14"/>
    <w:link w:val="5"/>
    <w:qFormat/>
    <w:uiPriority w:val="0"/>
    <w:rPr>
      <w:rFonts w:ascii="宋体" w:hAnsi="Courier New" w:cs="Courier New"/>
      <w:szCs w:val="21"/>
    </w:rPr>
  </w:style>
  <w:style w:type="character" w:customStyle="1" w:styleId="21">
    <w:name w:val="日期 Char"/>
    <w:basedOn w:val="14"/>
    <w:link w:val="6"/>
    <w:qFormat/>
    <w:uiPriority w:val="0"/>
    <w:rPr>
      <w:rFonts w:ascii="宋体" w:hAnsi="Courier New" w:cs="Courier New"/>
      <w:szCs w:val="21"/>
    </w:rPr>
  </w:style>
  <w:style w:type="character" w:customStyle="1" w:styleId="22">
    <w:name w:val="日期 Char1"/>
    <w:basedOn w:val="14"/>
    <w:semiHidden/>
    <w:qFormat/>
    <w:uiPriority w:val="99"/>
  </w:style>
  <w:style w:type="character" w:customStyle="1" w:styleId="23">
    <w:name w:val="纯文本 Char1"/>
    <w:basedOn w:val="14"/>
    <w:semiHidden/>
    <w:qFormat/>
    <w:uiPriority w:val="99"/>
    <w:rPr>
      <w:rFonts w:ascii="宋体" w:hAnsi="Courier New" w:eastAsia="宋体" w:cs="Courier New"/>
      <w:szCs w:val="21"/>
    </w:rPr>
  </w:style>
  <w:style w:type="character" w:customStyle="1" w:styleId="24">
    <w:name w:val="正文文本缩进 Char"/>
    <w:basedOn w:val="14"/>
    <w:link w:val="4"/>
    <w:qFormat/>
    <w:uiPriority w:val="0"/>
    <w:rPr>
      <w:rFonts w:ascii="仿宋_GB2312" w:hAnsi="Times New Roman" w:eastAsia="仿宋_GB2312"/>
      <w:sz w:val="32"/>
    </w:rPr>
  </w:style>
  <w:style w:type="character" w:customStyle="1" w:styleId="25">
    <w:name w:val="正文文本 Char"/>
    <w:basedOn w:val="14"/>
    <w:link w:val="3"/>
    <w:qFormat/>
    <w:uiPriority w:val="0"/>
    <w:rPr>
      <w:rFonts w:ascii="Times New Roman" w:hAnsi="Times New Roman"/>
      <w:szCs w:val="24"/>
    </w:rPr>
  </w:style>
  <w:style w:type="character" w:customStyle="1" w:styleId="26">
    <w:name w:val="标题 Char1"/>
    <w:basedOn w:val="14"/>
    <w:link w:val="11"/>
    <w:qFormat/>
    <w:uiPriority w:val="0"/>
    <w:rPr>
      <w:rFonts w:ascii="Cambria" w:hAnsi="Cambria" w:eastAsia="方正小标宋简体" w:cs="Times New Roman"/>
      <w:b/>
      <w:bCs/>
      <w:sz w:val="44"/>
      <w:szCs w:val="32"/>
    </w:rPr>
  </w:style>
  <w:style w:type="character" w:customStyle="1" w:styleId="27">
    <w:name w:val="标题 Char"/>
    <w:basedOn w:val="14"/>
    <w:qFormat/>
    <w:uiPriority w:val="10"/>
    <w:rPr>
      <w:rFonts w:eastAsia="宋体" w:asciiTheme="majorHAnsi" w:hAnsiTheme="majorHAnsi" w:cstheme="majorBidi"/>
      <w:b/>
      <w:bCs/>
      <w:sz w:val="32"/>
      <w:szCs w:val="32"/>
    </w:rPr>
  </w:style>
  <w:style w:type="character" w:customStyle="1" w:styleId="28">
    <w:name w:val="正文文本缩进 Char1"/>
    <w:basedOn w:val="14"/>
    <w:semiHidden/>
    <w:qFormat/>
    <w:uiPriority w:val="99"/>
  </w:style>
  <w:style w:type="character" w:customStyle="1" w:styleId="29">
    <w:name w:val="正文文本 Char1"/>
    <w:basedOn w:val="14"/>
    <w:semiHidden/>
    <w:qFormat/>
    <w:uiPriority w:val="99"/>
  </w:style>
  <w:style w:type="paragraph" w:customStyle="1" w:styleId="30">
    <w:name w:val="1 Char"/>
    <w:basedOn w:val="1"/>
    <w:semiHidden/>
    <w:qFormat/>
    <w:uiPriority w:val="0"/>
    <w:rPr>
      <w:rFonts w:ascii="Times New Roman" w:hAnsi="Times New Roman" w:eastAsia="宋体" w:cs="Times New Roman"/>
      <w:szCs w:val="24"/>
    </w:rPr>
  </w:style>
  <w:style w:type="character" w:customStyle="1" w:styleId="31">
    <w:name w:val="批注框文本 Char"/>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1</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关宇恒</cp:lastModifiedBy>
  <dcterms:modified xsi:type="dcterms:W3CDTF">2021-12-09T08:19:01Z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