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附件</w:t>
      </w:r>
      <w:r>
        <w:rPr>
          <w:rFonts w:hint="eastAsia" w:ascii="宋体" w:hAnsi="宋体" w:cs="宋体"/>
          <w:sz w:val="30"/>
          <w:szCs w:val="30"/>
          <w:highlight w:val="none"/>
          <w:lang w:val="en-US" w:eastAsia="zh-CN"/>
        </w:rPr>
        <w:t>2</w:t>
      </w:r>
      <w:r>
        <w:rPr>
          <w:rFonts w:hint="eastAsia" w:ascii="宋体" w:hAnsi="宋体" w:eastAsia="宋体" w:cs="宋体"/>
          <w:sz w:val="30"/>
          <w:szCs w:val="30"/>
          <w:highlight w:val="none"/>
          <w:lang w:val="en-US" w:eastAsia="zh-CN"/>
        </w:rPr>
        <w:t>：</w:t>
      </w:r>
      <w:r>
        <w:rPr>
          <w:rFonts w:hint="eastAsia" w:ascii="宋体" w:hAnsi="宋体" w:cs="宋体"/>
          <w:sz w:val="30"/>
          <w:szCs w:val="30"/>
          <w:highlight w:val="none"/>
          <w:lang w:val="en-US" w:eastAsia="zh-CN"/>
        </w:rPr>
        <w:t>采购清单</w:t>
      </w:r>
    </w:p>
    <w:tbl>
      <w:tblPr>
        <w:tblStyle w:val="10"/>
        <w:tblW w:w="9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796"/>
        <w:gridCol w:w="1463"/>
        <w:gridCol w:w="741"/>
        <w:gridCol w:w="701"/>
        <w:gridCol w:w="5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品牌型号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经纬 M300 RTK</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标准配置：                                                                                                                        飞行器机身*1；带屏遥控器行业版*1；TB60智能飞行电池*2；WB37智能电池*1；桨叶*4；起落架*2；手提箱*1；维修工具*1；BS60智能电池箱*1；视觉标定板*1；规划软件*1；制图软件*1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◆飞行器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尺寸（展开，不包含桨叶）：810×670×430 mm（长×宽×高）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尺寸（折叠，包含桨叶）：430×420×430 mm（长×宽×高）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对称电机轴距895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重量（含下置单云台支架）：空机重量（不含电池）：3.6 kg；空机重量（含双电池）：6.3 kg；最大载重2.7 kg；最大起飞重量9 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最大旋转角速度俯仰轴：300°/s 航向轴：100°/s；最大俯仰角度30° （P模式且前视视觉系统启用：25°）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最大水平飞行速度23 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最大飞行海拔高度：5000 m（2110 桨叶，起飞重量≤7 kg）/ 7000 m（2195 高原静音桨叶，起飞重量≤7 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最大可承受风速15 m/s （7级风）；最大飞行时间55 min；IP 防护等级IP45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GNSSGPS+GLONASS+BeiDou+Galileo</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工作环境温度-20°C 至 50°C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◆遥控器：操控无人机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工作频率2.4000-2.4835 GHz5.725-5.850 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最大信号有效距离（无干扰、无遮挡）NCC/FCC：15 kmCE/MIC：8 kmSRRC：8 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外置电池容量：4920 mAh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电压：7.6 V；电池类型：LiPo；能量：37.39 Wh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实现双控控制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◆视觉系统：无人机上配置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障碍物感知范围前后左右：0.7-40 m上下：0.6-30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◆红外感知系统：无人机上配置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障碍物感知范围0.1-8 m FOV30°（±15°）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使用环境漫反射，大尺寸，高反射率（反射率&gt;10%）障碍物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◆上下补光灯：无人机上配置，有效照明距离5 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◆FPV摄像头：无人机上配置，分辨率960p，FOV145°，帧率30 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◆智能飞行电池：容量5935 mAh；电压52.8 V；电池类型LiPo 12S；能量274 Wh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电池整体重量约 1.35 kg，工作环境温度-20℃ 至 50℃，充电环境温度-20°C 至 40°C（当环境温度低于 5°C时，电池会启动自加热功能，在低温环境下充电有可能会降低电池使用寿命）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外形尺寸501×403×252 mm；空箱重量8.37 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输入电压100-120 VAC，50-60 Hz / 220-240 VAC，50-60 Hz；最大输入功率1070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输出功率100-120 V：750 W220-240 V：992 W；工作环境温度-20℃ 至 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要配备配套规划软件：常规航线仿地航线仿面航线区域航线区域仿地纵向航线带状航线带状仿地立面航线折线航线环绕仿地单点环绕视频航线精细仿地立面等距测绘电力巡检航线多种航线任务，加载模型、加载正射影像、查看地形数据、点线面矢量绘制、三维量测、表面积计算、方量计算、重投影、生成TFW、提取图斑、计算重叠度、地面点坐标反查，软件内拥有全国高清卫星底图图层，提供多种DEM、DSM数据，能够在软件内规划kml，查看地形，标注测量，还能够检查成片的POS数据，导入导出POS信息，TIFF图像重投影等多种测绘用功能。支持多台不同PC端进行使用。永久版，免费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需要配备图形处理软件：支持三维场景的飞行浏览和多视角浏览。用户可控制、修改浏览线路和飞行速度。地形夸张：方便地令地形数据的地形起伏效果放大或缩小不同的倍数。自定义提取高程点：自定义设置采样间距和采样点数来提取高程点。自定义提取等高线：可以直接在球上进行自定义设置取点密度和等高线间距来提取等高线，也可根据自有的高程数据提取。云端数据：用户登录账户后，绘制点、线、面数据，同步上传到云端。在pc端、安卓端都可以从云端同步到本地，实现数据的云存储和云共享。在线数据发布服务：提供了配套的在线数据发布服务，可以实现海量数据的互联网发布服务。有一个连接服务器的功能，通过这个功能，可以直接通过网络地址连接到远程的服务器，从而实现一份数据，多客户端共享。照片生成路径功能：根据出游拍摄的照片生成轨迹，在地图上直接显示出行路线。GPS文件格式转换：可以把几乎各种格式的GPS文件转换为通用的kml格式。可以把常用的GPS数据格式转换为更为通用的kml格式。支持的格式包括*.gpx、*.gdb、*.trl、*.csv、*.loc、*.wpt、*.plt、*.pcx、*.log、*.loc等等。展点：可以将txt格式的坐标文件转换成kml进行展示，将经纬度坐标(Longitude，Latitude，Elevation，name格式)的文本的内容转换为kml。三维特效：可以添加各种粒子系统的演示效果，喷泉、火焰、水面效果等。支持多台不同PC端进行使用，永久版，免费升级。                                     ◆</w:t>
            </w:r>
            <w:r>
              <w:rPr>
                <w:rFonts w:hint="eastAsia" w:ascii="宋体" w:hAnsi="宋体" w:eastAsia="宋体" w:cs="宋体"/>
                <w:i w:val="0"/>
                <w:color w:val="000000"/>
                <w:kern w:val="0"/>
                <w:sz w:val="18"/>
                <w:szCs w:val="18"/>
                <w:u w:val="none"/>
                <w:lang w:val="en-US" w:eastAsia="zh-CN" w:bidi="ar"/>
              </w:rPr>
              <w:t xml:space="preserve"> 支持基于CAD的DWG格式矢量图层导入和绘制,支持不少于六种的网络图层加载、基于本地信息或网络信息的POI加载、分辨率不低于12.5m的高程图加载、20种在线地图图源。                                                                                                                  </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 xml:space="preserve"> 软件需支持ETOPO DEM，可支持分辨率达到1.8km、GMTED2010DEM最高分辨率不低于250m、SRTM3 DEM 最高分辨率不低于90m、ASTER GDEM V2 最高分辨率不低于30m，支持多格式的DEM加载和显示，至少支持F、IMG、GRD等格式;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◆需提供大疆厂家在采购方所在地市的认证经销商证书（提供行业解决方案的授权证书)，证明提供本地化服务；                                     ◆提供企业信用评价与公示平台可查的AAA级信用企业资质证明；                                                  ◆无人机故障发生当日内，可提供完全相同的备用机型进行替换使用说明函；                                                           ◆需要</w:t>
            </w:r>
            <w:r>
              <w:rPr>
                <w:rFonts w:hint="eastAsia" w:ascii="宋体" w:hAnsi="宋体" w:eastAsia="宋体" w:cs="宋体"/>
                <w:i w:val="0"/>
                <w:iCs w:val="0"/>
                <w:color w:val="000000"/>
                <w:kern w:val="0"/>
                <w:sz w:val="18"/>
                <w:szCs w:val="18"/>
                <w:highlight w:val="none"/>
                <w:u w:val="none"/>
                <w:lang w:val="en-US" w:eastAsia="zh-CN" w:bidi="ar"/>
              </w:rPr>
              <w:t>提供大疆官方教练证书，</w:t>
            </w:r>
            <w:r>
              <w:rPr>
                <w:rFonts w:hint="eastAsia" w:ascii="宋体" w:hAnsi="宋体" w:eastAsia="宋体" w:cs="宋体"/>
                <w:i w:val="0"/>
                <w:iCs w:val="0"/>
                <w:color w:val="000000"/>
                <w:kern w:val="0"/>
                <w:sz w:val="18"/>
                <w:szCs w:val="18"/>
                <w:u w:val="none"/>
                <w:lang w:val="en-US" w:eastAsia="zh-CN" w:bidi="ar"/>
              </w:rPr>
              <w:t>并由持证教练本人进行本次的培训，如更换持证教练进行培训，定为虚假响应招标文件，取消中标人资格，本次交付需提供至少10天的飞行理论及实操的培训；                                                                                         ◆无人机同类供货业绩不少于5份，且各采购方为大型企事业单位用户，需供货合同 （采购方为小型企业及个体用户合同无效），合同需要提供原件</w:t>
            </w:r>
            <w:r>
              <w:rPr>
                <w:rFonts w:hint="eastAsia" w:ascii="宋体" w:hAnsi="宋体" w:eastAsia="宋体" w:cs="宋体"/>
                <w:i w:val="0"/>
                <w:iCs w:val="0"/>
                <w:color w:val="auto"/>
                <w:kern w:val="0"/>
                <w:sz w:val="18"/>
                <w:szCs w:val="18"/>
                <w:u w:val="none"/>
                <w:lang w:val="en-US" w:eastAsia="zh-CN" w:bidi="ar"/>
              </w:rPr>
              <w:t>；                                                                            ◆</w:t>
            </w:r>
            <w:r>
              <w:rPr>
                <w:rFonts w:hint="eastAsia" w:ascii="宋体" w:hAnsi="宋体" w:eastAsia="宋体" w:cs="宋体"/>
                <w:color w:val="auto"/>
                <w:sz w:val="18"/>
                <w:szCs w:val="18"/>
              </w:rPr>
              <w:t>为保证</w:t>
            </w:r>
            <w:r>
              <w:rPr>
                <w:rFonts w:hint="eastAsia" w:ascii="宋体" w:eastAsia="宋体" w:cs="宋体"/>
                <w:color w:val="auto"/>
                <w:sz w:val="18"/>
                <w:szCs w:val="18"/>
                <w:lang w:val="en-US" w:eastAsia="zh-CN"/>
              </w:rPr>
              <w:t>成交供应商</w:t>
            </w:r>
            <w:r>
              <w:rPr>
                <w:rFonts w:hint="eastAsia" w:ascii="宋体" w:hAnsi="宋体" w:eastAsia="宋体" w:cs="宋体"/>
                <w:color w:val="auto"/>
                <w:sz w:val="18"/>
                <w:szCs w:val="18"/>
              </w:rPr>
              <w:t>实质性响应</w:t>
            </w:r>
            <w:r>
              <w:rPr>
                <w:rFonts w:hint="eastAsia" w:ascii="宋体" w:eastAsia="宋体" w:cs="宋体"/>
                <w:color w:val="auto"/>
                <w:sz w:val="18"/>
                <w:szCs w:val="18"/>
                <w:lang w:val="en-US" w:eastAsia="zh-CN"/>
              </w:rPr>
              <w:t>本项目需求</w:t>
            </w:r>
            <w:r>
              <w:rPr>
                <w:rFonts w:hint="eastAsia" w:ascii="宋体" w:hAnsi="宋体" w:eastAsia="宋体" w:cs="宋体"/>
                <w:color w:val="auto"/>
                <w:sz w:val="18"/>
                <w:szCs w:val="18"/>
              </w:rPr>
              <w:t>，</w:t>
            </w:r>
            <w:r>
              <w:rPr>
                <w:rFonts w:hint="eastAsia" w:ascii="宋体" w:eastAsia="宋体" w:cs="宋体"/>
                <w:color w:val="auto"/>
                <w:sz w:val="18"/>
                <w:szCs w:val="18"/>
                <w:lang w:val="en-US" w:eastAsia="zh-CN"/>
              </w:rPr>
              <w:t>成交供应商</w:t>
            </w:r>
            <w:r>
              <w:rPr>
                <w:rFonts w:hint="eastAsia" w:ascii="宋体" w:hAnsi="宋体" w:eastAsia="宋体" w:cs="宋体"/>
                <w:color w:val="auto"/>
                <w:sz w:val="18"/>
                <w:szCs w:val="18"/>
              </w:rPr>
              <w:t>需在</w:t>
            </w:r>
            <w:r>
              <w:rPr>
                <w:rFonts w:hint="eastAsia" w:ascii="宋体" w:eastAsia="宋体" w:cs="宋体"/>
                <w:color w:val="auto"/>
                <w:sz w:val="18"/>
                <w:szCs w:val="18"/>
                <w:lang w:val="en-US" w:eastAsia="zh-CN"/>
              </w:rPr>
              <w:t>成交</w:t>
            </w:r>
            <w:r>
              <w:rPr>
                <w:rFonts w:hint="eastAsia" w:ascii="宋体" w:hAnsi="宋体" w:eastAsia="宋体" w:cs="宋体"/>
                <w:color w:val="auto"/>
                <w:sz w:val="18"/>
                <w:szCs w:val="18"/>
              </w:rPr>
              <w:t>公</w:t>
            </w:r>
            <w:r>
              <w:rPr>
                <w:rFonts w:hint="eastAsia" w:ascii="宋体" w:hAnsi="宋体" w:eastAsia="宋体" w:cs="宋体"/>
                <w:color w:val="auto"/>
                <w:sz w:val="18"/>
                <w:szCs w:val="18"/>
                <w:lang w:val="en-US" w:eastAsia="zh-CN"/>
              </w:rPr>
              <w:t>示</w:t>
            </w:r>
            <w:r>
              <w:rPr>
                <w:rFonts w:hint="eastAsia" w:ascii="宋体" w:eastAsia="宋体" w:cs="宋体"/>
                <w:color w:val="auto"/>
                <w:sz w:val="18"/>
                <w:szCs w:val="18"/>
                <w:lang w:val="en-US" w:eastAsia="zh-CN"/>
              </w:rPr>
              <w:t>结束</w:t>
            </w:r>
            <w:r>
              <w:rPr>
                <w:rFonts w:hint="eastAsia" w:ascii="宋体" w:hAnsi="宋体" w:eastAsia="宋体" w:cs="宋体"/>
                <w:color w:val="auto"/>
                <w:sz w:val="18"/>
                <w:szCs w:val="18"/>
              </w:rPr>
              <w:t>后1个工作日内提供</w:t>
            </w:r>
            <w:r>
              <w:rPr>
                <w:rFonts w:hint="eastAsia" w:ascii="宋体" w:hAnsi="宋体" w:eastAsia="宋体" w:cs="宋体"/>
                <w:color w:val="auto"/>
                <w:sz w:val="18"/>
                <w:szCs w:val="18"/>
                <w:lang w:val="en-US" w:eastAsia="zh-CN"/>
              </w:rPr>
              <w:t>大疆无人机及无人机</w:t>
            </w:r>
            <w:r>
              <w:rPr>
                <w:rFonts w:hint="eastAsia" w:ascii="宋体" w:eastAsia="宋体" w:cs="宋体"/>
                <w:color w:val="auto"/>
                <w:sz w:val="18"/>
                <w:szCs w:val="18"/>
                <w:lang w:val="en-US" w:eastAsia="zh-CN"/>
              </w:rPr>
              <w:t>挂载云台、雷达360</w:t>
            </w:r>
            <w:r>
              <w:rPr>
                <w:rFonts w:hint="eastAsia" w:ascii="宋体" w:hAnsi="宋体" w:eastAsia="宋体" w:cs="宋体"/>
                <w:color w:val="auto"/>
                <w:sz w:val="18"/>
                <w:szCs w:val="18"/>
                <w:lang w:val="en-US" w:eastAsia="zh-CN"/>
              </w:rPr>
              <w:t>参数内要求</w:t>
            </w:r>
            <w:r>
              <w:rPr>
                <w:rFonts w:hint="eastAsia" w:ascii="宋体" w:eastAsia="宋体" w:cs="宋体"/>
                <w:color w:val="auto"/>
                <w:sz w:val="18"/>
                <w:szCs w:val="18"/>
                <w:lang w:val="en-US" w:eastAsia="zh-CN"/>
              </w:rPr>
              <w:t>的</w:t>
            </w:r>
            <w:r>
              <w:rPr>
                <w:rFonts w:hint="eastAsia" w:ascii="宋体" w:hAnsi="宋体" w:eastAsia="宋体" w:cs="宋体"/>
                <w:color w:val="auto"/>
                <w:sz w:val="18"/>
                <w:szCs w:val="18"/>
              </w:rPr>
              <w:t>样机及软件平台</w:t>
            </w:r>
            <w:r>
              <w:rPr>
                <w:rFonts w:hint="eastAsia" w:ascii="宋体" w:eastAsia="宋体" w:cs="宋体"/>
                <w:color w:val="auto"/>
                <w:sz w:val="18"/>
                <w:szCs w:val="18"/>
                <w:lang w:val="en-US" w:eastAsia="zh-CN"/>
              </w:rPr>
              <w:t>进行</w:t>
            </w:r>
            <w:r>
              <w:rPr>
                <w:rFonts w:hint="eastAsia" w:ascii="宋体" w:hAnsi="宋体" w:eastAsia="宋体" w:cs="宋体"/>
                <w:color w:val="auto"/>
                <w:sz w:val="18"/>
                <w:szCs w:val="18"/>
              </w:rPr>
              <w:t>演示，如样机或演示结果与</w:t>
            </w:r>
            <w:r>
              <w:rPr>
                <w:rFonts w:hint="eastAsia" w:ascii="宋体" w:eastAsia="宋体" w:cs="宋体"/>
                <w:color w:val="auto"/>
                <w:sz w:val="18"/>
                <w:szCs w:val="18"/>
                <w:lang w:val="en-US" w:eastAsia="zh-CN"/>
              </w:rPr>
              <w:t>本项目需求</w:t>
            </w:r>
            <w:r>
              <w:rPr>
                <w:rFonts w:hint="eastAsia" w:ascii="宋体" w:hAnsi="宋体" w:eastAsia="宋体" w:cs="宋体"/>
                <w:color w:val="auto"/>
                <w:sz w:val="18"/>
                <w:szCs w:val="18"/>
              </w:rPr>
              <w:t>不符，采购方有权拒绝与该</w:t>
            </w:r>
            <w:r>
              <w:rPr>
                <w:rFonts w:hint="eastAsia" w:ascii="宋体" w:eastAsia="宋体" w:cs="宋体"/>
                <w:color w:val="auto"/>
                <w:sz w:val="18"/>
                <w:szCs w:val="18"/>
                <w:lang w:val="en-US" w:eastAsia="zh-CN"/>
              </w:rPr>
              <w:t>成交供应商</w:t>
            </w:r>
            <w:r>
              <w:rPr>
                <w:rFonts w:hint="eastAsia" w:ascii="宋体" w:hAnsi="宋体" w:eastAsia="宋体" w:cs="宋体"/>
                <w:color w:val="auto"/>
                <w:sz w:val="18"/>
                <w:szCs w:val="18"/>
              </w:rPr>
              <w:t>签订采购合同，同时不予退还投标保证金，并取消其</w:t>
            </w:r>
            <w:r>
              <w:rPr>
                <w:rFonts w:hint="eastAsia" w:ascii="宋体" w:eastAsia="宋体" w:cs="宋体"/>
                <w:color w:val="auto"/>
                <w:sz w:val="18"/>
                <w:szCs w:val="18"/>
                <w:lang w:val="en-US" w:eastAsia="zh-CN"/>
              </w:rPr>
              <w:t>成交</w:t>
            </w:r>
            <w:r>
              <w:rPr>
                <w:rFonts w:hint="eastAsia" w:ascii="宋体" w:hAnsi="宋体" w:eastAsia="宋体" w:cs="宋体"/>
                <w:color w:val="auto"/>
                <w:sz w:val="18"/>
                <w:szCs w:val="18"/>
              </w:rPr>
              <w:t>资格， 顺延</w:t>
            </w:r>
            <w:r>
              <w:rPr>
                <w:rFonts w:hint="eastAsia" w:ascii="宋体" w:eastAsia="宋体" w:cs="宋体"/>
                <w:color w:val="auto"/>
                <w:sz w:val="18"/>
                <w:szCs w:val="18"/>
                <w:lang w:val="en-US" w:eastAsia="zh-CN"/>
              </w:rPr>
              <w:t>至下一名成交候选供应商</w:t>
            </w:r>
            <w:r>
              <w:rPr>
                <w:rFonts w:hint="eastAsia" w:ascii="宋体" w:hAnsi="宋体" w:eastAsia="宋体" w:cs="宋体"/>
                <w:color w:val="auto"/>
                <w:sz w:val="18"/>
                <w:szCs w:val="18"/>
              </w:rPr>
              <w:t>进行演示，样机及演示结果满足</w:t>
            </w:r>
            <w:r>
              <w:rPr>
                <w:rFonts w:hint="eastAsia" w:ascii="宋体" w:eastAsia="宋体" w:cs="宋体"/>
                <w:color w:val="auto"/>
                <w:sz w:val="18"/>
                <w:szCs w:val="18"/>
                <w:lang w:val="en-US" w:eastAsia="zh-CN"/>
              </w:rPr>
              <w:t>本项目需求</w:t>
            </w:r>
            <w:r>
              <w:rPr>
                <w:rFonts w:hint="eastAsia" w:ascii="宋体" w:hAnsi="宋体" w:eastAsia="宋体" w:cs="宋体"/>
                <w:color w:val="auto"/>
                <w:sz w:val="18"/>
                <w:szCs w:val="18"/>
              </w:rPr>
              <w:t>并通过采购方</w:t>
            </w:r>
            <w:r>
              <w:rPr>
                <w:rFonts w:hint="eastAsia" w:ascii="宋体" w:eastAsia="宋体" w:cs="宋体"/>
                <w:color w:val="auto"/>
                <w:sz w:val="18"/>
                <w:szCs w:val="18"/>
                <w:lang w:val="en-US" w:eastAsia="zh-CN"/>
              </w:rPr>
              <w:t>确认</w:t>
            </w:r>
            <w:r>
              <w:rPr>
                <w:rFonts w:hint="eastAsia" w:ascii="宋体" w:hAnsi="宋体" w:eastAsia="宋体" w:cs="宋体"/>
                <w:color w:val="auto"/>
                <w:sz w:val="18"/>
                <w:szCs w:val="18"/>
              </w:rPr>
              <w:t>后，确定为</w:t>
            </w:r>
            <w:r>
              <w:rPr>
                <w:rFonts w:hint="eastAsia" w:ascii="宋体" w:eastAsia="宋体" w:cs="宋体"/>
                <w:color w:val="auto"/>
                <w:sz w:val="18"/>
                <w:szCs w:val="18"/>
                <w:lang w:val="en-US" w:eastAsia="zh-CN"/>
              </w:rPr>
              <w:t>成交供应商</w:t>
            </w:r>
            <w:r>
              <w:rPr>
                <w:rFonts w:hint="eastAsia" w:ascii="宋体" w:eastAsia="宋体" w:cs="宋体"/>
                <w:color w:val="auto"/>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无人机挂载激光雷达</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禅思L1激光雷达云台</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◆总体参数：产品名称DJI L1尺寸152×110×169mm重量930±10g系统功耗30W（典型值），60W（最大值）防护等级IP54支持机型经纬 M300 RTK工作温度-20℃ 至 50℃（测绘相机工作温度为 0℃至 50℃）存储温度-20℃ 至 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◆系统性能：量程450m @ 80%，0 klx；190m @ 10%，100 klx点云数据率单回波：最大240000点/秒；多回波：最大480000点/秒系统精度（RMS 1σ）1平面精度：10cm @ 50m；高程精度：5cm @ 50m实时点云上色模式反射率，高度，距离，真彩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◆激光雷达：测距精度（RMS 1σ）23cm @ 100m最多支持回波数量3扫描模式非重复扫描，重复扫描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FOV重复扫描：70.4°×4.5°；非重复扫描：70.4°×77.2°激光安全等级Class 1 （IEC 60825-1:2014）（人眼安全）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◆惯导系统：IMU更新频率200Hz加速度计量程±8g角速度计量程±2000dps航向精度（RMS 1σ）1实时：0.3°，后处理：0.15°俯仰/横滚精度（RMS 1σ）1实时：0.05°，后处理：0.025°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◆辅助定位相机：分辨率1280×960FOV95°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◆测绘相机传感器尺寸1 英寸有效像素2000 万图像尺寸5472×3078（16:9）；4864×3648（4:3）；5472×3648（3:2）焦距8.8mm / 24mm（等效）快门速度机械快门：1/2000 - 8 秒；电子快门：1/8000 - 8 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ISO视频：100 - 3200（自动），100 - 6400（手动）；照片：100 - 3200（自动），100 - 12800（手动）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光圈f/2.8 - f/11支持文件系统FAT（≤32 GB）；exFAT（&gt;32 GB）图片格式JPEG视频格式MOV，MP4录像分辨率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H.264，4K：3840×2160 30p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◆云台参数稳定系统3 轴（俯仰，横滚，平移）角度抖动量0.01°安装方式DJI SKYPORT 快拆可控转动范围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俯仰：-120°至+30°；平移：±320°工作模式跟随/自由/回中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◆数据存储原始数据存储照片/IMU/点云数据存储/GNSS 数据/标定文件点云数据存储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实时建模数据存储支持的存储卡类型microSD 卡；最大支持 256 GB 容量，顺序写入速度 ≥50 MB/s, 传输速度达到 UHS-I Speed Grade 3，请使用指定推荐用卡。推荐存储卡类型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SanDisk Extreme 128GB UHS-I Speed Grade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SanDisk Extreme 64GB UHS-I Speed Grade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SanDisk Extreme 32GB UHS-I Speed Grade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SanDisk Extreme 16GB UHS-I Speed Grade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Lexar 1066x 128GB U3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Samsung EVO Plus 128GB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1"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无人机电池、遥控器电池</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TB60智能飞行电池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组（一组两块）</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◆智能电池的容量达 5,935 mAh。支持双电池热替换，可保障经纬Matrice 300 RTK飞机空载55分钟飞行。容量：5935 mAh重量：约1.35kg电压：52.8 V工作温度：-20℃至50℃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遥控器电池WB37</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◆电压：7.6 V电池类型：LiPo能量：37.39 Wh充电时间（使用 BS60 智能电池箱）：70 分钟（15°C 至 45°C）；130 分钟（0°C 至 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无人机信息处理软件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大疆智图测绘版永久</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◆模型重建：导入航拍原图，输出高精度二维正射影像与实景三维模型。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◆实时重建：在飞行过程中实时生成二维正射影像或三维模型，实现边飞边出图。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◆激光雷达数据处理：配合DJI L1，一键式输出高精度真彩点云成果。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◆精细化巡检：基于模型或点云设置拍摄目标，自动生成拍摄航线，实现巡检作业流程自动化。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◆模型应用：轻松测量目标对象的坐标、距离、面积、体积等多种关键数据，并可对测量结果进行命名、导出等操作。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无人机及云台服务与保障</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M300rtk行业无忧基础版</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一年两次的换新机会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M300rtk行业无忧续享基础版</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次年1次换新机会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L1激光云台行业无忧基础版</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一年两次的换新机会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L1激光云台行业无忧续基础版</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次年1次换新机会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RTK测量仪(1+1模式）</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华测X1+华测X6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◆6部X1,6部X6,X1和X6组建6套1+1测量模式卫星跟踪 GPS+BDS+Glonass+galileo+QZSS，支持北斗三代，实现5星16频操作系统Linux系统初始化时间①＜5s （典型值）初始化可靠性&gt;99.99%接收机外观按键1个动/静态切换键1个电源键指示灯1个差分信号灯，1个卫星灯显示屏1个LCD显示屏标称精度②静态精度平面精度：±(2.5+0.5×10-6×D) mm高程精度：±(5+0.5×10-6×D) mmRTK精度平面精度：±(8 + 1×10-6×D) mm  高程精度：±(15+ 1×10-6×D) mm单机精度1.5m码差分精度③平面精度：±(0.25+ 1×10-6×D) m高程精度：±(0.5+ 1×10-6×D) m电气化参数电池可拆卸14000mAh锂电池，支持基站12+小时续航外接电源主机可直流电源供电，可220V交流电源供电，可通过电台直接给主机供电（9-24）V DC物理特性尺寸Φ160.54 mm*103 mm重量1.73kg材质镁合金AZ91D机身工作温度-45℃~+85℃存储温度-55℃~+85℃防水防尘IP68级冲击震动IK08级防跌落抗2米自由落体跌落数据通讯I/O接口1个外置UHF天线接口1个七针数据口接口，支持供电，差分数据输出1个nano sim卡槽内置esim，出厂赠送三年测绘用流量电台内置收发一体电台，功率：最高可达5W网络模块支持4G全网通蓝牙BT 4.0，向下兼容BT2.x，协议支持Win/Android/IOS系统Wi-Fi802.11 b/g/nNFC支持NFC闪连数据输出输出格式NMEA 0183、二进制码输出方式BT/Wi-Fi/电台/串口静态存储存储格式可直接记录HCN、HRC、RINEX存储空间标配8GB存储器下载方式FTP远程推送+本地一键下载，HTTP下载接收机超级双发支持电台+网络两路数据同时差分，提供全面数据服务一键启动华测国内首创数据链并发通讯技术，基站架设即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雷达信息处理软件</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雷达360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◆应用领域林业资源调查地形测绘灾害评估土方量测量采矿量勘测线状工程基于LiDAR360,您可以实现：多源数据可视化二维可视化  三维可视化  剖面分析  集成显示  多种点云显示模式   漫游浏览   点云数据质量检查质量检查与分析  分类检查  产品成果检查点云分类自动分类   交互式编辑分类衍生产品质量检查报告     DEM\DSM\CHM  等高线   断面图  林业群体参数  林业单株参数  体积量测平台功能LiDAR360平台具有TB级数据处理能力，包含激光雷达点云数据交互编辑和处理所需的工具。该平台包括数据管理、航带拼接、分类和统计分析等模块。它允许用户升级到特定的应用模块，如地形，ALS/TLS林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笔记本电脑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惠普（HP）Z系列ZBookCreateG7 移动工作站</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sz w:val="18"/>
                <w:szCs w:val="18"/>
                <w:lang w:val="en-US" w:eastAsia="zh-CN"/>
              </w:rPr>
              <w:t xml:space="preserve">◆Zbook Create_G7   i9-10885H  32GB+2TB SSD  独立显卡 8G 八核    15.6英寸  清单：主机*1、适配器*1、保修卡                                                                       </w:t>
            </w:r>
            <w:r>
              <w:rPr>
                <w:rFonts w:hint="eastAsia" w:ascii="宋体" w:hAnsi="宋体" w:eastAsia="宋体" w:cs="宋体"/>
                <w:sz w:val="18"/>
                <w:szCs w:val="18"/>
                <w:lang w:val="en-US" w:eastAsia="zh-CN"/>
              </w:rPr>
              <w:t>◆提供惠普厂家授权代理商资质原件</w:t>
            </w:r>
          </w:p>
          <w:p>
            <w:pPr>
              <w:pStyle w:val="2"/>
              <w:ind w:left="0" w:leftChars="0" w:firstLine="0" w:firstLineChars="0"/>
              <w:rPr>
                <w:rFonts w:hint="eastAsia"/>
                <w:sz w:val="18"/>
                <w:szCs w:val="18"/>
              </w:rPr>
            </w:pPr>
            <w:r>
              <w:rPr>
                <w:rFonts w:hint="eastAsia" w:ascii="宋体" w:hAnsi="宋体" w:eastAsia="宋体" w:cs="宋体"/>
                <w:sz w:val="18"/>
                <w:szCs w:val="18"/>
                <w:lang w:val="en-US" w:eastAsia="zh-CN"/>
              </w:rPr>
              <w:t>◆提供惠普本地市的授权维修站针对此项目的售后服务承诺函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戴尔台式机7090MT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◆7090MT I7-11700  16G  256G SSD+1T  GTX1650-4G独显 DVDRW  键鼠 27寸显示器                                                                 ◆提供戴尔</w:t>
            </w:r>
            <w:r>
              <w:rPr>
                <w:rFonts w:hint="eastAsia" w:ascii="宋体" w:hAnsi="宋体" w:eastAsia="宋体" w:cs="宋体"/>
                <w:i w:val="0"/>
                <w:iCs w:val="0"/>
                <w:color w:val="000000"/>
                <w:kern w:val="0"/>
                <w:sz w:val="18"/>
                <w:szCs w:val="18"/>
                <w:highlight w:val="none"/>
                <w:u w:val="none"/>
                <w:lang w:val="en-US" w:eastAsia="zh-CN" w:bidi="ar"/>
              </w:rPr>
              <w:t>加盖厂家公章的针</w:t>
            </w:r>
            <w:bookmarkStart w:id="0" w:name="_GoBack"/>
            <w:bookmarkEnd w:id="0"/>
            <w:r>
              <w:rPr>
                <w:rFonts w:hint="eastAsia" w:ascii="宋体" w:hAnsi="宋体" w:eastAsia="宋体" w:cs="宋体"/>
                <w:i w:val="0"/>
                <w:iCs w:val="0"/>
                <w:color w:val="000000"/>
                <w:kern w:val="0"/>
                <w:sz w:val="18"/>
                <w:szCs w:val="18"/>
                <w:highlight w:val="none"/>
                <w:u w:val="none"/>
                <w:lang w:val="en-US" w:eastAsia="zh-CN" w:bidi="ar"/>
              </w:rPr>
              <w:t>对此项目的授权原件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提供加盖厂家公章的厂商确认书</w:t>
            </w:r>
            <w:r>
              <w:rPr>
                <w:rFonts w:hint="eastAsia" w:ascii="宋体" w:hAnsi="宋体" w:cs="宋体"/>
                <w:i w:val="0"/>
                <w:iCs w:val="0"/>
                <w:color w:val="000000"/>
                <w:kern w:val="0"/>
                <w:sz w:val="18"/>
                <w:szCs w:val="18"/>
                <w:highlight w:val="none"/>
                <w:u w:val="none"/>
                <w:lang w:val="en-US" w:eastAsia="zh-CN" w:bidi="ar"/>
              </w:rPr>
              <w:t>）</w:t>
            </w:r>
          </w:p>
        </w:tc>
      </w:tr>
    </w:tbl>
    <w:p>
      <w:pPr>
        <w:rPr>
          <w:sz w:val="32"/>
          <w:szCs w:val="32"/>
          <w:highlight w:val="none"/>
        </w:rPr>
      </w:pPr>
    </w:p>
    <w:sectPr>
      <w:footerReference r:id="rId3" w:type="default"/>
      <w:pgSz w:w="11906" w:h="16838"/>
      <w:pgMar w:top="1440" w:right="1417" w:bottom="144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5FD0962"/>
    <w:rsid w:val="0A365BF0"/>
    <w:rsid w:val="0E382985"/>
    <w:rsid w:val="0E827067"/>
    <w:rsid w:val="10E07780"/>
    <w:rsid w:val="14A022B9"/>
    <w:rsid w:val="19AC7664"/>
    <w:rsid w:val="1BE05CD4"/>
    <w:rsid w:val="23E33BDC"/>
    <w:rsid w:val="258D731A"/>
    <w:rsid w:val="25A154A2"/>
    <w:rsid w:val="27B66A5B"/>
    <w:rsid w:val="27C633A7"/>
    <w:rsid w:val="29523D88"/>
    <w:rsid w:val="2D8E2BB9"/>
    <w:rsid w:val="3FF656EC"/>
    <w:rsid w:val="42B91E16"/>
    <w:rsid w:val="5ED335D9"/>
    <w:rsid w:val="6191435B"/>
    <w:rsid w:val="62477588"/>
    <w:rsid w:val="70335B0E"/>
    <w:rsid w:val="707B7AC8"/>
    <w:rsid w:val="7DAD01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rFonts w:ascii="仿宋_GB2312" w:hAnsi="宋体" w:eastAsia="仿宋_GB2312"/>
    </w:rPr>
  </w:style>
  <w:style w:type="paragraph" w:styleId="3">
    <w:name w:val="Body Text Indent"/>
    <w:basedOn w:val="1"/>
    <w:qFormat/>
    <w:uiPriority w:val="0"/>
    <w:pPr>
      <w:spacing w:after="120"/>
      <w:ind w:left="420" w:leftChars="200"/>
    </w:p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paragraph" w:styleId="9">
    <w:name w:val="Body Text First Indent"/>
    <w:basedOn w:val="5"/>
    <w:qFormat/>
    <w:uiPriority w:val="0"/>
    <w:pPr>
      <w:ind w:firstLine="420" w:firstLineChars="100"/>
    </w:pPr>
  </w:style>
  <w:style w:type="paragraph" w:customStyle="1" w:styleId="12">
    <w:name w:val="List Paragraph"/>
    <w:basedOn w:val="1"/>
    <w:qFormat/>
    <w:uiPriority w:val="99"/>
    <w:pPr>
      <w:ind w:firstLine="420" w:firstLineChars="200"/>
    </w:pPr>
  </w:style>
  <w:style w:type="character" w:customStyle="1" w:styleId="13">
    <w:name w:val="页眉 Char"/>
    <w:basedOn w:val="11"/>
    <w:link w:val="7"/>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195</Words>
  <Characters>1118</Characters>
  <Lines>9</Lines>
  <Paragraphs>2</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17526</dc:creator>
  <cp:lastModifiedBy>NTKO</cp:lastModifiedBy>
  <cp:lastPrinted>2021-10-18T06:50:00Z</cp:lastPrinted>
  <dcterms:modified xsi:type="dcterms:W3CDTF">2021-12-13T10:18:57Z</dcterms:modified>
  <dc:title>采购项目委托单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DBD78C7FB1A2416198596E4EC2BA0CF7</vt:lpwstr>
  </property>
</Properties>
</file>