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车辆转让</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合同</w:t>
      </w:r>
    </w:p>
    <w:p>
      <w:pPr>
        <w:pStyle w:val="4"/>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合同编号:</w:t>
      </w:r>
    </w:p>
    <w:p>
      <w:pPr>
        <w:pStyle w:val="4"/>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sz w:val="32"/>
          <w:szCs w:val="32"/>
          <w:lang w:val="en-US" w:eastAsia="zh-CN"/>
        </w:rPr>
      </w:pPr>
    </w:p>
    <w:p>
      <w:pPr>
        <w:pStyle w:val="4"/>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lang w:val="en-US" w:eastAsia="zh-CN"/>
        </w:rPr>
        <w:t>内蒙古新蒙煤炭有限责任公司</w:t>
      </w:r>
    </w:p>
    <w:p>
      <w:pPr>
        <w:pStyle w:val="4"/>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乙方:</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经甲乙双方协商，就乙方购买甲方受托转让的              </w:t>
      </w:r>
      <w:r>
        <w:rPr>
          <w:rFonts w:hint="eastAsia" w:ascii="仿宋_GB2312" w:hAnsi="仿宋_GB2312" w:eastAsia="仿宋_GB2312" w:cs="仿宋_GB2312"/>
          <w:kern w:val="2"/>
          <w:sz w:val="32"/>
          <w:szCs w:val="32"/>
          <w:u w:val="single"/>
          <w:lang w:val="en-US" w:eastAsia="zh-CN" w:bidi="ar-SA"/>
        </w:rPr>
        <w:t>（标的名称）</w:t>
      </w:r>
      <w:r>
        <w:rPr>
          <w:rFonts w:hint="eastAsia" w:ascii="仿宋_GB2312" w:hAnsi="仿宋_GB2312" w:eastAsia="仿宋_GB2312" w:cs="仿宋_GB2312"/>
          <w:kern w:val="2"/>
          <w:sz w:val="32"/>
          <w:szCs w:val="32"/>
          <w:lang w:val="en-US" w:eastAsia="zh-CN" w:bidi="ar-SA"/>
        </w:rPr>
        <w:t>达成以下协议：</w:t>
      </w:r>
    </w:p>
    <w:p>
      <w:pPr>
        <w:pStyle w:val="4"/>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一、合同有效期:</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合同有效期: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日</w:t>
      </w:r>
    </w:p>
    <w:p>
      <w:pPr>
        <w:pStyle w:val="4"/>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color w:val="FF0000"/>
          <w:sz w:val="32"/>
          <w:szCs w:val="32"/>
          <w:lang w:val="en-US" w:eastAsia="zh-CN"/>
        </w:rPr>
      </w:pPr>
      <w:r>
        <w:rPr>
          <w:rFonts w:hint="eastAsia" w:ascii="仿宋_GB2312" w:hAnsi="仿宋_GB2312" w:eastAsia="仿宋_GB2312" w:cs="仿宋_GB2312"/>
          <w:b/>
          <w:bCs/>
          <w:sz w:val="32"/>
          <w:szCs w:val="32"/>
        </w:rPr>
        <w:t>二、合同标</w:t>
      </w:r>
      <w:r>
        <w:rPr>
          <w:rFonts w:hint="eastAsia" w:ascii="仿宋_GB2312" w:hAnsi="仿宋_GB2312" w:eastAsia="仿宋_GB2312" w:cs="仿宋_GB2312"/>
          <w:b/>
          <w:bCs/>
          <w:sz w:val="32"/>
          <w:szCs w:val="32"/>
          <w:lang w:val="en-US" w:eastAsia="zh-CN"/>
        </w:rPr>
        <w:t>的</w:t>
      </w:r>
      <w:r>
        <w:rPr>
          <w:rFonts w:hint="eastAsia" w:ascii="仿宋_GB2312" w:hAnsi="仿宋_GB2312" w:eastAsia="仿宋_GB2312" w:cs="仿宋_GB2312"/>
          <w:b/>
          <w:bCs/>
          <w:sz w:val="32"/>
          <w:szCs w:val="32"/>
        </w:rPr>
        <w:t>物</w:t>
      </w:r>
      <w:r>
        <w:rPr>
          <w:rFonts w:hint="eastAsia" w:ascii="仿宋_GB2312" w:hAnsi="仿宋_GB2312" w:eastAsia="仿宋_GB2312" w:cs="仿宋_GB2312"/>
          <w:b/>
          <w:bCs/>
          <w:sz w:val="32"/>
          <w:szCs w:val="32"/>
          <w:lang w:val="en-US" w:eastAsia="zh-CN"/>
        </w:rPr>
        <w:t>及价格</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1、商品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货物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名称:</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2、数量:</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3、回收价格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含税）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4、车辆及回收价格明细表：</w:t>
      </w:r>
    </w:p>
    <w:tbl>
      <w:tblPr>
        <w:tblStyle w:val="7"/>
        <w:tblpPr w:leftFromText="180" w:rightFromText="180" w:vertAnchor="text" w:horzAnchor="page" w:tblpX="2304" w:tblpY="676"/>
        <w:tblOverlap w:val="never"/>
        <w:tblW w:w="83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950"/>
        <w:gridCol w:w="1185"/>
        <w:gridCol w:w="675"/>
        <w:gridCol w:w="660"/>
        <w:gridCol w:w="1875"/>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6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序号</w:t>
            </w:r>
          </w:p>
        </w:tc>
        <w:tc>
          <w:tcPr>
            <w:tcW w:w="195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物资名称</w:t>
            </w:r>
          </w:p>
        </w:tc>
        <w:tc>
          <w:tcPr>
            <w:tcW w:w="118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车辆号牌</w:t>
            </w:r>
          </w:p>
        </w:tc>
        <w:tc>
          <w:tcPr>
            <w:tcW w:w="6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单位</w:t>
            </w:r>
          </w:p>
        </w:tc>
        <w:tc>
          <w:tcPr>
            <w:tcW w:w="66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数量</w:t>
            </w:r>
          </w:p>
        </w:tc>
        <w:tc>
          <w:tcPr>
            <w:tcW w:w="18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处置底价（元/台）</w:t>
            </w:r>
          </w:p>
        </w:tc>
        <w:tc>
          <w:tcPr>
            <w:tcW w:w="109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存放地点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6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95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sz w:val="21"/>
                <w:szCs w:val="21"/>
                <w:vertAlign w:val="baseline"/>
                <w:lang w:val="en-US" w:eastAsia="zh-CN"/>
              </w:rPr>
            </w:pPr>
          </w:p>
        </w:tc>
        <w:tc>
          <w:tcPr>
            <w:tcW w:w="118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p>
        </w:tc>
        <w:tc>
          <w:tcPr>
            <w:tcW w:w="6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66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8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09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6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95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sz w:val="21"/>
                <w:szCs w:val="21"/>
                <w:vertAlign w:val="baseline"/>
                <w:lang w:val="en-US" w:eastAsia="zh-CN"/>
              </w:rPr>
            </w:pPr>
          </w:p>
        </w:tc>
        <w:tc>
          <w:tcPr>
            <w:tcW w:w="118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 w:hAnsi="仿宋" w:eastAsia="仿宋" w:cs="仿宋"/>
                <w:sz w:val="21"/>
                <w:szCs w:val="21"/>
                <w:vertAlign w:val="baseline"/>
                <w:lang w:val="en-US" w:eastAsia="zh-CN"/>
              </w:rPr>
            </w:pPr>
          </w:p>
        </w:tc>
        <w:tc>
          <w:tcPr>
            <w:tcW w:w="67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 w:hAnsi="仿宋" w:eastAsia="仿宋" w:cs="仿宋"/>
                <w:sz w:val="21"/>
                <w:szCs w:val="21"/>
                <w:vertAlign w:val="baseline"/>
                <w:lang w:val="en-US" w:eastAsia="zh-CN"/>
              </w:rPr>
            </w:pPr>
          </w:p>
        </w:tc>
        <w:tc>
          <w:tcPr>
            <w:tcW w:w="66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 w:hAnsi="仿宋" w:eastAsia="仿宋" w:cs="仿宋"/>
                <w:sz w:val="21"/>
                <w:szCs w:val="21"/>
                <w:vertAlign w:val="baseline"/>
                <w:lang w:val="en-US" w:eastAsia="zh-CN"/>
              </w:rPr>
            </w:pPr>
          </w:p>
        </w:tc>
        <w:tc>
          <w:tcPr>
            <w:tcW w:w="18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09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6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合计</w:t>
            </w:r>
          </w:p>
        </w:tc>
        <w:tc>
          <w:tcPr>
            <w:tcW w:w="195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 w:hAnsi="仿宋" w:eastAsia="仿宋" w:cs="仿宋"/>
                <w:sz w:val="21"/>
                <w:szCs w:val="21"/>
                <w:vertAlign w:val="baseline"/>
                <w:lang w:val="en-US" w:eastAsia="zh-CN"/>
              </w:rPr>
            </w:pPr>
          </w:p>
        </w:tc>
        <w:tc>
          <w:tcPr>
            <w:tcW w:w="118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 w:hAnsi="仿宋" w:eastAsia="仿宋" w:cs="仿宋"/>
                <w:sz w:val="21"/>
                <w:szCs w:val="21"/>
                <w:vertAlign w:val="baseline"/>
                <w:lang w:val="en-US" w:eastAsia="zh-CN"/>
              </w:rPr>
            </w:pPr>
          </w:p>
        </w:tc>
        <w:tc>
          <w:tcPr>
            <w:tcW w:w="67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 w:hAnsi="仿宋" w:eastAsia="仿宋" w:cs="仿宋"/>
                <w:sz w:val="21"/>
                <w:szCs w:val="21"/>
                <w:vertAlign w:val="baseline"/>
                <w:lang w:val="en-US" w:eastAsia="zh-CN"/>
              </w:rPr>
            </w:pPr>
          </w:p>
        </w:tc>
        <w:tc>
          <w:tcPr>
            <w:tcW w:w="660"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21"/>
                <w:szCs w:val="21"/>
                <w:vertAlign w:val="baseline"/>
                <w:lang w:val="en-US" w:eastAsia="zh-CN"/>
              </w:rPr>
            </w:pPr>
          </w:p>
        </w:tc>
        <w:tc>
          <w:tcPr>
            <w:tcW w:w="187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p>
        </w:tc>
        <w:tc>
          <w:tcPr>
            <w:tcW w:w="1095"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仿宋"/>
                <w:sz w:val="21"/>
                <w:szCs w:val="21"/>
                <w:vertAlign w:val="baseline"/>
                <w:lang w:val="en-US" w:eastAsia="zh-CN"/>
              </w:rPr>
            </w:pPr>
          </w:p>
        </w:tc>
      </w:tr>
    </w:tbl>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车辆及价格明细：</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三、甲方权利义务</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1、甲方收到全部预付交易价款后，3个工作日内</w:t>
      </w:r>
      <w:r>
        <w:rPr>
          <w:rFonts w:hint="eastAsia" w:ascii="仿宋_GB2312" w:hAnsi="仿宋_GB2312" w:eastAsia="仿宋_GB2312" w:cs="仿宋_GB2312"/>
          <w:color w:val="auto"/>
          <w:kern w:val="2"/>
          <w:sz w:val="32"/>
          <w:szCs w:val="32"/>
          <w:lang w:val="en-US" w:eastAsia="zh-CN" w:bidi="ar-SA"/>
        </w:rPr>
        <w:t>以邮件或电话形式通知乙方办理提货手续。</w:t>
      </w: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736" w:firstLineChars="23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2、本次产权转让是我方真实意愿表示，转让的产权权属清晰，对该产权拥有完全的处置权且实施不存在任何限制条件。    </w:t>
      </w: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3、我方转让产权的相关行为已履行了相应程序，经过有效的内部决策，并获得相应批准。 </w:t>
      </w:r>
    </w:p>
    <w:p>
      <w:pPr>
        <w:pStyle w:val="5"/>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4、我方所提交的材料内容真实、完整、合法、有效，不存在虚假记载、误导性陈述或重大遗漏。</w:t>
      </w:r>
    </w:p>
    <w:p>
      <w:pPr>
        <w:pStyle w:val="5"/>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5、我方在转让过程中，遵守法律法规规定，按照有关要求履行我方义务。我方保证遵守以上承诺，如违反上述承诺或有违规行为，给交易相关方造成损失的，我方愿意承担法律责任及相应的经济赔偿责任。</w:t>
      </w:r>
    </w:p>
    <w:p>
      <w:pPr>
        <w:pStyle w:val="5"/>
        <w:keepNext w:val="0"/>
        <w:keepLines w:val="0"/>
        <w:pageBreakBefore w:val="0"/>
        <w:widowControl/>
        <w:numPr>
          <w:ilvl w:val="0"/>
          <w:numId w:val="1"/>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Chars="300" w:firstLine="0" w:firstLineChars="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乙方权利义务：</w:t>
      </w:r>
    </w:p>
    <w:p>
      <w:pPr>
        <w:pStyle w:val="5"/>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1、乙方应按照《电子竞价成交确认书》中明确的成交金额3个工作日内支付全部交易价款。</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2、在接到甲方通知后之日起</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w:t>
      </w:r>
      <w:r>
        <w:rPr>
          <w:rFonts w:hint="eastAsia" w:ascii="仿宋_GB2312" w:hAnsi="仿宋_GB2312" w:eastAsia="仿宋_GB2312" w:cs="仿宋_GB2312"/>
          <w:kern w:val="2"/>
          <w:sz w:val="32"/>
          <w:szCs w:val="32"/>
          <w:lang w:val="en-US" w:eastAsia="zh-CN" w:bidi="ar-SA"/>
        </w:rPr>
        <w:t>个工作日内持相关身份证明材料与甲方办理提取车辆及交接报废手续。交接前向甲方交纳</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履约保证金（按成交额的15%交纳），</w:t>
      </w:r>
      <w:r>
        <w:rPr>
          <w:rFonts w:hint="eastAsia" w:ascii="仿宋_GB2312" w:hAnsi="仿宋_GB2312" w:eastAsia="仿宋_GB2312" w:cs="仿宋_GB2312"/>
          <w:kern w:val="2"/>
          <w:sz w:val="32"/>
          <w:szCs w:val="32"/>
          <w:lang w:val="en-US" w:eastAsia="zh-CN" w:bidi="ar-SA"/>
        </w:rPr>
        <w:t>车辆交付后发生的一切风险及法律后果（包括但不限于发生车辆及人身事故、车辆的丢失及损毁）由乙方承担。</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3、乙方须在提车后2</w:t>
      </w:r>
      <w:bookmarkStart w:id="0" w:name="_GoBack"/>
      <w:bookmarkEnd w:id="0"/>
      <w:r>
        <w:rPr>
          <w:rFonts w:hint="eastAsia" w:ascii="仿宋_GB2312" w:hAnsi="仿宋_GB2312" w:eastAsia="仿宋_GB2312" w:cs="仿宋_GB2312"/>
          <w:kern w:val="2"/>
          <w:sz w:val="32"/>
          <w:szCs w:val="32"/>
          <w:lang w:val="en-US" w:eastAsia="zh-CN" w:bidi="ar-SA"/>
        </w:rPr>
        <w:t>0个工作日内办理完毕车辆报废手续。</w:t>
      </w:r>
    </w:p>
    <w:p>
      <w:pPr>
        <w:pStyle w:val="4"/>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4、乙方须在报废手续办理完毕后3个工作日内向</w:t>
      </w:r>
      <w:r>
        <w:rPr>
          <w:rFonts w:hint="eastAsia" w:ascii="仿宋_GB2312" w:hAnsi="仿宋_GB2312" w:eastAsia="仿宋_GB2312" w:cs="仿宋_GB2312"/>
          <w:sz w:val="32"/>
          <w:szCs w:val="32"/>
          <w:lang w:val="en-US" w:eastAsia="zh-CN"/>
        </w:rPr>
        <w:t>内蒙古新蒙煤炭有限责任公司</w:t>
      </w:r>
      <w:r>
        <w:rPr>
          <w:rFonts w:hint="eastAsia" w:ascii="仿宋_GB2312" w:hAnsi="仿宋_GB2312" w:eastAsia="仿宋_GB2312" w:cs="仿宋_GB2312"/>
          <w:kern w:val="2"/>
          <w:sz w:val="32"/>
          <w:szCs w:val="32"/>
          <w:lang w:val="en-US" w:eastAsia="zh-CN" w:bidi="ar-SA"/>
        </w:rPr>
        <w:t>提供车辆报废证明。</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5、乙方在交接车时，如发现无法办理报废手续等情形的，应现场经甲方确认；乙方如未经甲方确认将车提走，由此导致的相关风险由乙方自行承担。</w:t>
      </w:r>
    </w:p>
    <w:p>
      <w:pPr>
        <w:pStyle w:val="4"/>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、结算方式及期限</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乙方在提货前须将</w:t>
      </w:r>
      <w:r>
        <w:rPr>
          <w:rFonts w:hint="eastAsia" w:ascii="仿宋_GB2312" w:hAnsi="仿宋_GB2312" w:eastAsia="仿宋_GB2312" w:cs="仿宋_GB2312"/>
          <w:sz w:val="32"/>
          <w:szCs w:val="32"/>
          <w:lang w:eastAsia="zh-CN"/>
        </w:rPr>
        <w:t>成交</w:t>
      </w:r>
      <w:r>
        <w:rPr>
          <w:rFonts w:hint="eastAsia" w:ascii="仿宋_GB2312" w:hAnsi="仿宋_GB2312" w:eastAsia="仿宋_GB2312" w:cs="仿宋_GB2312"/>
          <w:sz w:val="32"/>
          <w:szCs w:val="32"/>
          <w:lang w:val="en-US" w:eastAsia="zh-CN"/>
        </w:rPr>
        <w:t>货款缴纳至甲方指定账户。</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2、甲乙双方对</w:t>
      </w:r>
      <w:r>
        <w:rPr>
          <w:rFonts w:hint="eastAsia" w:ascii="仿宋_GB2312" w:hAnsi="仿宋_GB2312" w:eastAsia="仿宋_GB2312" w:cs="仿宋_GB2312"/>
          <w:sz w:val="32"/>
          <w:szCs w:val="32"/>
        </w:rPr>
        <w:t>货物</w:t>
      </w:r>
      <w:r>
        <w:rPr>
          <w:rFonts w:hint="eastAsia" w:ascii="仿宋_GB2312" w:hAnsi="仿宋_GB2312" w:eastAsia="仿宋_GB2312" w:cs="仿宋_GB2312"/>
          <w:sz w:val="32"/>
          <w:szCs w:val="32"/>
          <w:lang w:val="en-US" w:eastAsia="zh-CN"/>
        </w:rPr>
        <w:t>实际</w:t>
      </w:r>
      <w:r>
        <w:rPr>
          <w:rFonts w:hint="eastAsia" w:ascii="仿宋_GB2312" w:hAnsi="仿宋_GB2312" w:eastAsia="仿宋_GB2312" w:cs="仿宋_GB2312"/>
          <w:sz w:val="32"/>
          <w:szCs w:val="32"/>
        </w:rPr>
        <w:t>数量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金额核对无误</w:t>
      </w:r>
      <w:r>
        <w:rPr>
          <w:rFonts w:hint="eastAsia" w:ascii="仿宋_GB2312" w:hAnsi="仿宋_GB2312" w:eastAsia="仿宋_GB2312" w:cs="仿宋_GB2312"/>
          <w:sz w:val="32"/>
          <w:szCs w:val="32"/>
        </w:rPr>
        <w:t>后</w:t>
      </w:r>
      <w:r>
        <w:rPr>
          <w:rFonts w:hint="eastAsia" w:ascii="仿宋_GB2312" w:hAnsi="仿宋_GB2312" w:eastAsia="仿宋_GB2312" w:cs="仿宋_GB2312"/>
          <w:sz w:val="32"/>
          <w:szCs w:val="32"/>
          <w:lang w:val="en-US" w:eastAsia="zh-CN"/>
        </w:rPr>
        <w:t>签字确认，</w:t>
      </w:r>
      <w:r>
        <w:rPr>
          <w:rFonts w:hint="eastAsia" w:ascii="仿宋_GB2312" w:hAnsi="仿宋_GB2312" w:eastAsia="仿宋_GB2312" w:cs="仿宋_GB2312"/>
          <w:sz w:val="32"/>
          <w:szCs w:val="32"/>
          <w:highlight w:val="none"/>
        </w:rPr>
        <w:t>并开具</w:t>
      </w:r>
      <w:r>
        <w:rPr>
          <w:rFonts w:hint="eastAsia" w:ascii="仿宋_GB2312" w:hAnsi="仿宋_GB2312" w:eastAsia="仿宋_GB2312" w:cs="仿宋_GB2312"/>
          <w:color w:val="000000" w:themeColor="text1"/>
          <w:sz w:val="32"/>
          <w:szCs w:val="32"/>
          <w:highlight w:val="none"/>
          <w14:textFill>
            <w14:solidFill>
              <w14:schemeClr w14:val="tx1"/>
            </w14:solidFill>
          </w14:textFill>
        </w:rPr>
        <w:t>发票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税率依据委托方给甲方开具的为准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highlight w:val="none"/>
        </w:rPr>
        <w:t>。</w:t>
      </w:r>
    </w:p>
    <w:p>
      <w:pPr>
        <w:pStyle w:val="4"/>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、违约责任</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1、甲乙双方应严格履行本合同，除依据中华人民共和国法律法规所认定的不可抗力因素外，均不得擅自解除、修改本合同。</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、以下情况视为乙方违约:</w:t>
      </w:r>
      <w:r>
        <w:rPr>
          <w:rFonts w:hint="eastAsia" w:ascii="仿宋_GB2312" w:hAnsi="仿宋_GB2312" w:eastAsia="仿宋_GB2312" w:cs="仿宋_GB2312"/>
          <w:sz w:val="32"/>
          <w:szCs w:val="32"/>
          <w:highlight w:val="none"/>
          <w:lang w:val="en-US" w:eastAsia="zh-CN"/>
        </w:rPr>
        <w:t xml:space="preserve"> </w:t>
      </w:r>
    </w:p>
    <w:p>
      <w:pPr>
        <w:pStyle w:val="4"/>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乙方未按本合同约定的期限</w:t>
      </w:r>
      <w:r>
        <w:rPr>
          <w:rFonts w:hint="eastAsia" w:ascii="仿宋_GB2312" w:hAnsi="仿宋_GB2312" w:eastAsia="仿宋_GB2312" w:cs="仿宋_GB2312"/>
          <w:sz w:val="32"/>
          <w:szCs w:val="32"/>
          <w:highlight w:val="none"/>
          <w:lang w:val="en-US" w:eastAsia="zh-CN"/>
        </w:rPr>
        <w:t>办理完</w:t>
      </w:r>
      <w:r>
        <w:rPr>
          <w:rFonts w:hint="eastAsia" w:ascii="仿宋_GB2312" w:hAnsi="仿宋_GB2312" w:eastAsia="仿宋_GB2312" w:cs="仿宋_GB2312"/>
          <w:kern w:val="2"/>
          <w:sz w:val="32"/>
          <w:szCs w:val="32"/>
          <w:highlight w:val="none"/>
          <w:lang w:val="en-US" w:eastAsia="zh-CN" w:bidi="ar-SA"/>
        </w:rPr>
        <w:t>车辆报废手续</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，每逾期一日乙方应向甲方支付预估货款</w:t>
      </w:r>
      <w:r>
        <w:rPr>
          <w:rFonts w:hint="eastAsia" w:ascii="Arial" w:hAnsi="Arial" w:eastAsia="仿宋_GB2312" w:cs="Arial"/>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14:textFill>
            <w14:solidFill>
              <w14:schemeClr w14:val="tx1"/>
            </w14:solidFill>
          </w14:textFill>
        </w:rPr>
        <w:t>的</w:t>
      </w:r>
      <w:r>
        <w:rPr>
          <w:rFonts w:hint="eastAsia" w:ascii="仿宋_GB2312" w:hAnsi="仿宋_GB2312" w:eastAsia="仿宋_GB2312" w:cs="仿宋_GB2312"/>
          <w:sz w:val="32"/>
          <w:szCs w:val="32"/>
          <w:highlight w:val="none"/>
        </w:rPr>
        <w:t>违约金，逾期五</w:t>
      </w:r>
      <w:r>
        <w:rPr>
          <w:rFonts w:hint="eastAsia" w:ascii="仿宋_GB2312" w:hAnsi="仿宋_GB2312" w:eastAsia="仿宋_GB2312" w:cs="仿宋_GB2312"/>
          <w:sz w:val="32"/>
          <w:szCs w:val="32"/>
          <w:highlight w:val="none"/>
          <w:lang w:val="en-US" w:eastAsia="zh-CN"/>
        </w:rPr>
        <w:t>日</w:t>
      </w:r>
      <w:r>
        <w:rPr>
          <w:rFonts w:hint="eastAsia" w:ascii="仿宋_GB2312" w:hAnsi="仿宋_GB2312" w:eastAsia="仿宋_GB2312" w:cs="仿宋_GB2312"/>
          <w:sz w:val="32"/>
          <w:szCs w:val="32"/>
          <w:highlight w:val="none"/>
        </w:rPr>
        <w:t>的，甲方有权</w:t>
      </w:r>
      <w:r>
        <w:rPr>
          <w:rFonts w:hint="eastAsia" w:ascii="仿宋_GB2312" w:hAnsi="仿宋_GB2312" w:eastAsia="仿宋_GB2312" w:cs="仿宋_GB2312"/>
          <w:color w:val="000000" w:themeColor="text1"/>
          <w:sz w:val="32"/>
          <w:szCs w:val="32"/>
          <w:highlight w:val="none"/>
          <w14:textFill>
            <w14:solidFill>
              <w14:schemeClr w14:val="tx1"/>
            </w14:solidFill>
          </w14:textFill>
        </w:rPr>
        <w:t>扣</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除乙方全部履约保证金，</w:t>
      </w:r>
      <w:r>
        <w:rPr>
          <w:rFonts w:hint="eastAsia" w:ascii="仿宋_GB2312" w:hAnsi="仿宋_GB2312" w:eastAsia="仿宋_GB2312" w:cs="仿宋_GB2312"/>
          <w:sz w:val="32"/>
          <w:szCs w:val="32"/>
          <w:highlight w:val="none"/>
        </w:rPr>
        <w:t>并有权</w:t>
      </w:r>
      <w:r>
        <w:rPr>
          <w:rFonts w:hint="eastAsia" w:ascii="仿宋_GB2312" w:hAnsi="仿宋_GB2312" w:eastAsia="仿宋_GB2312" w:cs="仿宋_GB2312"/>
          <w:sz w:val="32"/>
          <w:szCs w:val="32"/>
          <w:highlight w:val="none"/>
          <w:lang w:val="en-US" w:eastAsia="zh-CN"/>
        </w:rPr>
        <w:t>选择终止本合同重新挂牌处置。</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在计量、分类过程中有作弊行为的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一经发现，视情况扣除该批次履约保证金的30%-100%。涉嫌违纪违法的移交有关部门处理。</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货物中夹带、隐匿其他不允许或未计价的物资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甲方按照物资预估价格的三倍价款进行处罚，从合同履约保证金中扣除，履约保证金不够扣除时从预付交易价款中扣除。涉嫌违纪违法的移交有关部门处理。</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highlight w:val="none"/>
          <w:lang w:val="en-US"/>
          <w14:textFill>
            <w14:solidFill>
              <w14:schemeClr w14:val="tx1"/>
            </w14:solidFill>
          </w14:textFill>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因乙方不具有相应资质或在拆、装、卸及运输过程中</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未按相关法律法规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安全管理规定操作，以及违反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廉洁从业与</w:t>
      </w:r>
      <w:r>
        <w:rPr>
          <w:rFonts w:hint="eastAsia" w:ascii="仿宋_GB2312" w:hAnsi="仿宋_GB2312" w:eastAsia="仿宋_GB2312" w:cs="仿宋_GB2312"/>
          <w:color w:val="000000" w:themeColor="text1"/>
          <w:sz w:val="32"/>
          <w:szCs w:val="32"/>
          <w:highlight w:val="none"/>
          <w14:textFill>
            <w14:solidFill>
              <w14:schemeClr w14:val="tx1"/>
            </w14:solidFill>
          </w14:textFill>
        </w:rPr>
        <w:t>安全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作业履约承诺</w:t>
      </w:r>
      <w:r>
        <w:rPr>
          <w:rFonts w:hint="eastAsia" w:ascii="仿宋_GB2312" w:hAnsi="仿宋_GB2312" w:eastAsia="仿宋_GB2312" w:cs="仿宋_GB2312"/>
          <w:color w:val="000000" w:themeColor="text1"/>
          <w:sz w:val="32"/>
          <w:szCs w:val="32"/>
          <w:highlight w:val="none"/>
          <w14:textFill>
            <w14:solidFill>
              <w14:schemeClr w14:val="tx1"/>
            </w14:solidFill>
          </w14:textFill>
        </w:rPr>
        <w:t>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相关规定给</w:t>
      </w:r>
      <w:r>
        <w:rPr>
          <w:rFonts w:hint="eastAsia" w:ascii="仿宋_GB2312" w:hAnsi="仿宋_GB2312" w:eastAsia="仿宋_GB2312" w:cs="仿宋_GB2312"/>
          <w:color w:val="000000" w:themeColor="text1"/>
          <w:sz w:val="32"/>
          <w:szCs w:val="32"/>
          <w:highlight w:val="none"/>
          <w14:textFill>
            <w14:solidFill>
              <w14:schemeClr w14:val="tx1"/>
            </w14:solidFill>
          </w14:textFill>
        </w:rPr>
        <w:t>甲方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或委托方</w:t>
      </w:r>
      <w:r>
        <w:rPr>
          <w:rFonts w:hint="eastAsia" w:ascii="仿宋_GB2312" w:hAnsi="仿宋_GB2312" w:eastAsia="仿宋_GB2312" w:cs="仿宋_GB2312"/>
          <w:color w:val="000000" w:themeColor="text1"/>
          <w:sz w:val="32"/>
          <w:szCs w:val="32"/>
          <w:highlight w:val="none"/>
          <w14:textFill>
            <w14:solidFill>
              <w14:schemeClr w14:val="tx1"/>
            </w14:solidFill>
          </w14:textFill>
        </w:rPr>
        <w:t>造成损失的，或被甲方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或委托方</w:t>
      </w:r>
      <w:r>
        <w:rPr>
          <w:rFonts w:hint="eastAsia" w:ascii="仿宋_GB2312" w:hAnsi="仿宋_GB2312" w:eastAsia="仿宋_GB2312" w:cs="仿宋_GB2312"/>
          <w:color w:val="000000" w:themeColor="text1"/>
          <w:sz w:val="32"/>
          <w:szCs w:val="32"/>
          <w:highlight w:val="none"/>
          <w14:textFill>
            <w14:solidFill>
              <w14:schemeClr w14:val="tx1"/>
            </w14:solidFill>
          </w14:textFill>
        </w:rPr>
        <w:t>认定为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安全</w:t>
      </w:r>
      <w:r>
        <w:rPr>
          <w:rFonts w:hint="eastAsia" w:ascii="仿宋_GB2312" w:hAnsi="仿宋_GB2312" w:eastAsia="仿宋_GB2312" w:cs="仿宋_GB2312"/>
          <w:color w:val="000000" w:themeColor="text1"/>
          <w:sz w:val="32"/>
          <w:szCs w:val="32"/>
          <w:highlight w:val="none"/>
          <w14:textFill>
            <w14:solidFill>
              <w14:schemeClr w14:val="tx1"/>
            </w14:solidFill>
          </w14:textFill>
        </w:rPr>
        <w:t>事故的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扣除</w:t>
      </w:r>
      <w:r>
        <w:rPr>
          <w:rFonts w:hint="eastAsia" w:ascii="仿宋_GB2312" w:hAnsi="仿宋_GB2312" w:eastAsia="仿宋_GB2312" w:cs="仿宋_GB2312"/>
          <w:color w:val="auto"/>
          <w:sz w:val="32"/>
          <w:szCs w:val="32"/>
          <w:highlight w:val="none"/>
          <w:lang w:val="en-US" w:eastAsia="zh-CN"/>
        </w:rPr>
        <w:t>本合同全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部履约保证金。造成的</w:t>
      </w:r>
      <w:r>
        <w:rPr>
          <w:rFonts w:hint="eastAsia" w:ascii="仿宋_GB2312" w:hAnsi="仿宋_GB2312" w:eastAsia="仿宋_GB2312" w:cs="仿宋_GB2312"/>
          <w:color w:val="000000" w:themeColor="text1"/>
          <w:sz w:val="32"/>
          <w:szCs w:val="32"/>
          <w:highlight w:val="none"/>
          <w14:textFill>
            <w14:solidFill>
              <w14:schemeClr w14:val="tx1"/>
            </w14:solidFill>
          </w14:textFill>
        </w:rPr>
        <w:t>损失</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由甲方在乙方预付交易价款中扣除。</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乙方贿赂甲方相关工作人员的，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一经发现扣除乙方全部履约保证金。</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highlight w:val="none"/>
          <w:lang w:val="en-US"/>
          <w14:textFill>
            <w14:solidFill>
              <w14:schemeClr w14:val="tx1"/>
            </w14:solidFill>
          </w14:textFill>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乙方未按本合同约定的期限</w:t>
      </w:r>
      <w:r>
        <w:rPr>
          <w:rFonts w:hint="eastAsia" w:ascii="仿宋_GB2312" w:hAnsi="仿宋_GB2312" w:eastAsia="仿宋_GB2312" w:cs="仿宋_GB2312"/>
          <w:sz w:val="32"/>
          <w:szCs w:val="32"/>
          <w:highlight w:val="none"/>
          <w:lang w:val="en-US" w:eastAsia="zh-CN"/>
        </w:rPr>
        <w:t>拉</w:t>
      </w:r>
      <w:r>
        <w:rPr>
          <w:rFonts w:hint="eastAsia" w:ascii="仿宋_GB2312" w:hAnsi="仿宋_GB2312" w:eastAsia="仿宋_GB2312" w:cs="仿宋_GB2312"/>
          <w:sz w:val="32"/>
          <w:szCs w:val="32"/>
          <w:highlight w:val="none"/>
        </w:rPr>
        <w:t>运完毕货物的，逾期</w:t>
      </w:r>
      <w:r>
        <w:rPr>
          <w:rFonts w:hint="eastAsia" w:ascii="仿宋_GB2312" w:hAnsi="仿宋_GB2312" w:eastAsia="仿宋_GB2312" w:cs="仿宋_GB2312"/>
          <w:sz w:val="32"/>
          <w:szCs w:val="32"/>
          <w:highlight w:val="none"/>
          <w:lang w:val="en-US" w:eastAsia="zh-CN"/>
        </w:rPr>
        <w:t>天数在合同约定拉运期限50%以内的，</w:t>
      </w:r>
      <w:r>
        <w:rPr>
          <w:rFonts w:hint="eastAsia" w:ascii="仿宋_GB2312" w:hAnsi="仿宋_GB2312" w:eastAsia="仿宋_GB2312" w:cs="仿宋_GB2312"/>
          <w:sz w:val="32"/>
          <w:szCs w:val="32"/>
          <w:highlight w:val="none"/>
        </w:rPr>
        <w:t>甲方</w:t>
      </w:r>
      <w:r>
        <w:rPr>
          <w:rFonts w:hint="eastAsia" w:ascii="仿宋_GB2312" w:hAnsi="仿宋_GB2312" w:eastAsia="仿宋_GB2312" w:cs="仿宋_GB2312"/>
          <w:sz w:val="32"/>
          <w:szCs w:val="32"/>
          <w:highlight w:val="none"/>
          <w:lang w:val="en-US" w:eastAsia="zh-CN"/>
        </w:rPr>
        <w:t>扣除乙方10%的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履约保证金。</w:t>
      </w:r>
      <w:r>
        <w:rPr>
          <w:rFonts w:hint="eastAsia" w:ascii="仿宋_GB2312" w:hAnsi="仿宋_GB2312" w:eastAsia="仿宋_GB2312" w:cs="仿宋_GB2312"/>
          <w:sz w:val="32"/>
          <w:szCs w:val="32"/>
          <w:highlight w:val="none"/>
        </w:rPr>
        <w:t>逾期</w:t>
      </w:r>
      <w:r>
        <w:rPr>
          <w:rFonts w:hint="eastAsia" w:ascii="仿宋_GB2312" w:hAnsi="仿宋_GB2312" w:eastAsia="仿宋_GB2312" w:cs="仿宋_GB2312"/>
          <w:sz w:val="32"/>
          <w:szCs w:val="32"/>
          <w:highlight w:val="none"/>
          <w:lang w:val="en-US" w:eastAsia="zh-CN"/>
        </w:rPr>
        <w:t>天数在合同约定拉运期限50%以上的，扣除乙方30%的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履约保证金。因甲方或委托方原因造成延期拉运的除外。</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乙方在合同履约过程中发生人身伤亡事故，或造成周边建筑物及设施设备损坏事故的，责任与赔偿全部由乙方承担。</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（8）乙方一旦提交受让资料并缴纳</w:t>
      </w:r>
      <w:r>
        <w:rPr>
          <w:rFonts w:hint="eastAsia" w:ascii="仿宋_GB2312" w:hAnsi="仿宋_GB2312" w:eastAsia="仿宋_GB2312" w:cs="仿宋_GB2312"/>
          <w:sz w:val="32"/>
          <w:szCs w:val="32"/>
          <w:highlight w:val="none"/>
        </w:rPr>
        <w:t>履约保证金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即视为已完全了解和认可标的物状况及相关约定，自愿接受标的物全部现状及瑕疵，并愿承担一切责任与风险，被确定受让资格后不得以不了解标的状况、标的有瑕疵为由而拒绝履行相关受让义务，否则视为违约，甲方将扣除全部履约保证金。</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（9）乙方受让标的物须按甲方或委托方指定的货物装卸顺序拉运离场，否则甲方有权扣除乙方的全部履约保证金。</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乙方在</w:t>
      </w:r>
      <w:r>
        <w:rPr>
          <w:rFonts w:hint="eastAsia" w:ascii="仿宋_GB2312" w:hAnsi="仿宋_GB2312" w:eastAsia="仿宋_GB2312" w:cs="仿宋_GB2312"/>
          <w:sz w:val="32"/>
          <w:szCs w:val="32"/>
          <w:highlight w:val="none"/>
          <w:u w:val="none"/>
          <w:lang w:val="en-US" w:eastAsia="zh-CN"/>
        </w:rPr>
        <w:t>现场作业</w:t>
      </w:r>
      <w:r>
        <w:rPr>
          <w:rFonts w:hint="eastAsia" w:ascii="仿宋_GB2312" w:hAnsi="仿宋_GB2312" w:eastAsia="仿宋_GB2312" w:cs="仿宋_GB2312"/>
          <w:sz w:val="32"/>
          <w:szCs w:val="32"/>
          <w:highlight w:val="none"/>
        </w:rPr>
        <w:t>时，未经甲方书面同意,不得让第三方人员进入场地施工作业,</w:t>
      </w:r>
      <w:r>
        <w:rPr>
          <w:rFonts w:hint="eastAsia" w:ascii="仿宋_GB2312" w:hAnsi="仿宋_GB2312" w:eastAsia="仿宋_GB2312" w:cs="仿宋_GB2312"/>
          <w:sz w:val="32"/>
          <w:szCs w:val="32"/>
          <w:highlight w:val="none"/>
          <w:lang w:val="en-US" w:eastAsia="zh-CN"/>
        </w:rPr>
        <w:t>若</w:t>
      </w:r>
      <w:r>
        <w:rPr>
          <w:rFonts w:hint="eastAsia" w:ascii="仿宋_GB2312" w:hAnsi="仿宋_GB2312" w:eastAsia="仿宋_GB2312" w:cs="仿宋_GB2312"/>
          <w:sz w:val="32"/>
          <w:szCs w:val="32"/>
          <w:highlight w:val="none"/>
        </w:rPr>
        <w:t>乙方发生该类违约行为,甲方有权扣除乙方</w:t>
      </w:r>
      <w:r>
        <w:rPr>
          <w:rFonts w:hint="eastAsia" w:ascii="仿宋_GB2312" w:hAnsi="仿宋_GB2312" w:eastAsia="仿宋_GB2312" w:cs="仿宋_GB2312"/>
          <w:color w:val="auto"/>
          <w:sz w:val="32"/>
          <w:szCs w:val="32"/>
          <w:highlight w:val="none"/>
          <w:lang w:val="en-US" w:eastAsia="zh-CN"/>
        </w:rPr>
        <w:t>10%的履约</w:t>
      </w:r>
      <w:r>
        <w:rPr>
          <w:rFonts w:hint="eastAsia" w:ascii="仿宋_GB2312" w:hAnsi="仿宋_GB2312" w:eastAsia="仿宋_GB2312" w:cs="仿宋_GB2312"/>
          <w:color w:val="auto"/>
          <w:sz w:val="32"/>
          <w:szCs w:val="32"/>
          <w:highlight w:val="none"/>
        </w:rPr>
        <w:t>保证金。现场禁止</w:t>
      </w:r>
      <w:r>
        <w:rPr>
          <w:rFonts w:hint="eastAsia" w:ascii="仿宋_GB2312" w:hAnsi="仿宋_GB2312" w:eastAsia="仿宋_GB2312" w:cs="仿宋_GB2312"/>
          <w:color w:val="auto"/>
          <w:sz w:val="32"/>
          <w:szCs w:val="32"/>
          <w:highlight w:val="none"/>
          <w:lang w:val="en-US" w:eastAsia="zh-CN"/>
        </w:rPr>
        <w:t>明</w:t>
      </w:r>
      <w:r>
        <w:rPr>
          <w:rFonts w:hint="eastAsia" w:ascii="仿宋_GB2312" w:hAnsi="仿宋_GB2312" w:eastAsia="仿宋_GB2312" w:cs="仿宋_GB2312"/>
          <w:color w:val="auto"/>
          <w:sz w:val="32"/>
          <w:szCs w:val="32"/>
          <w:highlight w:val="none"/>
        </w:rPr>
        <w:t>火作业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如现场需明火作业的，须经过委托单位批准后方可进行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若</w:t>
      </w:r>
      <w:r>
        <w:rPr>
          <w:rFonts w:hint="eastAsia" w:ascii="仿宋_GB2312" w:hAnsi="仿宋_GB2312" w:eastAsia="仿宋_GB2312" w:cs="仿宋_GB2312"/>
          <w:color w:val="auto"/>
          <w:sz w:val="32"/>
          <w:szCs w:val="32"/>
          <w:highlight w:val="none"/>
        </w:rPr>
        <w:t>乙方发生该类违约行为,甲方有权扣除乙方</w:t>
      </w:r>
      <w:r>
        <w:rPr>
          <w:rFonts w:hint="eastAsia" w:ascii="仿宋_GB2312" w:hAnsi="仿宋_GB2312" w:eastAsia="仿宋_GB2312" w:cs="仿宋_GB2312"/>
          <w:color w:val="auto"/>
          <w:sz w:val="32"/>
          <w:szCs w:val="32"/>
          <w:highlight w:val="none"/>
          <w:lang w:val="en-US" w:eastAsia="zh-CN"/>
        </w:rPr>
        <w:t>的全部履约</w:t>
      </w:r>
      <w:r>
        <w:rPr>
          <w:rFonts w:hint="eastAsia" w:ascii="仿宋_GB2312" w:hAnsi="仿宋_GB2312" w:eastAsia="仿宋_GB2312" w:cs="仿宋_GB2312"/>
          <w:color w:val="auto"/>
          <w:sz w:val="32"/>
          <w:szCs w:val="32"/>
          <w:highlight w:val="none"/>
        </w:rPr>
        <w:t>保证金。</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出现以上10种情况甲方有权单方面终止合同，并报请国家能源集团列入供应商（回收商）黑名单。</w:t>
      </w:r>
    </w:p>
    <w:p>
      <w:pPr>
        <w:pStyle w:val="4"/>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七</w:t>
      </w:r>
      <w:r>
        <w:rPr>
          <w:rFonts w:hint="eastAsia" w:ascii="仿宋_GB2312" w:hAnsi="仿宋_GB2312" w:eastAsia="仿宋_GB2312" w:cs="仿宋_GB2312"/>
          <w:b/>
          <w:bCs/>
          <w:sz w:val="32"/>
          <w:szCs w:val="32"/>
          <w:highlight w:val="none"/>
        </w:rPr>
        <w:t>、其它约定事项</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、本合同甲乙双方签字、</w:t>
      </w:r>
      <w:r>
        <w:rPr>
          <w:rFonts w:hint="eastAsia" w:ascii="仿宋_GB2312" w:hAnsi="仿宋_GB2312" w:eastAsia="仿宋_GB2312" w:cs="仿宋_GB2312"/>
          <w:sz w:val="32"/>
          <w:szCs w:val="32"/>
          <w:highlight w:val="none"/>
          <w:lang w:val="en-US" w:eastAsia="zh-CN"/>
        </w:rPr>
        <w:t>盖章</w:t>
      </w:r>
      <w:r>
        <w:rPr>
          <w:rFonts w:hint="eastAsia" w:ascii="仿宋_GB2312" w:hAnsi="仿宋_GB2312" w:eastAsia="仿宋_GB2312" w:cs="仿宋_GB2312"/>
          <w:sz w:val="32"/>
          <w:szCs w:val="32"/>
          <w:highlight w:val="none"/>
        </w:rPr>
        <w:t>后生效。合同履行期内，双方均不得随意变更或解除合同。</w:t>
      </w:r>
      <w:r>
        <w:rPr>
          <w:rFonts w:hint="eastAsia" w:ascii="仿宋_GB2312" w:hAnsi="仿宋_GB2312" w:eastAsia="仿宋_GB2312" w:cs="仿宋_GB2312"/>
          <w:sz w:val="32"/>
          <w:szCs w:val="32"/>
          <w:highlight w:val="none"/>
          <w:lang w:val="en-US" w:eastAsia="zh-CN"/>
        </w:rPr>
        <w:t>本</w:t>
      </w:r>
      <w:r>
        <w:rPr>
          <w:rFonts w:hint="eastAsia" w:ascii="仿宋_GB2312" w:hAnsi="仿宋_GB2312" w:eastAsia="仿宋_GB2312" w:cs="仿宋_GB2312"/>
          <w:sz w:val="32"/>
          <w:szCs w:val="32"/>
          <w:highlight w:val="none"/>
        </w:rPr>
        <w:t>合同如有未尽事宜，须经双方共同协商，做出补充</w:t>
      </w:r>
      <w:r>
        <w:rPr>
          <w:rFonts w:hint="eastAsia" w:ascii="仿宋_GB2312" w:hAnsi="仿宋_GB2312" w:eastAsia="仿宋_GB2312" w:cs="仿宋_GB2312"/>
          <w:sz w:val="32"/>
          <w:szCs w:val="32"/>
          <w:highlight w:val="none"/>
          <w:lang w:val="en-US" w:eastAsia="zh-CN"/>
        </w:rPr>
        <w:t>协议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补充</w:t>
      </w:r>
      <w:r>
        <w:rPr>
          <w:rFonts w:hint="eastAsia" w:ascii="仿宋_GB2312" w:hAnsi="仿宋_GB2312" w:eastAsia="仿宋_GB2312" w:cs="仿宋_GB2312"/>
          <w:sz w:val="32"/>
          <w:szCs w:val="32"/>
          <w:highlight w:val="none"/>
          <w:lang w:val="en-US" w:eastAsia="zh-CN"/>
        </w:rPr>
        <w:t>协议</w:t>
      </w:r>
      <w:r>
        <w:rPr>
          <w:rFonts w:hint="eastAsia" w:ascii="仿宋_GB2312" w:hAnsi="仿宋_GB2312" w:eastAsia="仿宋_GB2312" w:cs="仿宋_GB2312"/>
          <w:sz w:val="32"/>
          <w:szCs w:val="32"/>
          <w:highlight w:val="none"/>
        </w:rPr>
        <w:t>与本合同具有同等</w:t>
      </w:r>
      <w:r>
        <w:rPr>
          <w:rFonts w:hint="eastAsia" w:ascii="仿宋_GB2312" w:hAnsi="仿宋_GB2312" w:eastAsia="仿宋_GB2312" w:cs="仿宋_GB2312"/>
          <w:sz w:val="32"/>
          <w:szCs w:val="32"/>
          <w:highlight w:val="none"/>
          <w:lang w:val="en-US" w:eastAsia="zh-CN"/>
        </w:rPr>
        <w:t>法律</w:t>
      </w:r>
      <w:r>
        <w:rPr>
          <w:rFonts w:hint="eastAsia" w:ascii="仿宋_GB2312" w:hAnsi="仿宋_GB2312" w:eastAsia="仿宋_GB2312" w:cs="仿宋_GB2312"/>
          <w:sz w:val="32"/>
          <w:szCs w:val="32"/>
          <w:highlight w:val="none"/>
        </w:rPr>
        <w:t>效力。</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本合同中写明的地址及联系方式为各方认可的有效联络方式，通知到达该地址或联系电话即视为送达，电子送达与书面送达具有同等法律效力</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各方应当对本协议的内容、履行本协议期间获得的对方的商务、财务、技术的信息及个人信息保守秘密，未经其他方事先书面同意，不得向合同外任何人披露，否则即构成违约。</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违约方需承担守约方因维权产生的诉讼费、差旅费、律师费、鉴定费、评估费等所有费用</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本合同</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式</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份，</w:t>
      </w:r>
      <w:r>
        <w:rPr>
          <w:rFonts w:hint="eastAsia" w:ascii="仿宋_GB2312" w:hAnsi="仿宋_GB2312" w:eastAsia="仿宋_GB2312" w:cs="仿宋_GB2312"/>
          <w:sz w:val="32"/>
          <w:szCs w:val="32"/>
          <w:highlight w:val="none"/>
          <w:lang w:val="en-US" w:eastAsia="zh-CN"/>
        </w:rPr>
        <w:t>甲</w:t>
      </w:r>
      <w:r>
        <w:rPr>
          <w:rFonts w:hint="eastAsia" w:ascii="仿宋_GB2312" w:hAnsi="仿宋_GB2312" w:eastAsia="仿宋_GB2312" w:cs="仿宋_GB2312"/>
          <w:sz w:val="32"/>
          <w:szCs w:val="32"/>
          <w:highlight w:val="none"/>
        </w:rPr>
        <w:t>方执</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份</w:t>
      </w:r>
      <w:r>
        <w:rPr>
          <w:rFonts w:hint="eastAsia" w:ascii="仿宋_GB2312" w:hAnsi="仿宋_GB2312" w:eastAsia="仿宋_GB2312" w:cs="仿宋_GB2312"/>
          <w:sz w:val="32"/>
          <w:szCs w:val="32"/>
          <w:highlight w:val="none"/>
          <w:lang w:val="en-US" w:eastAsia="zh-CN"/>
        </w:rPr>
        <w:t>乙方执一份</w:t>
      </w:r>
      <w:r>
        <w:rPr>
          <w:rFonts w:hint="eastAsia" w:ascii="仿宋_GB2312" w:hAnsi="仿宋_GB2312" w:eastAsia="仿宋_GB2312" w:cs="仿宋_GB2312"/>
          <w:sz w:val="32"/>
          <w:szCs w:val="32"/>
          <w:highlight w:val="none"/>
        </w:rPr>
        <w:t>。本合同在规定期限内货、款、票结清后自动失效。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560" w:lineRule="exact"/>
        <w:ind w:right="0" w:firstLine="640" w:firstLineChars="200"/>
        <w:jc w:val="both"/>
        <w:textAlignment w:val="auto"/>
        <w:rPr>
          <w:rFonts w:hint="eastAsia" w:ascii="仿宋_GB2312" w:hAnsi="仿宋_GB2312" w:eastAsia="仿宋_GB2312" w:cs="仿宋_GB2312"/>
          <w:i w:val="0"/>
          <w:caps w:val="0"/>
          <w:color w:val="333333"/>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560" w:lineRule="exact"/>
        <w:ind w:right="0"/>
        <w:jc w:val="both"/>
        <w:textAlignment w:val="auto"/>
        <w:rPr>
          <w:rFonts w:hint="eastAsia" w:ascii="仿宋_GB2312" w:hAnsi="仿宋_GB2312" w:eastAsia="仿宋_GB2312" w:cs="仿宋_GB2312"/>
          <w:i w:val="0"/>
          <w:caps w:val="0"/>
          <w:color w:val="333333"/>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560" w:lineRule="exact"/>
        <w:ind w:right="0"/>
        <w:jc w:val="both"/>
        <w:textAlignment w:val="auto"/>
        <w:rPr>
          <w:rFonts w:hint="eastAsia" w:ascii="仿宋_GB2312" w:hAnsi="仿宋_GB2312" w:eastAsia="仿宋_GB2312" w:cs="仿宋_GB2312"/>
          <w:i w:val="0"/>
          <w:caps w:val="0"/>
          <w:color w:val="333333"/>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560" w:lineRule="exact"/>
        <w:ind w:right="0"/>
        <w:jc w:val="both"/>
        <w:textAlignment w:val="auto"/>
        <w:rPr>
          <w:rFonts w:hint="eastAsia" w:ascii="仿宋_GB2312" w:hAnsi="仿宋_GB2312" w:eastAsia="仿宋_GB2312" w:cs="仿宋_GB2312"/>
          <w:i w:val="0"/>
          <w:caps w:val="0"/>
          <w:color w:val="333333"/>
          <w:spacing w:val="0"/>
          <w:sz w:val="32"/>
          <w:szCs w:val="32"/>
        </w:rPr>
      </w:pPr>
    </w:p>
    <w:tbl>
      <w:tblPr>
        <w:tblStyle w:val="6"/>
        <w:tblpPr w:leftFromText="180" w:rightFromText="180" w:vertAnchor="text" w:horzAnchor="page" w:tblpX="1318" w:tblpY="239"/>
        <w:tblW w:w="95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4208"/>
        <w:gridCol w:w="4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200" w:type="dxa"/>
            <w:noWrap w:val="0"/>
            <w:vAlign w:val="center"/>
          </w:tcPr>
          <w:p>
            <w:pPr>
              <w:spacing w:line="360" w:lineRule="auto"/>
              <w:rPr>
                <w:rFonts w:hint="eastAsia" w:ascii="仿宋_GB2312" w:hAnsi="仿宋_GB2312" w:eastAsia="仿宋_GB2312" w:cs="仿宋_GB2312"/>
                <w:color w:val="auto"/>
                <w:spacing w:val="8"/>
                <w:sz w:val="30"/>
                <w:szCs w:val="30"/>
              </w:rPr>
            </w:pPr>
          </w:p>
        </w:tc>
        <w:tc>
          <w:tcPr>
            <w:tcW w:w="4208" w:type="dxa"/>
            <w:noWrap w:val="0"/>
            <w:vAlign w:val="center"/>
          </w:tcPr>
          <w:p>
            <w:pPr>
              <w:spacing w:line="360" w:lineRule="auto"/>
              <w:jc w:val="center"/>
              <w:rPr>
                <w:rFonts w:hint="eastAsia" w:ascii="仿宋_GB2312" w:hAnsi="仿宋_GB2312" w:eastAsia="仿宋_GB2312" w:cs="仿宋_GB2312"/>
                <w:bCs w:val="0"/>
                <w:color w:val="auto"/>
                <w:spacing w:val="0"/>
                <w:sz w:val="32"/>
                <w:szCs w:val="32"/>
              </w:rPr>
            </w:pPr>
            <w:r>
              <w:rPr>
                <w:rFonts w:hint="eastAsia" w:ascii="仿宋_GB2312" w:hAnsi="仿宋_GB2312" w:eastAsia="仿宋_GB2312" w:cs="仿宋_GB2312"/>
                <w:bCs w:val="0"/>
                <w:color w:val="auto"/>
                <w:spacing w:val="0"/>
                <w:sz w:val="32"/>
                <w:szCs w:val="32"/>
              </w:rPr>
              <w:t xml:space="preserve"> 甲  方</w:t>
            </w:r>
          </w:p>
        </w:tc>
        <w:tc>
          <w:tcPr>
            <w:tcW w:w="4183" w:type="dxa"/>
            <w:noWrap w:val="0"/>
            <w:vAlign w:val="center"/>
          </w:tcPr>
          <w:p>
            <w:pPr>
              <w:spacing w:line="360" w:lineRule="auto"/>
              <w:jc w:val="center"/>
              <w:rPr>
                <w:rFonts w:hint="eastAsia" w:ascii="仿宋_GB2312" w:hAnsi="仿宋_GB2312" w:eastAsia="仿宋_GB2312" w:cs="仿宋_GB2312"/>
                <w:bCs w:val="0"/>
                <w:color w:val="auto"/>
                <w:spacing w:val="0"/>
                <w:sz w:val="32"/>
                <w:szCs w:val="32"/>
              </w:rPr>
            </w:pPr>
            <w:r>
              <w:rPr>
                <w:rFonts w:hint="eastAsia" w:ascii="仿宋_GB2312" w:hAnsi="仿宋_GB2312" w:eastAsia="仿宋_GB2312" w:cs="仿宋_GB2312"/>
                <w:bCs w:val="0"/>
                <w:color w:val="auto"/>
                <w:spacing w:val="0"/>
                <w:sz w:val="32"/>
                <w:szCs w:val="32"/>
              </w:rPr>
              <w:t>乙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名  称</w:t>
            </w:r>
          </w:p>
        </w:tc>
        <w:tc>
          <w:tcPr>
            <w:tcW w:w="4208" w:type="dxa"/>
            <w:noWrap w:val="0"/>
            <w:vAlign w:val="center"/>
          </w:tcPr>
          <w:p>
            <w:pPr>
              <w:spacing w:line="360" w:lineRule="auto"/>
              <w:jc w:val="center"/>
              <w:rPr>
                <w:rFonts w:hint="eastAsia" w:ascii="仿宋_GB2312" w:hAnsi="仿宋_GB2312" w:eastAsia="仿宋_GB2312" w:cs="仿宋_GB2312"/>
                <w:color w:val="auto"/>
                <w:spacing w:val="0"/>
                <w:sz w:val="32"/>
                <w:szCs w:val="32"/>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地  址</w:t>
            </w:r>
          </w:p>
        </w:tc>
        <w:tc>
          <w:tcPr>
            <w:tcW w:w="4208" w:type="dxa"/>
            <w:noWrap w:val="0"/>
            <w:vAlign w:val="center"/>
          </w:tcPr>
          <w:p>
            <w:pPr>
              <w:spacing w:line="360" w:lineRule="auto"/>
              <w:jc w:val="center"/>
              <w:rPr>
                <w:rFonts w:hint="eastAsia" w:ascii="仿宋_GB2312" w:hAnsi="仿宋_GB2312" w:eastAsia="仿宋_GB2312" w:cs="仿宋_GB2312"/>
                <w:color w:val="auto"/>
                <w:spacing w:val="0"/>
                <w:sz w:val="32"/>
                <w:szCs w:val="32"/>
                <w:lang w:eastAsia="zh-CN"/>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邮  编</w:t>
            </w:r>
          </w:p>
        </w:tc>
        <w:tc>
          <w:tcPr>
            <w:tcW w:w="4208" w:type="dxa"/>
            <w:noWrap w:val="0"/>
            <w:vAlign w:val="center"/>
          </w:tcPr>
          <w:p>
            <w:pPr>
              <w:spacing w:line="360" w:lineRule="auto"/>
              <w:ind w:firstLine="0" w:firstLineChars="0"/>
              <w:jc w:val="center"/>
              <w:rPr>
                <w:rFonts w:hint="eastAsia" w:ascii="仿宋_GB2312" w:hAnsi="仿宋_GB2312" w:eastAsia="仿宋_GB2312" w:cs="仿宋_GB2312"/>
                <w:color w:val="auto"/>
                <w:spacing w:val="0"/>
                <w:kern w:val="2"/>
                <w:sz w:val="32"/>
                <w:szCs w:val="32"/>
                <w:lang w:val="en-US" w:eastAsia="zh-CN" w:bidi="ar-SA"/>
              </w:rPr>
            </w:pPr>
          </w:p>
        </w:tc>
        <w:tc>
          <w:tcPr>
            <w:tcW w:w="4183" w:type="dxa"/>
            <w:noWrap w:val="0"/>
            <w:vAlign w:val="center"/>
          </w:tcPr>
          <w:p>
            <w:pPr>
              <w:spacing w:line="360" w:lineRule="auto"/>
              <w:ind w:firstLine="0" w:firstLineChars="0"/>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电  话</w:t>
            </w:r>
          </w:p>
        </w:tc>
        <w:tc>
          <w:tcPr>
            <w:tcW w:w="4208" w:type="dxa"/>
            <w:noWrap w:val="0"/>
            <w:vAlign w:val="center"/>
          </w:tcPr>
          <w:p>
            <w:pPr>
              <w:spacing w:line="360" w:lineRule="auto"/>
              <w:jc w:val="center"/>
              <w:rPr>
                <w:rFonts w:hint="eastAsia" w:ascii="仿宋_GB2312" w:hAnsi="仿宋_GB2312" w:eastAsia="仿宋_GB2312" w:cs="仿宋_GB2312"/>
                <w:color w:val="auto"/>
                <w:spacing w:val="0"/>
                <w:kern w:val="2"/>
                <w:sz w:val="32"/>
                <w:szCs w:val="32"/>
                <w:lang w:val="en-US" w:eastAsia="zh-CN" w:bidi="ar-SA"/>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开户</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银行</w:t>
            </w:r>
          </w:p>
        </w:tc>
        <w:tc>
          <w:tcPr>
            <w:tcW w:w="4208" w:type="dxa"/>
            <w:noWrap w:val="0"/>
            <w:vAlign w:val="center"/>
          </w:tcPr>
          <w:p>
            <w:pPr>
              <w:spacing w:line="360" w:lineRule="auto"/>
              <w:jc w:val="center"/>
              <w:rPr>
                <w:rFonts w:hint="eastAsia" w:ascii="仿宋_GB2312" w:hAnsi="仿宋_GB2312" w:eastAsia="仿宋_GB2312" w:cs="仿宋_GB2312"/>
                <w:color w:val="auto"/>
                <w:spacing w:val="0"/>
                <w:kern w:val="2"/>
                <w:sz w:val="32"/>
                <w:szCs w:val="32"/>
                <w:lang w:val="en-US" w:eastAsia="zh-CN" w:bidi="ar-SA"/>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帐 号</w:t>
            </w:r>
          </w:p>
        </w:tc>
        <w:tc>
          <w:tcPr>
            <w:tcW w:w="4208" w:type="dxa"/>
            <w:noWrap w:val="0"/>
            <w:vAlign w:val="center"/>
          </w:tcPr>
          <w:p>
            <w:pPr>
              <w:spacing w:line="360" w:lineRule="auto"/>
              <w:jc w:val="center"/>
              <w:rPr>
                <w:rFonts w:hint="eastAsia" w:ascii="仿宋_GB2312" w:hAnsi="仿宋_GB2312" w:eastAsia="仿宋_GB2312" w:cs="仿宋_GB2312"/>
                <w:color w:val="auto"/>
                <w:spacing w:val="0"/>
                <w:kern w:val="2"/>
                <w:sz w:val="32"/>
                <w:szCs w:val="32"/>
                <w:lang w:val="en-US" w:eastAsia="zh-CN" w:bidi="ar-SA"/>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税 号</w:t>
            </w:r>
          </w:p>
        </w:tc>
        <w:tc>
          <w:tcPr>
            <w:tcW w:w="4208" w:type="dxa"/>
            <w:noWrap w:val="0"/>
            <w:vAlign w:val="center"/>
          </w:tcPr>
          <w:p>
            <w:pPr>
              <w:spacing w:line="360" w:lineRule="auto"/>
              <w:jc w:val="center"/>
              <w:rPr>
                <w:rFonts w:hint="eastAsia" w:ascii="仿宋_GB2312" w:hAnsi="仿宋_GB2312" w:eastAsia="仿宋_GB2312" w:cs="仿宋_GB2312"/>
                <w:color w:val="auto"/>
                <w:spacing w:val="0"/>
                <w:kern w:val="2"/>
                <w:sz w:val="32"/>
                <w:szCs w:val="32"/>
                <w:lang w:val="en-US" w:eastAsia="zh-CN" w:bidi="ar-SA"/>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法定代表人</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签字</w:t>
            </w:r>
          </w:p>
        </w:tc>
        <w:tc>
          <w:tcPr>
            <w:tcW w:w="4208" w:type="dxa"/>
            <w:noWrap w:val="0"/>
            <w:vAlign w:val="center"/>
          </w:tcPr>
          <w:p>
            <w:pPr>
              <w:spacing w:line="360" w:lineRule="auto"/>
              <w:jc w:val="center"/>
              <w:rPr>
                <w:rFonts w:hint="eastAsia" w:ascii="仿宋_GB2312" w:hAnsi="仿宋_GB2312" w:eastAsia="仿宋_GB2312" w:cs="仿宋_GB2312"/>
                <w:color w:val="auto"/>
                <w:spacing w:val="0"/>
                <w:sz w:val="32"/>
                <w:szCs w:val="32"/>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委托代</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理人</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签字</w:t>
            </w:r>
          </w:p>
        </w:tc>
        <w:tc>
          <w:tcPr>
            <w:tcW w:w="4208" w:type="dxa"/>
            <w:noWrap w:val="0"/>
            <w:vAlign w:val="center"/>
          </w:tcPr>
          <w:p>
            <w:pPr>
              <w:spacing w:line="360" w:lineRule="auto"/>
              <w:jc w:val="center"/>
              <w:rPr>
                <w:rFonts w:hint="eastAsia" w:ascii="仿宋_GB2312" w:hAnsi="仿宋_GB2312" w:eastAsia="仿宋_GB2312" w:cs="仿宋_GB2312"/>
                <w:color w:val="auto"/>
                <w:spacing w:val="0"/>
                <w:sz w:val="32"/>
                <w:szCs w:val="32"/>
              </w:rPr>
            </w:pPr>
          </w:p>
        </w:tc>
        <w:tc>
          <w:tcPr>
            <w:tcW w:w="4183" w:type="dxa"/>
            <w:noWrap w:val="0"/>
            <w:vAlign w:val="center"/>
          </w:tcPr>
          <w:p>
            <w:pPr>
              <w:spacing w:line="360" w:lineRule="auto"/>
              <w:jc w:val="center"/>
              <w:rPr>
                <w:rFonts w:hint="eastAsia" w:ascii="仿宋_GB2312" w:hAnsi="仿宋_GB2312" w:eastAsia="仿宋_GB2312" w:cs="仿宋_GB2312"/>
                <w:color w:val="auto"/>
                <w:spacing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00" w:type="dxa"/>
            <w:noWrap w:val="0"/>
            <w:vAlign w:val="center"/>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日期</w:t>
            </w:r>
          </w:p>
        </w:tc>
        <w:tc>
          <w:tcPr>
            <w:tcW w:w="4208" w:type="dxa"/>
            <w:noWrap w:val="0"/>
            <w:vAlign w:val="bottom"/>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 xml:space="preserve">     （  盖  章  ）</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 xml:space="preserve">  年   月   日</w:t>
            </w:r>
          </w:p>
        </w:tc>
        <w:tc>
          <w:tcPr>
            <w:tcW w:w="4183" w:type="dxa"/>
            <w:noWrap w:val="0"/>
            <w:vAlign w:val="bottom"/>
          </w:tcPr>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 xml:space="preserve">     （  盖  章  ）</w:t>
            </w:r>
          </w:p>
          <w:p>
            <w:pPr>
              <w:spacing w:line="360" w:lineRule="auto"/>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 xml:space="preserve"> </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 xml:space="preserve">  年   月   日</w:t>
            </w:r>
          </w:p>
        </w:tc>
      </w:tr>
    </w:tbl>
    <w:p/>
    <w:sectPr>
      <w:pgSz w:w="11906" w:h="16838"/>
      <w:pgMar w:top="14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C8D1E7"/>
    <w:multiLevelType w:val="singleLevel"/>
    <w:tmpl w:val="FFC8D1E7"/>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CB309A"/>
    <w:rsid w:val="00BB0A37"/>
    <w:rsid w:val="030717B9"/>
    <w:rsid w:val="031116F7"/>
    <w:rsid w:val="0B534F80"/>
    <w:rsid w:val="0E932533"/>
    <w:rsid w:val="27BC580C"/>
    <w:rsid w:val="394915ED"/>
    <w:rsid w:val="4334772E"/>
    <w:rsid w:val="57127259"/>
    <w:rsid w:val="580A7FD5"/>
    <w:rsid w:val="647D0861"/>
    <w:rsid w:val="79CB309A"/>
    <w:rsid w:val="7C1E1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kern w:val="0"/>
      <w:sz w:val="32"/>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Plain Text"/>
    <w:basedOn w:val="1"/>
    <w:qFormat/>
    <w:uiPriority w:val="0"/>
    <w:rPr>
      <w:rFonts w:ascii="宋体" w:hAnsi="Courier New"/>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233</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2021-12-02T09:16:00Z</dcterms:created>
  <dc:creator>修建华</dc:creator>
  <cp:lastModifiedBy>修建华</cp:lastModifiedBy>
  <dcterms:modified xsi:type="dcterms:W3CDTF">2021-12-09T05:41:59Z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DCCB64A89A9A4A07A73375BCBF9A5741</vt:lpwstr>
  </property>
</Properties>
</file>