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一、在中华人民共和国境内依法注册的独立法人资格（提供中华人民共和国境内行政管理部门登记的主体资格证书（包括但不限于营业执照、事业单位法人证书、社会团体法人登记证书等））；</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二、企业信誉：</w:t>
      </w:r>
      <w:r>
        <w:rPr>
          <w:rFonts w:hint="eastAsia" w:ascii="微软雅黑" w:hAnsi="微软雅黑" w:eastAsia="微软雅黑"/>
          <w:color w:val="000000" w:themeColor="text1"/>
          <w:lang w:eastAsia="zh-CN"/>
          <w14:textFill>
            <w14:solidFill>
              <w14:schemeClr w14:val="tx1"/>
            </w14:solidFill>
          </w14:textFill>
        </w:rPr>
        <w:t>未被人民法院列为失信被执行人、重大税收违法案件当事人名单，提供信用中国（www.creditchina.gov.cn）截图，以网站查询结果为准；</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以下为查询步骤示例</w:t>
            </w:r>
            <w:r>
              <w:rPr>
                <w:rFonts w:hint="eastAsia" w:ascii="微软雅黑" w:hAnsi="微软雅黑" w:eastAsia="微软雅黑"/>
                <w:color w:val="000000" w:themeColor="text1"/>
                <w:lang w:eastAsia="zh-CN"/>
                <w14:textFill>
                  <w14:solidFill>
                    <w14:schemeClr w14:val="tx1"/>
                  </w14:solidFill>
                </w14:textFill>
              </w:rPr>
              <w:t>）</w:t>
            </w:r>
          </w:p>
          <w:p>
            <w:pPr>
              <w:pStyle w:val="11"/>
              <w:adjustRightInd w:val="0"/>
              <w:snapToGrid w:val="0"/>
              <w:spacing w:before="156" w:beforeLines="50" w:after="156" w:afterLines="50" w:line="360" w:lineRule="auto"/>
              <w:jc w:val="both"/>
            </w:pPr>
            <w:r>
              <w:drawing>
                <wp:inline distT="0" distB="0" distL="114300" distR="114300">
                  <wp:extent cx="5353685" cy="3491230"/>
                  <wp:effectExtent l="0" t="0" r="1079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353685" cy="3491230"/>
                          </a:xfrm>
                          <a:prstGeom prst="rect">
                            <a:avLst/>
                          </a:prstGeom>
                          <a:noFill/>
                          <a:ln>
                            <a:noFill/>
                          </a:ln>
                        </pic:spPr>
                      </pic:pic>
                    </a:graphicData>
                  </a:graphic>
                </wp:inline>
              </w:drawing>
            </w:r>
          </w:p>
          <w:p>
            <w:pPr>
              <w:pStyle w:val="11"/>
              <w:adjustRightInd w:val="0"/>
              <w:snapToGrid w:val="0"/>
              <w:spacing w:before="156" w:beforeLines="50" w:after="156" w:afterLines="50" w:line="360" w:lineRule="auto"/>
              <w:jc w:val="both"/>
              <w:rPr>
                <w:rFonts w:hint="eastAsia"/>
                <w:lang w:eastAsia="zh-CN"/>
              </w:rPr>
            </w:pPr>
            <w:r>
              <w:drawing>
                <wp:inline distT="0" distB="0" distL="114300" distR="114300">
                  <wp:extent cx="4756150" cy="4137025"/>
                  <wp:effectExtent l="0" t="0" r="1397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756150" cy="4137025"/>
                          </a:xfrm>
                          <a:prstGeom prst="rect">
                            <a:avLst/>
                          </a:prstGeom>
                          <a:noFill/>
                          <a:ln>
                            <a:noFill/>
                          </a:ln>
                        </pic:spPr>
                      </pic:pic>
                    </a:graphicData>
                  </a:graphic>
                </wp:inline>
              </w:drawing>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drawing>
                <wp:inline distT="0" distB="0" distL="114300" distR="114300">
                  <wp:extent cx="4768850" cy="3850005"/>
                  <wp:effectExtent l="0" t="0" r="1270" b="571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4768850" cy="3850005"/>
                          </a:xfrm>
                          <a:prstGeom prst="rect">
                            <a:avLst/>
                          </a:prstGeom>
                          <a:noFill/>
                          <a:ln>
                            <a:noFill/>
                          </a:ln>
                        </pic:spPr>
                      </pic:pic>
                    </a:graphicData>
                  </a:graphic>
                </wp:inline>
              </w:drawing>
            </w:r>
          </w:p>
        </w:tc>
      </w:tr>
    </w:tbl>
    <w:p>
      <w:pPr>
        <w:pStyle w:val="11"/>
        <w:numPr>
          <w:ilvl w:val="0"/>
          <w:numId w:val="1"/>
        </w:numPr>
        <w:adjustRightInd w:val="0"/>
        <w:snapToGrid w:val="0"/>
        <w:spacing w:before="156" w:beforeLines="50" w:after="156" w:afterLines="50" w:line="360" w:lineRule="auto"/>
        <w:ind w:left="-60" w:leftChars="0" w:firstLine="480" w:firstLineChars="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具有良好的商业信誉和健全的财务会计制度；具有履行合同所必需的设备和专业技术能力；有依法缴纳税收和社会保障资金的良好记录；参加招投标活动前三年内，在经营活动中没有重大违法记录；法律、行政法规规定的其它条件（提供相关证明材料或承诺函）；</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四、法定代表人为同一个人的两个及两个以上法人，母公司、全资子公司及其控股公司，只能有一家参加同一标段的投标（提供承诺函）；</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五、具备公安部第三研究所颁发的《网络安全等级测评与检测评估机构服务认证证书》；异地测评机构须按照《内蒙古自治区计算机信息系统安全保护办法》要求完成项目所在地盟市级以上公安机关本项目备案并提供相关证明；</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六、具备中华人民共和国合格评定国家认可委员会颁发的检验机构认可证书（CNAS证书）；</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七、具备国家信息安全测评信息安全服务资质证书安全工程一级资质（范围内包含风险评估）；</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p>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八、</w:t>
      </w: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int="eastAsia" w:hAnsi="宋体"/>
          <w:sz w:val="24"/>
          <w:szCs w:val="21"/>
        </w:rPr>
      </w:pPr>
      <w:r>
        <w:rPr>
          <w:rFonts w:hAnsi="宋体"/>
          <w:sz w:val="24"/>
          <w:szCs w:val="21"/>
        </w:rPr>
        <w:t>法定代表人</w:t>
      </w:r>
      <w:r>
        <w:rPr>
          <w:rFonts w:hint="eastAsia" w:hAnsi="宋体"/>
          <w:sz w:val="24"/>
          <w:szCs w:val="21"/>
        </w:rPr>
        <w:t xml:space="preserve">签字：  </w:t>
      </w:r>
    </w:p>
    <w:p>
      <w:pPr>
        <w:wordWrap w:val="0"/>
        <w:adjustRightInd w:val="0"/>
        <w:snapToGrid w:val="0"/>
        <w:spacing w:line="360" w:lineRule="auto"/>
        <w:ind w:right="480" w:firstLine="4320" w:firstLineChars="1800"/>
        <w:rPr>
          <w:rFonts w:hint="eastAsia" w:hAnsi="宋体"/>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代理人</w:t>
      </w:r>
      <w:r>
        <w:rPr>
          <w:rFonts w:hint="eastAsia" w:hAnsi="宋体"/>
          <w:sz w:val="24"/>
          <w:szCs w:val="21"/>
        </w:rPr>
        <w:t>签字：</w:t>
      </w:r>
    </w:p>
    <w:tbl>
      <w:tblPr>
        <w:tblStyle w:val="13"/>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4"/>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九</w:t>
      </w:r>
      <w:bookmarkStart w:id="0" w:name="_GoBack"/>
      <w:bookmarkEnd w:id="0"/>
      <w:r>
        <w:rPr>
          <w:rFonts w:hint="eastAsia" w:ascii="微软雅黑" w:hAnsi="微软雅黑" w:eastAsia="微软雅黑"/>
          <w:color w:val="000000" w:themeColor="text1"/>
          <w:lang w:val="en-US" w:eastAsia="zh-CN"/>
          <w14:textFill>
            <w14:solidFill>
              <w14:schemeClr w14:val="tx1"/>
            </w14:solidFill>
          </w14:textFill>
        </w:rPr>
        <w:t>、</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分项报价表</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14:textFill>
            <w14:solidFill>
              <w14:schemeClr w14:val="tx1"/>
            </w14:solidFill>
          </w14:textFill>
        </w:rPr>
        <w:t>按要求填写完整（如有）</w:t>
      </w:r>
      <w:r>
        <w:rPr>
          <w:rFonts w:hint="eastAsia" w:ascii="微软雅黑" w:hAnsi="微软雅黑" w:eastAsia="微软雅黑"/>
          <w:color w:val="000000" w:themeColor="text1"/>
          <w:lang w:eastAsia="zh-CN"/>
          <w14:textFill>
            <w14:solidFill>
              <w14:schemeClr w14:val="tx1"/>
            </w14:solidFill>
          </w14:textFill>
        </w:rPr>
        <w:t>。</w:t>
      </w:r>
    </w:p>
    <w:tbl>
      <w:tblPr>
        <w:tblStyle w:val="13"/>
        <w:tblW w:w="99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2"/>
        <w:gridCol w:w="972"/>
        <w:gridCol w:w="2880"/>
        <w:gridCol w:w="972"/>
        <w:gridCol w:w="972"/>
        <w:gridCol w:w="1044"/>
        <w:gridCol w:w="972"/>
        <w:gridCol w:w="1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2"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产品名称</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技术参数</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单价报价最高限价（元）</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单价报价（元）</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总价报价（元）（单价报价*数量）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878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合计（元）</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r>
    </w:tbl>
    <w:p>
      <w:pPr>
        <w:pStyle w:val="11"/>
        <w:numPr>
          <w:ilvl w:val="0"/>
          <w:numId w:val="0"/>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注：</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1、不按此分项报价表报价或缺项、漏项的属于无效报价；</w:t>
      </w:r>
    </w:p>
    <w:p>
      <w:pPr>
        <w:pStyle w:val="11"/>
        <w:numPr>
          <w:ilvl w:val="0"/>
          <w:numId w:val="3"/>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报价超出最高限价属于无效报价；</w:t>
      </w:r>
    </w:p>
    <w:p>
      <w:pPr>
        <w:pStyle w:val="11"/>
        <w:numPr>
          <w:ilvl w:val="0"/>
          <w:numId w:val="3"/>
        </w:numPr>
        <w:adjustRightInd w:val="0"/>
        <w:snapToGrid w:val="0"/>
        <w:spacing w:before="156" w:beforeLines="50" w:after="156" w:afterLines="50" w:line="360" w:lineRule="auto"/>
        <w:ind w:firstLine="420" w:firstLineChars="200"/>
        <w:jc w:val="both"/>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报价以“元”为单位，如需保留小数位，按照四舍五入保留两位小数。</w:t>
      </w:r>
    </w:p>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要求提供原件的扫描件或复印件加盖公章扫描件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rPr>
        <w:t>，通过“上传报价单”模块线上递交：</w:t>
      </w:r>
    </w:p>
    <w:p>
      <w:pPr>
        <w:widowControl/>
        <w:numPr>
          <w:ilvl w:val="0"/>
          <w:numId w:val="4"/>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3、以上格式仅供参考，供应商须仔细阅读网上竞价公告中的供应商资格审查标准，并按要求将所有供应商资格审查资料制作于本格式中，如有遗漏，导致的相应后果由供应商自行承担。</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rPr>
        <w:rStyle w:val="17"/>
      </w:rPr>
      <w:instrText xml:space="preserve"> PAGE </w:instrText>
    </w:r>
    <w:r>
      <w:fldChar w:fldCharType="separate"/>
    </w:r>
    <w:r>
      <w:rPr>
        <w:rStyle w:val="17"/>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tentative="0">
      <w:start w:val="1"/>
      <w:numFmt w:val="decimal"/>
      <w:suff w:val="nothing"/>
      <w:lvlText w:val="%1、"/>
      <w:lvlJc w:val="left"/>
    </w:lvl>
  </w:abstractNum>
  <w:abstractNum w:abstractNumId="1">
    <w:nsid w:val="05EF5ABC"/>
    <w:multiLevelType w:val="singleLevel"/>
    <w:tmpl w:val="05EF5ABC"/>
    <w:lvl w:ilvl="0" w:tentative="0">
      <w:start w:val="2"/>
      <w:numFmt w:val="decimal"/>
      <w:suff w:val="nothing"/>
      <w:lvlText w:val="%1、"/>
      <w:lvlJc w:val="left"/>
    </w:lvl>
  </w:abstractNum>
  <w:abstractNum w:abstractNumId="2">
    <w:nsid w:val="227AC998"/>
    <w:multiLevelType w:val="singleLevel"/>
    <w:tmpl w:val="227AC998"/>
    <w:lvl w:ilvl="0" w:tentative="0">
      <w:start w:val="3"/>
      <w:numFmt w:val="chineseCounting"/>
      <w:suff w:val="nothing"/>
      <w:lvlText w:val="%1、"/>
      <w:lvlJc w:val="left"/>
      <w:pPr>
        <w:ind w:left="-60"/>
      </w:pPr>
      <w:rPr>
        <w:rFonts w:hint="eastAsia"/>
      </w:rPr>
    </w:lvl>
  </w:abstractNum>
  <w:abstractNum w:abstractNumId="3">
    <w:nsid w:val="77060B0B"/>
    <w:multiLevelType w:val="singleLevel"/>
    <w:tmpl w:val="77060B0B"/>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047D794B"/>
    <w:rsid w:val="0D9756D8"/>
    <w:rsid w:val="13AA206A"/>
    <w:rsid w:val="170220CE"/>
    <w:rsid w:val="1CFC48EF"/>
    <w:rsid w:val="1D756E18"/>
    <w:rsid w:val="22836D67"/>
    <w:rsid w:val="26076B01"/>
    <w:rsid w:val="2CF47971"/>
    <w:rsid w:val="2F5A077C"/>
    <w:rsid w:val="32607A69"/>
    <w:rsid w:val="3C9765FD"/>
    <w:rsid w:val="4D8D4D74"/>
    <w:rsid w:val="59A21062"/>
    <w:rsid w:val="5DC673A8"/>
    <w:rsid w:val="6EB52A80"/>
    <w:rsid w:val="777501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ody Text"/>
    <w:basedOn w:val="1"/>
    <w:link w:val="26"/>
    <w:qFormat/>
    <w:uiPriority w:val="0"/>
    <w:pPr>
      <w:spacing w:after="120"/>
    </w:pPr>
    <w:rPr>
      <w:rFonts w:ascii="Times New Roman" w:hAnsi="Times New Roman"/>
      <w:szCs w:val="24"/>
    </w:rPr>
  </w:style>
  <w:style w:type="paragraph" w:styleId="5">
    <w:name w:val="Body Text Indent"/>
    <w:basedOn w:val="1"/>
    <w:link w:val="25"/>
    <w:qFormat/>
    <w:uiPriority w:val="0"/>
    <w:pPr>
      <w:ind w:firstLine="830" w:firstLineChars="352"/>
    </w:pPr>
    <w:rPr>
      <w:rFonts w:ascii="仿宋_GB2312" w:hAnsi="Times New Roman" w:eastAsia="仿宋_GB2312"/>
      <w:sz w:val="32"/>
    </w:rPr>
  </w:style>
  <w:style w:type="paragraph" w:styleId="6">
    <w:name w:val="Plain Text"/>
    <w:basedOn w:val="1"/>
    <w:link w:val="21"/>
    <w:qFormat/>
    <w:uiPriority w:val="0"/>
    <w:rPr>
      <w:rFonts w:ascii="宋体" w:hAnsi="Courier New" w:cs="Courier New"/>
      <w:szCs w:val="21"/>
    </w:rPr>
  </w:style>
  <w:style w:type="paragraph" w:styleId="7">
    <w:name w:val="Date"/>
    <w:basedOn w:val="1"/>
    <w:next w:val="1"/>
    <w:link w:val="22"/>
    <w:qFormat/>
    <w:uiPriority w:val="0"/>
    <w:pPr>
      <w:ind w:left="100" w:leftChars="2500"/>
    </w:pPr>
    <w:rPr>
      <w:rFonts w:ascii="宋体" w:hAnsi="Courier New" w:cs="Courier New"/>
      <w:szCs w:val="21"/>
    </w:rPr>
  </w:style>
  <w:style w:type="paragraph" w:styleId="8">
    <w:name w:val="Balloon Text"/>
    <w:basedOn w:val="1"/>
    <w:link w:val="32"/>
    <w:semiHidden/>
    <w:unhideWhenUsed/>
    <w:qFormat/>
    <w:uiPriority w:val="99"/>
    <w:rPr>
      <w:sz w:val="18"/>
      <w:szCs w:val="18"/>
    </w:r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2">
    <w:name w:val="Title"/>
    <w:basedOn w:val="1"/>
    <w:next w:val="1"/>
    <w:link w:val="27"/>
    <w:qFormat/>
    <w:uiPriority w:val="0"/>
    <w:pPr>
      <w:spacing w:before="240" w:after="60"/>
      <w:jc w:val="center"/>
      <w:outlineLvl w:val="0"/>
    </w:pPr>
    <w:rPr>
      <w:rFonts w:ascii="Cambria" w:hAnsi="Cambria" w:eastAsia="方正小标宋简体" w:cs="Times New Roman"/>
      <w:b/>
      <w:bCs/>
      <w:sz w:val="44"/>
      <w:szCs w:val="32"/>
    </w:rPr>
  </w:style>
  <w:style w:type="table" w:styleId="14">
    <w:name w:val="Table Grid"/>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customStyle="1" w:styleId="18">
    <w:name w:val="标题 2 Char"/>
    <w:basedOn w:val="15"/>
    <w:link w:val="2"/>
    <w:qFormat/>
    <w:uiPriority w:val="9"/>
    <w:rPr>
      <w:rFonts w:ascii="宋体" w:hAnsi="宋体" w:eastAsia="宋体" w:cs="宋体"/>
      <w:b/>
      <w:bCs/>
      <w:kern w:val="0"/>
      <w:sz w:val="36"/>
      <w:szCs w:val="36"/>
    </w:rPr>
  </w:style>
  <w:style w:type="character" w:customStyle="1" w:styleId="19">
    <w:name w:val="页眉 Char"/>
    <w:basedOn w:val="15"/>
    <w:link w:val="10"/>
    <w:qFormat/>
    <w:uiPriority w:val="0"/>
    <w:rPr>
      <w:sz w:val="18"/>
      <w:szCs w:val="18"/>
    </w:rPr>
  </w:style>
  <w:style w:type="character" w:customStyle="1" w:styleId="20">
    <w:name w:val="页脚 Char"/>
    <w:basedOn w:val="15"/>
    <w:link w:val="9"/>
    <w:qFormat/>
    <w:uiPriority w:val="0"/>
    <w:rPr>
      <w:sz w:val="18"/>
      <w:szCs w:val="18"/>
    </w:rPr>
  </w:style>
  <w:style w:type="character" w:customStyle="1" w:styleId="21">
    <w:name w:val="纯文本 Char"/>
    <w:basedOn w:val="15"/>
    <w:link w:val="6"/>
    <w:qFormat/>
    <w:uiPriority w:val="0"/>
    <w:rPr>
      <w:rFonts w:ascii="宋体" w:hAnsi="Courier New" w:cs="Courier New"/>
      <w:szCs w:val="21"/>
    </w:rPr>
  </w:style>
  <w:style w:type="character" w:customStyle="1" w:styleId="22">
    <w:name w:val="日期 Char"/>
    <w:basedOn w:val="15"/>
    <w:link w:val="7"/>
    <w:qFormat/>
    <w:uiPriority w:val="0"/>
    <w:rPr>
      <w:rFonts w:ascii="宋体" w:hAnsi="Courier New" w:cs="Courier New"/>
      <w:szCs w:val="21"/>
    </w:rPr>
  </w:style>
  <w:style w:type="character" w:customStyle="1" w:styleId="23">
    <w:name w:val="日期 Char1"/>
    <w:basedOn w:val="15"/>
    <w:semiHidden/>
    <w:qFormat/>
    <w:uiPriority w:val="99"/>
  </w:style>
  <w:style w:type="character" w:customStyle="1" w:styleId="24">
    <w:name w:val="纯文本 Char1"/>
    <w:basedOn w:val="15"/>
    <w:semiHidden/>
    <w:qFormat/>
    <w:uiPriority w:val="99"/>
    <w:rPr>
      <w:rFonts w:ascii="宋体" w:hAnsi="Courier New" w:eastAsia="宋体" w:cs="Courier New"/>
      <w:szCs w:val="21"/>
    </w:rPr>
  </w:style>
  <w:style w:type="character" w:customStyle="1" w:styleId="25">
    <w:name w:val="正文文本缩进 Char"/>
    <w:basedOn w:val="15"/>
    <w:link w:val="5"/>
    <w:qFormat/>
    <w:uiPriority w:val="0"/>
    <w:rPr>
      <w:rFonts w:ascii="仿宋_GB2312" w:hAnsi="Times New Roman" w:eastAsia="仿宋_GB2312"/>
      <w:sz w:val="32"/>
    </w:rPr>
  </w:style>
  <w:style w:type="character" w:customStyle="1" w:styleId="26">
    <w:name w:val="正文文本 Char"/>
    <w:basedOn w:val="15"/>
    <w:link w:val="4"/>
    <w:qFormat/>
    <w:uiPriority w:val="0"/>
    <w:rPr>
      <w:rFonts w:ascii="Times New Roman" w:hAnsi="Times New Roman"/>
      <w:szCs w:val="24"/>
    </w:rPr>
  </w:style>
  <w:style w:type="character" w:customStyle="1" w:styleId="27">
    <w:name w:val="标题 Char1"/>
    <w:basedOn w:val="15"/>
    <w:link w:val="12"/>
    <w:qFormat/>
    <w:uiPriority w:val="0"/>
    <w:rPr>
      <w:rFonts w:ascii="Cambria" w:hAnsi="Cambria" w:eastAsia="方正小标宋简体" w:cs="Times New Roman"/>
      <w:b/>
      <w:bCs/>
      <w:sz w:val="44"/>
      <w:szCs w:val="32"/>
    </w:rPr>
  </w:style>
  <w:style w:type="character" w:customStyle="1" w:styleId="28">
    <w:name w:val="标题 Char"/>
    <w:basedOn w:val="15"/>
    <w:qFormat/>
    <w:uiPriority w:val="10"/>
    <w:rPr>
      <w:rFonts w:eastAsia="宋体" w:asciiTheme="majorHAnsi" w:hAnsiTheme="majorHAnsi" w:cstheme="majorBidi"/>
      <w:b/>
      <w:bCs/>
      <w:sz w:val="32"/>
      <w:szCs w:val="32"/>
    </w:rPr>
  </w:style>
  <w:style w:type="character" w:customStyle="1" w:styleId="29">
    <w:name w:val="正文文本缩进 Char1"/>
    <w:basedOn w:val="15"/>
    <w:semiHidden/>
    <w:qFormat/>
    <w:uiPriority w:val="99"/>
  </w:style>
  <w:style w:type="character" w:customStyle="1" w:styleId="30">
    <w:name w:val="正文文本 Char1"/>
    <w:basedOn w:val="15"/>
    <w:semiHidden/>
    <w:qFormat/>
    <w:uiPriority w:val="99"/>
  </w:style>
  <w:style w:type="paragraph" w:customStyle="1" w:styleId="31">
    <w:name w:val="1 Char"/>
    <w:basedOn w:val="1"/>
    <w:semiHidden/>
    <w:qFormat/>
    <w:uiPriority w:val="0"/>
    <w:rPr>
      <w:rFonts w:ascii="Times New Roman" w:hAnsi="Times New Roman" w:eastAsia="宋体" w:cs="Times New Roman"/>
      <w:szCs w:val="24"/>
    </w:rPr>
  </w:style>
  <w:style w:type="character" w:customStyle="1" w:styleId="32">
    <w:name w:val="批注框文本 Char"/>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11</Pages>
  <Words>468</Words>
  <Characters>2671</Characters>
  <Lines>22</Lines>
  <Paragraphs>6</Paragraphs>
  <TotalTime>1</TotalTime>
  <ScaleCrop>false</ScaleCrop>
  <LinksUpToDate>false</LinksUpToDate>
  <CharactersWithSpaces>3133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NTKO</cp:lastModifiedBy>
  <dcterms:modified xsi:type="dcterms:W3CDTF">2022-02-18T08:08:40Z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