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b/>
          <w:bCs/>
          <w:sz w:val="28"/>
          <w:szCs w:val="28"/>
        </w:rPr>
        <w:t>合同编号:</w:t>
      </w:r>
      <w:r>
        <w:rPr>
          <w:rFonts w:ascii="仿宋_GB2312" w:hAnsi="仿宋_GB2312" w:eastAsia="仿宋_GB2312" w:cs="仿宋_GB2312"/>
          <w:b/>
          <w:bCs/>
          <w:sz w:val="28"/>
          <w:szCs w:val="28"/>
        </w:rPr>
        <w:t xml:space="preserve"> </w:t>
      </w:r>
      <w:r>
        <w:rPr>
          <w:rFonts w:ascii="仿宋_GB2312" w:hAnsi="仿宋_GB2312" w:eastAsia="仿宋_GB2312" w:cs="仿宋_GB2312"/>
          <w:sz w:val="28"/>
          <w:szCs w:val="28"/>
        </w:rPr>
        <w:t xml:space="preserve"> </w:t>
      </w:r>
    </w:p>
    <w:p>
      <w:pPr>
        <w:spacing w:line="560" w:lineRule="exact"/>
        <w:jc w:val="center"/>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b/>
          <w:bCs/>
          <w:spacing w:val="60"/>
          <w:sz w:val="44"/>
          <w:szCs w:val="44"/>
        </w:rPr>
      </w:pPr>
      <w:r>
        <w:rPr>
          <w:rFonts w:hint="eastAsia" w:ascii="STZhongsong" w:hAnsi="STZhongsong" w:eastAsia="STZhongsong" w:cs="STZhongsong"/>
          <w:spacing w:val="60"/>
          <w:sz w:val="44"/>
          <w:szCs w:val="44"/>
        </w:rPr>
        <w:t>交易合同</w:t>
      </w:r>
    </w:p>
    <w:p>
      <w:pPr>
        <w:spacing w:line="560" w:lineRule="exact"/>
        <w:jc w:val="center"/>
        <w:rPr>
          <w:rFonts w:ascii="仿宋_GB2312" w:hAnsi="仿宋_GB2312" w:eastAsia="仿宋_GB2312" w:cs="仿宋_GB2312"/>
          <w:b/>
          <w:bCs/>
          <w:sz w:val="28"/>
          <w:szCs w:val="28"/>
        </w:rPr>
      </w:pPr>
    </w:p>
    <w:p>
      <w:pPr>
        <w:spacing w:line="560" w:lineRule="exact"/>
        <w:jc w:val="center"/>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32"/>
          <w:szCs w:val="32"/>
        </w:rPr>
      </w:pPr>
    </w:p>
    <w:p>
      <w:pPr>
        <w:spacing w:line="560" w:lineRule="exact"/>
        <w:jc w:val="center"/>
        <w:rPr>
          <w:rFonts w:ascii="STZhongsong" w:hAnsi="STZhongsong" w:eastAsia="STZhongsong" w:cs="STZhongsong"/>
          <w:sz w:val="32"/>
          <w:szCs w:val="32"/>
        </w:rPr>
      </w:pPr>
      <w:r>
        <w:rPr>
          <w:rFonts w:hint="eastAsia" w:ascii="STZhongsong" w:hAnsi="STZhongsong" w:eastAsia="STZhongsong" w:cs="STZhongsong"/>
          <w:sz w:val="32"/>
          <w:szCs w:val="32"/>
        </w:rPr>
        <w:t>转让标的物</w:t>
      </w:r>
    </w:p>
    <w:p>
      <w:pPr>
        <w:spacing w:line="560" w:lineRule="exact"/>
        <w:jc w:val="center"/>
        <w:rPr>
          <w:rFonts w:ascii="STZhongsong" w:hAnsi="STZhongsong" w:eastAsia="STZhongsong" w:cs="STZhongsong"/>
          <w:sz w:val="32"/>
          <w:szCs w:val="32"/>
          <w:u w:val="single"/>
        </w:rPr>
      </w:pPr>
      <w:r>
        <w:rPr>
          <w:rFonts w:hint="eastAsia" w:ascii="STZhongsong" w:hAnsi="STZhongsong" w:eastAsia="STZhongsong" w:cs="STZhongsong"/>
          <w:sz w:val="32"/>
          <w:szCs w:val="32"/>
        </w:rPr>
        <w:t>广西有色金属集团有限公司所持</w:t>
      </w:r>
      <w:r>
        <w:rPr>
          <w:rFonts w:hint="eastAsia" w:ascii="STZhongsong" w:hAnsi="STZhongsong" w:eastAsia="STZhongsong" w:cs="STZhongsong"/>
          <w:sz w:val="32"/>
          <w:szCs w:val="32"/>
          <w:u w:val="single"/>
        </w:rPr>
        <w:t xml:space="preserve"> </w:t>
      </w:r>
      <w:r>
        <w:rPr>
          <w:rFonts w:ascii="STZhongsong" w:hAnsi="STZhongsong" w:eastAsia="STZhongsong" w:cs="STZhongsong"/>
          <w:sz w:val="32"/>
          <w:szCs w:val="32"/>
          <w:u w:val="single"/>
        </w:rPr>
        <w:t xml:space="preserve">    </w:t>
      </w:r>
      <w:r>
        <w:rPr>
          <w:rFonts w:hint="eastAsia" w:ascii="STZhongsong" w:hAnsi="STZhongsong" w:eastAsia="STZhongsong" w:cs="STZhongsong"/>
          <w:sz w:val="32"/>
          <w:szCs w:val="32"/>
        </w:rPr>
        <w:t>债权</w:t>
      </w: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jc w:val="center"/>
        <w:rPr>
          <w:rFonts w:ascii="仿宋_GB2312" w:hAnsi="仿宋_GB2312" w:eastAsia="仿宋_GB2312" w:cs="仿宋_GB2312"/>
          <w:sz w:val="28"/>
          <w:szCs w:val="28"/>
        </w:rPr>
      </w:pPr>
    </w:p>
    <w:p>
      <w:pPr>
        <w:spacing w:line="560" w:lineRule="exact"/>
        <w:rPr>
          <w:rFonts w:ascii="仿宋_GB2312" w:hAnsi="仿宋_GB2312" w:eastAsia="仿宋_GB2312" w:cs="仿宋_GB2312"/>
          <w:b/>
          <w:bCs/>
          <w:sz w:val="28"/>
          <w:szCs w:val="28"/>
        </w:rPr>
      </w:pPr>
    </w:p>
    <w:p>
      <w:pPr>
        <w:spacing w:line="560" w:lineRule="exact"/>
        <w:rPr>
          <w:rFonts w:ascii="仿宋_GB2312" w:hAnsi="仿宋_GB2312" w:eastAsia="仿宋_GB2312" w:cs="仿宋_GB2312"/>
          <w:b/>
          <w:bCs/>
          <w:sz w:val="28"/>
          <w:szCs w:val="28"/>
        </w:rPr>
      </w:pPr>
    </w:p>
    <w:p>
      <w:pPr>
        <w:spacing w:line="560" w:lineRule="exact"/>
        <w:ind w:firstLine="420"/>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本合同当事人</w:t>
      </w:r>
    </w:p>
    <w:p>
      <w:pPr>
        <w:spacing w:line="560" w:lineRule="exact"/>
        <w:ind w:firstLine="420"/>
        <w:jc w:val="center"/>
        <w:rPr>
          <w:rFonts w:ascii="仿宋_GB2312" w:hAnsi="仿宋_GB2312" w:eastAsia="仿宋_GB2312" w:cs="仿宋_GB2312"/>
          <w:b/>
          <w:bCs/>
          <w:sz w:val="28"/>
          <w:szCs w:val="28"/>
        </w:rPr>
      </w:pPr>
    </w:p>
    <w:p>
      <w:pPr>
        <w:spacing w:line="560" w:lineRule="exact"/>
        <w:ind w:firstLine="42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转让方（以下简称甲方）：广西有色金属集团有限公司</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注册地址/住所：南宁市青秀区金浦路22号名都大厦九层</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代表人：广西有色金属集团有限公司管理人</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负责人：吴光                   职务：管理人组长</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电话：13877143176               邮箱：gxnfadmin@163.com：</w:t>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竞得方（以下简称乙方）：</w:t>
      </w:r>
      <w:r>
        <w:rPr>
          <w:rFonts w:ascii="仿宋_GB2312" w:hAnsi="仿宋_GB2312" w:eastAsia="仿宋_GB2312" w:cs="仿宋_GB2312"/>
          <w:sz w:val="28"/>
          <w:szCs w:val="28"/>
        </w:rPr>
        <w:t xml:space="preserve"> </w:t>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注册地址/住所：</w:t>
      </w:r>
      <w:r>
        <w:rPr>
          <w:rFonts w:ascii="仿宋_GB2312" w:hAnsi="仿宋_GB2312" w:eastAsia="仿宋_GB2312" w:cs="仿宋_GB2312"/>
          <w:sz w:val="28"/>
          <w:szCs w:val="28"/>
        </w:rPr>
        <w:t xml:space="preserve"> </w:t>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法定代表人：         职务：</w:t>
      </w:r>
      <w:r>
        <w:rPr>
          <w:rFonts w:ascii="仿宋_GB2312" w:hAnsi="仿宋_GB2312" w:eastAsia="仿宋_GB2312" w:cs="仿宋_GB2312"/>
          <w:sz w:val="28"/>
          <w:szCs w:val="28"/>
        </w:rPr>
        <w:t xml:space="preserve"> </w:t>
      </w: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电话：       邮箱：</w:t>
      </w:r>
    </w:p>
    <w:p>
      <w:pPr>
        <w:spacing w:line="560" w:lineRule="exact"/>
        <w:ind w:firstLine="420"/>
        <w:rPr>
          <w:rFonts w:ascii="仿宋_GB2312" w:hAnsi="仿宋_GB2312" w:eastAsia="仿宋_GB2312" w:cs="仿宋_GB2312"/>
          <w:sz w:val="28"/>
          <w:szCs w:val="28"/>
        </w:rPr>
      </w:pPr>
    </w:p>
    <w:p>
      <w:pPr>
        <w:spacing w:line="560" w:lineRule="exact"/>
        <w:ind w:firstLine="420"/>
        <w:rPr>
          <w:rFonts w:ascii="仿宋_GB2312" w:hAnsi="仿宋_GB2312" w:eastAsia="仿宋_GB2312" w:cs="仿宋_GB2312"/>
          <w:b/>
          <w:sz w:val="28"/>
          <w:szCs w:val="28"/>
        </w:rPr>
      </w:pPr>
      <w:r>
        <w:rPr>
          <w:rFonts w:hint="eastAsia" w:ascii="仿宋_GB2312" w:hAnsi="仿宋_GB2312" w:eastAsia="仿宋_GB2312" w:cs="仿宋_GB2312"/>
          <w:b/>
          <w:sz w:val="28"/>
          <w:szCs w:val="28"/>
        </w:rPr>
        <w:t>鉴于：</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1．南宁市中级人民法院于</w:t>
      </w:r>
      <w:r>
        <w:rPr>
          <w:rFonts w:hint="eastAsia" w:ascii="仿宋_GB2312" w:hAnsi="仿宋_GB2312" w:eastAsia="仿宋_GB2312" w:cs="仿宋_GB2312"/>
          <w:sz w:val="28"/>
          <w:szCs w:val="28"/>
          <w:u w:val="single"/>
        </w:rPr>
        <w:t>2016</w:t>
      </w:r>
      <w:r>
        <w:rPr>
          <w:rFonts w:hint="eastAsia" w:ascii="仿宋_GB2312" w:hAnsi="仿宋_GB2312" w:eastAsia="仿宋_GB2312" w:cs="仿宋_GB2312"/>
          <w:sz w:val="28"/>
          <w:szCs w:val="28"/>
        </w:rPr>
        <w:t>年</w:t>
      </w:r>
      <w:r>
        <w:rPr>
          <w:rFonts w:hint="eastAsia" w:ascii="仿宋_GB2312" w:hAnsi="仿宋_GB2312" w:eastAsia="仿宋_GB2312" w:cs="仿宋_GB2312"/>
          <w:sz w:val="28"/>
          <w:szCs w:val="28"/>
          <w:u w:val="single"/>
        </w:rPr>
        <w:t>9</w:t>
      </w:r>
      <w:r>
        <w:rPr>
          <w:rFonts w:hint="eastAsia" w:ascii="仿宋_GB2312" w:hAnsi="仿宋_GB2312" w:eastAsia="仿宋_GB2312" w:cs="仿宋_GB2312"/>
          <w:sz w:val="28"/>
          <w:szCs w:val="28"/>
        </w:rPr>
        <w:t>月</w:t>
      </w:r>
      <w:r>
        <w:rPr>
          <w:rFonts w:hint="eastAsia" w:ascii="仿宋_GB2312" w:hAnsi="仿宋_GB2312" w:eastAsia="仿宋_GB2312" w:cs="仿宋_GB2312"/>
          <w:sz w:val="28"/>
          <w:szCs w:val="28"/>
          <w:u w:val="single"/>
        </w:rPr>
        <w:t>12</w:t>
      </w:r>
      <w:r>
        <w:rPr>
          <w:rFonts w:hint="eastAsia" w:ascii="仿宋_GB2312" w:hAnsi="仿宋_GB2312" w:eastAsia="仿宋_GB2312" w:cs="仿宋_GB2312"/>
          <w:sz w:val="28"/>
          <w:szCs w:val="28"/>
        </w:rPr>
        <w:t>日宣告广西有色金属集团有限公司破产，并指定清算组为广西有色金属集团有限公司管理人（以下简称管理人）；</w:t>
      </w:r>
    </w:p>
    <w:p>
      <w:pPr>
        <w:spacing w:line="560" w:lineRule="exact"/>
        <w:ind w:firstLine="425" w:firstLineChars="152"/>
        <w:rPr>
          <w:rFonts w:ascii="仿宋_GB2312" w:hAnsi="仿宋_GB2312" w:eastAsia="仿宋_GB2312" w:cs="仿宋_GB2312"/>
          <w:sz w:val="28"/>
          <w:szCs w:val="28"/>
        </w:rPr>
      </w:pPr>
      <w:r>
        <w:rPr>
          <w:rFonts w:hint="eastAsia" w:ascii="仿宋_GB2312" w:hAnsi="仿宋_GB2312" w:eastAsia="仿宋_GB2312" w:cs="仿宋_GB2312"/>
          <w:sz w:val="28"/>
          <w:szCs w:val="28"/>
        </w:rPr>
        <w:t>2</w:t>
      </w:r>
      <w:r>
        <w:rPr>
          <w:rFonts w:ascii="仿宋_GB2312" w:hAnsi="仿宋_GB2312" w:eastAsia="仿宋_GB2312" w:cs="仿宋_GB2312"/>
          <w:sz w:val="28"/>
          <w:szCs w:val="28"/>
        </w:rPr>
        <w:t>.</w:t>
      </w:r>
      <w:r>
        <w:rPr>
          <w:rFonts w:hint="eastAsia" w:ascii="仿宋_GB2312" w:hAnsi="仿宋_GB2312" w:eastAsia="仿宋_GB2312" w:cs="仿宋_GB2312"/>
          <w:sz w:val="28"/>
          <w:szCs w:val="28"/>
        </w:rPr>
        <w:t>本合同转让所涉及之标的债权是甲方对标的企业享有的合法债权，经甲方评估，截至</w:t>
      </w:r>
      <w:r>
        <w:rPr>
          <w:rFonts w:ascii="仿宋_GB2312" w:hAnsi="仿宋_GB2312" w:eastAsia="仿宋_GB2312" w:cs="仿宋_GB2312"/>
          <w:sz w:val="28"/>
          <w:szCs w:val="28"/>
        </w:rPr>
        <w:t>2021</w:t>
      </w:r>
      <w:r>
        <w:rPr>
          <w:rFonts w:hint="eastAsia" w:ascii="仿宋_GB2312" w:hAnsi="仿宋_GB2312" w:eastAsia="仿宋_GB2312" w:cs="仿宋_GB2312"/>
          <w:sz w:val="28"/>
          <w:szCs w:val="28"/>
        </w:rPr>
        <w:t>年8月31日，该债权金额本金为【</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】元；本标的债权转让范围包括但不限于截至</w:t>
      </w:r>
      <w:r>
        <w:rPr>
          <w:rFonts w:ascii="仿宋_GB2312" w:hAnsi="仿宋_GB2312" w:eastAsia="仿宋_GB2312" w:cs="仿宋_GB2312"/>
          <w:sz w:val="28"/>
          <w:szCs w:val="28"/>
        </w:rPr>
        <w:t>2021</w:t>
      </w:r>
      <w:r>
        <w:rPr>
          <w:rFonts w:hint="eastAsia" w:ascii="仿宋_GB2312" w:hAnsi="仿宋_GB2312" w:eastAsia="仿宋_GB2312" w:cs="仿宋_GB2312"/>
          <w:sz w:val="28"/>
          <w:szCs w:val="28"/>
        </w:rPr>
        <w:t>年8月31日的债权</w:t>
      </w:r>
      <w:r>
        <w:rPr>
          <w:rFonts w:hint="eastAsia" w:ascii="仿宋_GB2312" w:hAnsi="仿宋_GB2312" w:eastAsia="仿宋_GB2312" w:cs="仿宋_GB2312"/>
          <w:sz w:val="28"/>
          <w:szCs w:val="28"/>
          <w:u w:val="single"/>
        </w:rPr>
        <w:t xml:space="preserve">本金【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w:t>
      </w:r>
      <w:r>
        <w:rPr>
          <w:rFonts w:hint="eastAsia" w:ascii="仿宋_GB2312" w:hAnsi="仿宋_GB2312" w:eastAsia="仿宋_GB2312" w:cs="仿宋_GB2312"/>
          <w:sz w:val="28"/>
          <w:szCs w:val="28"/>
        </w:rPr>
        <w:t>元及之后可持续计算的利息、罚息（如有）、违约金（如有）、赔偿金（如有）以及担保权利（如有）等；</w:t>
      </w:r>
    </w:p>
    <w:p>
      <w:pPr>
        <w:pStyle w:val="13"/>
        <w:spacing w:line="560" w:lineRule="exact"/>
        <w:ind w:firstLine="425" w:firstLineChars="152"/>
        <w:rPr>
          <w:rFonts w:ascii="仿宋_GB2312" w:hAnsi="仿宋_GB2312" w:eastAsia="仿宋_GB2312" w:cs="仿宋_GB2312"/>
          <w:sz w:val="28"/>
          <w:szCs w:val="28"/>
        </w:rPr>
      </w:pPr>
      <w:r>
        <w:rPr>
          <w:rFonts w:ascii="仿宋_GB2312" w:hAnsi="仿宋_GB2312" w:eastAsia="仿宋_GB2312" w:cs="仿宋_GB2312"/>
          <w:sz w:val="28"/>
          <w:szCs w:val="28"/>
        </w:rPr>
        <w:t>3.</w:t>
      </w:r>
      <w:r>
        <w:rPr>
          <w:rFonts w:hint="eastAsia" w:ascii="仿宋_GB2312" w:hAnsi="仿宋_GB2312" w:eastAsia="仿宋_GB2312" w:cs="仿宋_GB2312"/>
          <w:sz w:val="28"/>
          <w:szCs w:val="28"/>
        </w:rPr>
        <w:t>乙方为依据中国法律依法设立并合法存续的企业，注册号/统一社会信用代码：</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color w:val="131313"/>
          <w:sz w:val="28"/>
          <w:szCs w:val="28"/>
          <w:u w:val="single"/>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/乙方为具有完全民事行为能力的自然人，公民身份号码为：</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sz w:val="28"/>
          <w:szCs w:val="28"/>
          <w:u w:val="single"/>
        </w:rPr>
        <w:t xml:space="preserve">                      </w:t>
      </w:r>
    </w:p>
    <w:p>
      <w:pPr>
        <w:spacing w:line="560" w:lineRule="exact"/>
        <w:ind w:firstLine="42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根据《中华人民共和国民法典》《中华人民共和国企业破产法》等相关法律、法规、规章的规定，甲乙双方遵循自愿、公平、诚实信用的原则，经友好协商，就甲方拟转让其拥有的【</w:t>
      </w:r>
      <w:r>
        <w:rPr>
          <w:rFonts w:hint="eastAsia" w:ascii="仿宋_GB2312" w:hAnsi="仿宋_GB2312" w:eastAsia="仿宋_GB2312" w:cs="仿宋_GB2312"/>
          <w:sz w:val="28"/>
          <w:szCs w:val="28"/>
          <w:u w:val="single"/>
        </w:rPr>
        <w:t xml:space="preserve"> 债务人名称</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】债权相关事宜达成一致，签订本交易合同（以下简称“</w:t>
      </w:r>
      <w:r>
        <w:rPr>
          <w:rFonts w:hint="eastAsia" w:ascii="仿宋_GB2312" w:hAnsi="仿宋_GB2312" w:eastAsia="仿宋_GB2312" w:cs="仿宋_GB2312"/>
          <w:b/>
          <w:bCs/>
          <w:sz w:val="28"/>
          <w:szCs w:val="28"/>
        </w:rPr>
        <w:t>本合同”</w:t>
      </w:r>
      <w:r>
        <w:rPr>
          <w:rFonts w:hint="eastAsia" w:ascii="仿宋_GB2312" w:hAnsi="仿宋_GB2312" w:eastAsia="仿宋_GB2312" w:cs="仿宋_GB2312"/>
          <w:sz w:val="28"/>
          <w:szCs w:val="28"/>
        </w:rPr>
        <w:t>）如下：</w:t>
      </w:r>
    </w:p>
    <w:p>
      <w:pPr>
        <w:spacing w:line="560" w:lineRule="exact"/>
        <w:rPr>
          <w:rFonts w:ascii="仿宋_GB2312" w:hAnsi="仿宋_GB2312" w:eastAsia="仿宋_GB2312" w:cs="仿宋_GB2312"/>
          <w:sz w:val="28"/>
          <w:szCs w:val="28"/>
        </w:rPr>
      </w:pPr>
    </w:p>
    <w:p>
      <w:pPr>
        <w:numPr>
          <w:ilvl w:val="0"/>
          <w:numId w:val="1"/>
        </w:numPr>
        <w:spacing w:before="156" w:beforeLines="50" w:line="560" w:lineRule="exact"/>
        <w:ind w:left="0"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转让标的物</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 甲方将以下 “标的债权”转让给乙方：</w:t>
      </w:r>
    </w:p>
    <w:p>
      <w:pPr>
        <w:spacing w:line="560" w:lineRule="exact"/>
        <w:ind w:firstLine="565" w:firstLineChars="202"/>
        <w:rPr>
          <w:rFonts w:ascii="仿宋_GB2312" w:hAnsi="仿宋_GB2312" w:eastAsia="仿宋_GB2312" w:cs="仿宋_GB2312"/>
          <w:sz w:val="28"/>
          <w:szCs w:val="28"/>
        </w:rPr>
      </w:pPr>
      <w:r>
        <w:rPr>
          <w:rFonts w:hint="eastAsia" w:ascii="仿宋_GB2312" w:hAnsi="仿宋_GB2312" w:eastAsia="仿宋_GB2312" w:cs="仿宋_GB2312"/>
          <w:sz w:val="28"/>
          <w:szCs w:val="28"/>
        </w:rPr>
        <w:t>标的债权：甲方对债务人所享有的全部债权（包含本金、利息、罚息、违约金、赔偿金、实现债权的费用等）。截至</w:t>
      </w:r>
      <w:r>
        <w:rPr>
          <w:rFonts w:ascii="仿宋_GB2312" w:hAnsi="仿宋_GB2312" w:eastAsia="仿宋_GB2312" w:cs="仿宋_GB2312"/>
          <w:sz w:val="28"/>
          <w:szCs w:val="28"/>
        </w:rPr>
        <w:t>2021</w:t>
      </w:r>
      <w:r>
        <w:rPr>
          <w:rFonts w:hint="eastAsia" w:ascii="仿宋_GB2312" w:hAnsi="仿宋_GB2312" w:eastAsia="仿宋_GB2312" w:cs="仿宋_GB2312"/>
          <w:sz w:val="28"/>
          <w:szCs w:val="28"/>
        </w:rPr>
        <w:t>年8月31日，标的债权的本金为</w:t>
      </w:r>
      <w:r>
        <w:rPr>
          <w:rFonts w:hint="eastAsia" w:ascii="仿宋_GB2312" w:hAnsi="仿宋_GB2312" w:eastAsia="仿宋_GB2312" w:cs="仿宋_GB2312"/>
          <w:sz w:val="28"/>
          <w:szCs w:val="28"/>
          <w:u w:val="single"/>
        </w:rPr>
        <w:t xml:space="preserve"> 【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元。</w:t>
      </w:r>
    </w:p>
    <w:p>
      <w:pPr>
        <w:spacing w:line="560" w:lineRule="exact"/>
        <w:ind w:left="420" w:leftChars="200"/>
        <w:rPr>
          <w:rFonts w:ascii="仿宋_GB2312" w:hAnsi="仿宋_GB2312" w:eastAsia="仿宋_GB2312" w:cs="仿宋_GB2312"/>
          <w:sz w:val="28"/>
          <w:szCs w:val="28"/>
        </w:rPr>
      </w:pPr>
      <w:r>
        <w:rPr>
          <w:rFonts w:hint="eastAsia" w:ascii="仿宋_GB2312" w:hAnsi="仿宋_GB2312" w:eastAsia="仿宋_GB2312" w:cs="仿宋_GB2312"/>
          <w:sz w:val="28"/>
          <w:szCs w:val="28"/>
        </w:rPr>
        <w:t>上述 “标的债权”，以下称为“标的物”。</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第二条  转让方式</w:t>
      </w:r>
    </w:p>
    <w:p>
      <w:pPr>
        <w:spacing w:line="560" w:lineRule="exact"/>
        <w:ind w:firstLine="420"/>
        <w:rPr>
          <w:rFonts w:ascii="仿宋_GB2312" w:hAnsi="仿宋_GB2312" w:eastAsia="仿宋_GB2312" w:cs="仿宋_GB2312"/>
          <w:bCs/>
          <w:sz w:val="28"/>
          <w:szCs w:val="28"/>
        </w:rPr>
      </w:pPr>
      <w:r>
        <w:rPr>
          <w:rFonts w:hint="eastAsia" w:ascii="仿宋_GB2312" w:hAnsi="仿宋_GB2312" w:eastAsia="仿宋_GB2312" w:cs="仿宋_GB2312"/>
          <w:bCs/>
          <w:sz w:val="28"/>
          <w:szCs w:val="28"/>
        </w:rPr>
        <w:t>本合同项下标的物已经北部湾产权交易所集团股份有限公司（以下简称北部湾产权交易所）公开挂牌，采用网络竞价交易方式，最终由乙方竞得，成为本合同项下标的物的最终受让人。</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第三条  转让价款及支付</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3.1转让价款</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根据公开竞价结果，甲方将本合同项下的标的物以人民币（大写）</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】元整</w:t>
      </w:r>
      <w:r>
        <w:rPr>
          <w:rFonts w:hint="eastAsia" w:ascii="仿宋_GB2312" w:hAnsi="仿宋_GB2312" w:eastAsia="仿宋_GB2312" w:cs="仿宋_GB2312"/>
          <w:sz w:val="28"/>
          <w:szCs w:val="28"/>
        </w:rPr>
        <w:t>〖即：人民币（小写）</w:t>
      </w:r>
      <w:r>
        <w:rPr>
          <w:rFonts w:hint="eastAsia" w:ascii="仿宋_GB2312" w:hAnsi="仿宋_GB2312" w:eastAsia="仿宋_GB2312" w:cs="仿宋_GB2312"/>
          <w:sz w:val="28"/>
          <w:szCs w:val="28"/>
          <w:u w:val="single"/>
        </w:rPr>
        <w:t>【 】元</w:t>
      </w:r>
      <w:r>
        <w:rPr>
          <w:rFonts w:hint="eastAsia" w:ascii="仿宋_GB2312" w:hAnsi="仿宋_GB2312" w:eastAsia="仿宋_GB2312" w:cs="仿宋_GB2312"/>
          <w:sz w:val="28"/>
          <w:szCs w:val="28"/>
        </w:rPr>
        <w:t>〗转让给乙方。</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3.2计价货币</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上述转让价款以人民币作为计价单位。</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3.3转让价款支付方式</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3.3.1 乙方按照甲方和北部湾产权交易所的要求支付的保证金，经双方协商，</w:t>
      </w:r>
      <w:r>
        <w:rPr>
          <w:rFonts w:hint="eastAsia" w:ascii="仿宋" w:hAnsi="仿宋" w:eastAsia="仿宋" w:cs="仿宋"/>
          <w:sz w:val="28"/>
          <w:szCs w:val="28"/>
        </w:rPr>
        <w:t>若乙方不存在任何违约情形，</w:t>
      </w:r>
      <w:r>
        <w:rPr>
          <w:rFonts w:hint="eastAsia" w:ascii="仿宋_GB2312" w:hAnsi="仿宋_GB2312" w:eastAsia="仿宋_GB2312" w:cs="仿宋_GB2312"/>
          <w:sz w:val="28"/>
          <w:szCs w:val="28"/>
        </w:rPr>
        <w:t>可以折抵为乙方应支付的转让价款的一部分。</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3.3.2 乙方采用一次性付款的方式支付转</w:t>
      </w:r>
      <w:r>
        <w:rPr>
          <w:rFonts w:ascii="仿宋_GB2312" w:hAnsi="仿宋_GB2312" w:eastAsia="仿宋_GB2312" w:cs="仿宋_GB2312"/>
          <w:sz w:val="28"/>
          <w:szCs w:val="28"/>
        </w:rPr>
        <w:t>让</w:t>
      </w:r>
      <w:r>
        <w:rPr>
          <w:rFonts w:hint="eastAsia" w:ascii="仿宋_GB2312" w:hAnsi="仿宋_GB2312" w:eastAsia="仿宋_GB2312" w:cs="仿宋_GB2312"/>
          <w:sz w:val="28"/>
          <w:szCs w:val="28"/>
        </w:rPr>
        <w:t>价</w:t>
      </w:r>
      <w:r>
        <w:rPr>
          <w:rFonts w:ascii="仿宋_GB2312" w:hAnsi="仿宋_GB2312" w:eastAsia="仿宋_GB2312" w:cs="仿宋_GB2312"/>
          <w:sz w:val="28"/>
          <w:szCs w:val="28"/>
        </w:rPr>
        <w:t>款</w:t>
      </w:r>
      <w:r>
        <w:rPr>
          <w:rFonts w:hint="eastAsia" w:ascii="仿宋_GB2312" w:hAnsi="仿宋_GB2312" w:eastAsia="仿宋_GB2312" w:cs="仿宋_GB2312"/>
          <w:sz w:val="28"/>
          <w:szCs w:val="28"/>
        </w:rPr>
        <w:t>，在扣除原乙方在竞拍过程中已支付的保证金</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w:t>
      </w:r>
      <w:r>
        <w:rPr>
          <w:rFonts w:hint="eastAsia" w:ascii="仿宋_GB2312" w:hAnsi="仿宋_GB2312" w:eastAsia="仿宋_GB2312" w:cs="仿宋_GB2312"/>
          <w:sz w:val="28"/>
          <w:szCs w:val="28"/>
        </w:rPr>
        <w:t>元〖即：人民币（小写）</w:t>
      </w:r>
      <w:r>
        <w:rPr>
          <w:rFonts w:hint="eastAsia" w:ascii="仿宋_GB2312" w:hAnsi="仿宋_GB2312" w:eastAsia="仿宋_GB2312" w:cs="仿宋_GB2312"/>
          <w:sz w:val="28"/>
          <w:szCs w:val="28"/>
          <w:u w:val="single"/>
        </w:rPr>
        <w:t>【 】元</w:t>
      </w:r>
      <w:r>
        <w:rPr>
          <w:rFonts w:hint="eastAsia" w:ascii="仿宋_GB2312" w:hAnsi="仿宋_GB2312" w:eastAsia="仿宋_GB2312" w:cs="仿宋_GB2312"/>
          <w:sz w:val="28"/>
          <w:szCs w:val="28"/>
        </w:rPr>
        <w:t>〗后，剩余款项</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w:t>
      </w:r>
      <w:r>
        <w:rPr>
          <w:rFonts w:hint="eastAsia" w:ascii="仿宋_GB2312" w:hAnsi="仿宋_GB2312" w:eastAsia="仿宋_GB2312" w:cs="仿宋_GB2312"/>
          <w:sz w:val="28"/>
          <w:szCs w:val="28"/>
        </w:rPr>
        <w:t>元整〖即：人民币（小写）</w:t>
      </w:r>
      <w:r>
        <w:rPr>
          <w:rFonts w:hint="eastAsia" w:ascii="仿宋_GB2312" w:hAnsi="仿宋_GB2312" w:eastAsia="仿宋_GB2312" w:cs="仿宋_GB2312"/>
          <w:sz w:val="28"/>
          <w:szCs w:val="28"/>
          <w:u w:val="single"/>
        </w:rPr>
        <w:t xml:space="preserve">【 </w:t>
      </w:r>
      <w:r>
        <w:rPr>
          <w:rFonts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rPr>
        <w:t>】</w:t>
      </w:r>
      <w:r>
        <w:rPr>
          <w:rFonts w:hint="eastAsia" w:ascii="仿宋_GB2312" w:hAnsi="仿宋_GB2312" w:eastAsia="仿宋_GB2312" w:cs="仿宋_GB2312"/>
          <w:sz w:val="28"/>
          <w:szCs w:val="28"/>
        </w:rPr>
        <w:t>元</w:t>
      </w:r>
      <w:r>
        <w:rPr>
          <w:rFonts w:hint="eastAsia" w:ascii="仿宋_GB2312" w:hAnsi="仿宋_GB2312" w:eastAsia="仿宋_GB2312" w:cs="仿宋_GB2312"/>
          <w:sz w:val="28"/>
          <w:szCs w:val="28"/>
          <w:u w:val="single"/>
        </w:rPr>
        <w:t>元</w:t>
      </w:r>
      <w:r>
        <w:rPr>
          <w:rFonts w:hint="eastAsia" w:ascii="仿宋_GB2312" w:hAnsi="仿宋_GB2312" w:eastAsia="仿宋_GB2312" w:cs="仿宋_GB2312"/>
          <w:sz w:val="28"/>
          <w:szCs w:val="28"/>
        </w:rPr>
        <w:t>〗于本合同签署之日起</w:t>
      </w:r>
      <w:r>
        <w:rPr>
          <w:rFonts w:ascii="仿宋_GB2312" w:hAnsi="仿宋_GB2312" w:eastAsia="仿宋_GB2312" w:cs="仿宋_GB2312"/>
          <w:sz w:val="28"/>
          <w:szCs w:val="28"/>
        </w:rPr>
        <w:t>3</w:t>
      </w:r>
      <w:r>
        <w:rPr>
          <w:rFonts w:hint="eastAsia" w:ascii="仿宋_GB2312" w:hAnsi="仿宋_GB2312" w:eastAsia="仿宋_GB2312" w:cs="仿宋_GB2312"/>
          <w:sz w:val="28"/>
          <w:szCs w:val="28"/>
        </w:rPr>
        <w:t>日内向北部湾产权交易所E交易推送账户一次性支付。</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3.3.3 北部湾产权交易所在收到第3.3.2条约定的转让价款之日起</w:t>
      </w:r>
      <w:r>
        <w:rPr>
          <w:rFonts w:hint="eastAsia" w:ascii="仿宋_GB2312" w:hAnsi="仿宋_GB2312" w:eastAsia="仿宋_GB2312" w:cs="仿宋_GB2312"/>
          <w:sz w:val="28"/>
          <w:szCs w:val="28"/>
          <w:u w:val="single"/>
        </w:rPr>
        <w:t>3日</w:t>
      </w:r>
      <w:r>
        <w:rPr>
          <w:rFonts w:hint="eastAsia" w:ascii="仿宋_GB2312" w:hAnsi="仿宋_GB2312" w:eastAsia="仿宋_GB2312" w:cs="仿宋_GB2312"/>
          <w:sz w:val="28"/>
          <w:szCs w:val="28"/>
        </w:rPr>
        <w:t>内，将转让价款转付至甲方以下银行账户：</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户  名：广西有色金属集团有限公司管理人 </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账  号：中国建设银行股份有限公司南宁五象广场支行</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开户行： 4505 0160 4663 0000 0056</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第四条  标的物交割</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4.1 乙方将第3.1条约定的全部转让价款汇入北部湾产权交易所指定的结算账户后</w:t>
      </w:r>
      <w:r>
        <w:rPr>
          <w:rFonts w:hint="eastAsia" w:ascii="仿宋_GB2312" w:hAnsi="仿宋_GB2312" w:eastAsia="仿宋_GB2312" w:cs="仿宋_GB2312"/>
          <w:sz w:val="28"/>
          <w:szCs w:val="28"/>
          <w:u w:val="single"/>
        </w:rPr>
        <w:t>5个工作日</w:t>
      </w:r>
      <w:r>
        <w:rPr>
          <w:rFonts w:hint="eastAsia" w:ascii="仿宋_GB2312" w:hAnsi="仿宋_GB2312" w:eastAsia="仿宋_GB2312" w:cs="仿宋_GB2312"/>
          <w:sz w:val="28"/>
          <w:szCs w:val="28"/>
        </w:rPr>
        <w:t>内，由北部湾产权交易所出具产权交易鉴证书。</w:t>
      </w:r>
    </w:p>
    <w:p>
      <w:pPr>
        <w:spacing w:line="560" w:lineRule="exact"/>
        <w:ind w:firstLine="560" w:firstLineChars="200"/>
        <w:rPr>
          <w:rFonts w:ascii="仿宋" w:hAnsi="仿宋" w:eastAsia="仿宋" w:cs="仿宋"/>
          <w:sz w:val="28"/>
          <w:szCs w:val="28"/>
        </w:rPr>
      </w:pPr>
      <w:r>
        <w:rPr>
          <w:rFonts w:hint="eastAsia" w:ascii="仿宋_GB2312" w:hAnsi="仿宋_GB2312" w:eastAsia="仿宋_GB2312" w:cs="仿宋_GB2312"/>
          <w:sz w:val="28"/>
          <w:szCs w:val="28"/>
        </w:rPr>
        <w:t>4.2 甲方收到北部湾产权交易所转付的全部转让价款之日起</w:t>
      </w:r>
      <w:r>
        <w:rPr>
          <w:rFonts w:hint="eastAsia" w:ascii="仿宋_GB2312" w:hAnsi="仿宋_GB2312" w:eastAsia="仿宋_GB2312" w:cs="仿宋_GB2312"/>
          <w:sz w:val="28"/>
          <w:szCs w:val="28"/>
          <w:u w:val="single"/>
        </w:rPr>
        <w:t>60日</w:t>
      </w:r>
      <w:r>
        <w:rPr>
          <w:rFonts w:hint="eastAsia" w:ascii="仿宋_GB2312" w:hAnsi="仿宋_GB2312" w:eastAsia="仿宋_GB2312" w:cs="仿宋_GB2312"/>
          <w:sz w:val="28"/>
          <w:szCs w:val="28"/>
        </w:rPr>
        <w:t>内，</w:t>
      </w:r>
      <w:r>
        <w:rPr>
          <w:rFonts w:hint="eastAsia" w:ascii="仿宋" w:hAnsi="仿宋" w:eastAsia="仿宋" w:cs="仿宋"/>
          <w:sz w:val="28"/>
          <w:szCs w:val="28"/>
        </w:rPr>
        <w:t>甲方配合乙方办理拍卖标的交付手续。乙方在付清全部转让价款后5个工作日内接收转让标的相关资料，逾期未接收，产生的相关费用及资料毁损、灭失责任由乙方自行承担。</w:t>
      </w:r>
    </w:p>
    <w:p>
      <w:p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4.</w:t>
      </w:r>
      <w:r>
        <w:rPr>
          <w:rFonts w:ascii="仿宋" w:hAnsi="仿宋" w:eastAsia="仿宋" w:cs="仿宋"/>
          <w:sz w:val="28"/>
          <w:szCs w:val="28"/>
        </w:rPr>
        <w:t>3</w:t>
      </w:r>
      <w:r>
        <w:rPr>
          <w:rFonts w:hint="eastAsia" w:ascii="仿宋" w:hAnsi="仿宋" w:eastAsia="仿宋" w:cs="仿宋"/>
          <w:sz w:val="28"/>
          <w:szCs w:val="28"/>
        </w:rPr>
        <w:t xml:space="preserve"> 乙方付清全部转让价款后，标的物的所有权及与其相关的所有权利、义务、风险自拍卖成交之日起转移至乙方。</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第五条  特别约定</w:t>
      </w:r>
    </w:p>
    <w:p>
      <w:pPr>
        <w:numPr>
          <w:ilvl w:val="255"/>
          <w:numId w:val="0"/>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5.1</w:t>
      </w:r>
      <w:bookmarkStart w:id="0" w:name="_Hlk89182314"/>
      <w:r>
        <w:rPr>
          <w:rFonts w:hint="eastAsia" w:ascii="仿宋" w:hAnsi="仿宋" w:eastAsia="仿宋" w:cs="仿宋"/>
          <w:sz w:val="28"/>
          <w:szCs w:val="28"/>
        </w:rPr>
        <w:t>本合同项下标的物为不良债权，甲方按照拍卖成交之日的现状转让给乙方，该现状包括但不限于标的债权的债权本金、权属状态、法律状态、实际使用状况、债权文件的状态以及标的债权可能或实际存在的瑕疵和风险等。</w:t>
      </w:r>
      <w:bookmarkEnd w:id="0"/>
    </w:p>
    <w:p>
      <w:pPr>
        <w:numPr>
          <w:ilvl w:val="255"/>
          <w:numId w:val="0"/>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5.2 </w:t>
      </w:r>
      <w:bookmarkStart w:id="1" w:name="_Hlk89182343"/>
      <w:r>
        <w:rPr>
          <w:rFonts w:hint="eastAsia" w:ascii="仿宋" w:hAnsi="仿宋" w:eastAsia="仿宋" w:cs="仿宋"/>
          <w:sz w:val="28"/>
          <w:szCs w:val="28"/>
        </w:rPr>
        <w:t>甲方在此强调标的债权存在部分或全部不能收回的风险。乙方充分知晓不良债权收购可能导致的风险，愿意承担标的物瑕疵所可能产生的不确定性风险，标的债权已经存在的瑕疵或者可能存在的瑕疵（包括但不限于超过诉讼时效或申请法院执行的期限、债权文件缺失或不完整、债权文件与事实不符、担保物灭失、裁判机构最终裁判结果与债权文件记载不一致、债务人下落不明或死亡或注销、债务人无履行能力、债权无法实现等等）、法律政策变化及经济、市场风险等，转让方均不承担任何法律担保责任。乙方不得以未披露的瑕疵，或者存在重大误解、显失公平、情势变更等为由，要求宣告本合同无效、变更本合同约定的转让价款、要求部分或者全部解除本合同或者向甲方主张损失赔偿/其他法律责任等。</w:t>
      </w:r>
      <w:bookmarkEnd w:id="1"/>
    </w:p>
    <w:p>
      <w:pPr>
        <w:numPr>
          <w:ilvl w:val="255"/>
          <w:numId w:val="0"/>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 xml:space="preserve">5.3 </w:t>
      </w:r>
      <w:bookmarkStart w:id="2" w:name="_Hlk89182406"/>
      <w:r>
        <w:rPr>
          <w:rFonts w:hint="eastAsia" w:ascii="仿宋" w:hAnsi="仿宋" w:eastAsia="仿宋" w:cs="仿宋"/>
          <w:sz w:val="28"/>
          <w:szCs w:val="28"/>
        </w:rPr>
        <w:t>乙方已被告知并完全理解及同意，甲方在本协议第一条及附件《债权转让清单》中所列之债权金额仅为甲方根据统计资料所作的一般性描述，可能存在计算误差、记录错误，或因其他原因导致乙方实际接收的标的债权所涉金额（包括但不限于本息数，下同）与附件《债权转让清单》所列金额不完全一致，甲方对此等金额误差、记录错误无须承担任何责任；甲方此次系按照本协议签订时的标的债权的现状进行转 让，若该等债权的有效性、金额与甲方判断或裁判机构最终认定的有效性、金额存在差别、误差，并不属于甲方违约。</w:t>
      </w:r>
      <w:bookmarkEnd w:id="2"/>
    </w:p>
    <w:p>
      <w:pPr>
        <w:numPr>
          <w:ilvl w:val="255"/>
          <w:numId w:val="0"/>
        </w:numPr>
        <w:spacing w:line="560" w:lineRule="exact"/>
        <w:ind w:firstLine="560" w:firstLineChars="200"/>
        <w:rPr>
          <w:rFonts w:ascii="仿宋" w:hAnsi="仿宋" w:eastAsia="仿宋" w:cs="仿宋"/>
          <w:sz w:val="28"/>
          <w:szCs w:val="28"/>
        </w:rPr>
      </w:pPr>
      <w:r>
        <w:rPr>
          <w:rFonts w:hint="eastAsia" w:ascii="仿宋" w:hAnsi="仿宋" w:eastAsia="仿宋" w:cs="仿宋"/>
          <w:sz w:val="28"/>
          <w:szCs w:val="28"/>
        </w:rPr>
        <w:t>5</w:t>
      </w:r>
      <w:r>
        <w:rPr>
          <w:rFonts w:ascii="仿宋" w:hAnsi="仿宋" w:eastAsia="仿宋" w:cs="仿宋"/>
          <w:sz w:val="28"/>
          <w:szCs w:val="28"/>
        </w:rPr>
        <w:t>.4</w:t>
      </w:r>
      <w:r>
        <w:rPr>
          <w:rFonts w:hint="eastAsia" w:ascii="仿宋" w:hAnsi="仿宋" w:eastAsia="仿宋" w:cs="仿宋"/>
          <w:sz w:val="28"/>
          <w:szCs w:val="28"/>
        </w:rPr>
        <w:t>向债务人送达债权转让通知事宜由乙方负责，甲方可以给予配合。</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第六条 交易费用的承担</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本合同项下交易过程中所产生的交易费用，依照有关规定，由甲、乙双方各自承担。</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第七条 甲方的声明与保证</w:t>
      </w:r>
    </w:p>
    <w:p>
      <w:pPr>
        <w:tabs>
          <w:tab w:val="left" w:pos="1620"/>
        </w:tabs>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7.1 甲方对本合同项下的转让标的物拥有合法、有效和完整的处分权；</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7.2 签订本合同所需的包括但不限于授权、审批、公司内部决策等在内的一切手续均已合法有效取得，本合同成立和标的物转让的前提条件均已满足；</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7.3 标的物不存在依法转让的法律障碍。</w:t>
      </w:r>
    </w:p>
    <w:p>
      <w:pPr>
        <w:spacing w:before="156" w:beforeLines="50" w:line="56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第八条 乙方的声明与保证/承诺</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8.1 乙方受让本合同项下标的物符合中国法律、法规的规定，且并不违反中国境内的产业准入等相关政策及规范性文件；</w:t>
      </w:r>
    </w:p>
    <w:p>
      <w:pPr>
        <w:spacing w:line="560" w:lineRule="exact"/>
        <w:ind w:firstLine="627" w:firstLineChars="224"/>
        <w:rPr>
          <w:rFonts w:ascii="仿宋_GB2312" w:hAnsi="仿宋_GB2312" w:eastAsia="仿宋_GB2312" w:cs="仿宋_GB2312"/>
          <w:b/>
          <w:bCs/>
          <w:sz w:val="28"/>
          <w:szCs w:val="28"/>
        </w:rPr>
      </w:pPr>
      <w:r>
        <w:rPr>
          <w:rFonts w:hint="eastAsia" w:ascii="仿宋_GB2312" w:hAnsi="仿宋_GB2312" w:eastAsia="仿宋_GB2312" w:cs="仿宋_GB2312"/>
          <w:sz w:val="28"/>
          <w:szCs w:val="28"/>
        </w:rPr>
        <w:t>8.2 为签订本合同之目的向甲方及北部湾产权交易所提交的各项证明文件及资料均为真实、准确、完整的；</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8.3 签订本合同所需的包括但不限于授权、审批、公司内部决策等在内的一切批准手续均已合法有效取得，本合同成立和受让标的物的前提条件均已满足；</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8.4 乙方在参与竞买标的物前，已对标的物及标的企业进行充分、详实的商务、法律及财务等调查，知悉并认可标的物的一切现状及未来可能出现的变化，包括但不限于标的企业及标的债权已经存在和可能存在、已经披露和未予披露的一切瑕疵。</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8.5 乙方充分理解甲方“按现状”转让标的物的合法性、合理性。愿意自行承担标的物的任何瑕疵（包括甲方已经披露的和尚未披露的）可能带来的法律、政策及商业风险，同意</w:t>
      </w:r>
      <w:r>
        <w:rPr>
          <w:rFonts w:ascii="仿宋_GB2312" w:hAnsi="仿宋_GB2312" w:eastAsia="仿宋_GB2312" w:cs="仿宋_GB2312"/>
          <w:sz w:val="28"/>
          <w:szCs w:val="28"/>
        </w:rPr>
        <w:t>按照</w:t>
      </w:r>
      <w:r>
        <w:rPr>
          <w:rFonts w:hint="eastAsia" w:ascii="仿宋_GB2312" w:hAnsi="仿宋_GB2312" w:eastAsia="仿宋_GB2312" w:cs="仿宋_GB2312"/>
          <w:sz w:val="28"/>
          <w:szCs w:val="28"/>
        </w:rPr>
        <w:t>本</w:t>
      </w:r>
      <w:r>
        <w:rPr>
          <w:rFonts w:ascii="仿宋_GB2312" w:hAnsi="仿宋_GB2312" w:eastAsia="仿宋_GB2312" w:cs="仿宋_GB2312"/>
          <w:sz w:val="28"/>
          <w:szCs w:val="28"/>
        </w:rPr>
        <w:t>合同</w:t>
      </w:r>
      <w:r>
        <w:rPr>
          <w:rFonts w:hint="eastAsia" w:ascii="仿宋_GB2312" w:hAnsi="仿宋_GB2312" w:eastAsia="仿宋_GB2312" w:cs="仿宋_GB2312"/>
          <w:sz w:val="28"/>
          <w:szCs w:val="28"/>
        </w:rPr>
        <w:t>5</w:t>
      </w:r>
      <w:r>
        <w:rPr>
          <w:rFonts w:ascii="仿宋_GB2312" w:hAnsi="仿宋_GB2312" w:eastAsia="仿宋_GB2312" w:cs="仿宋_GB2312"/>
          <w:sz w:val="28"/>
          <w:szCs w:val="28"/>
        </w:rPr>
        <w:t>.1</w:t>
      </w:r>
      <w:r>
        <w:rPr>
          <w:rFonts w:hint="eastAsia" w:ascii="仿宋_GB2312" w:hAnsi="仿宋_GB2312" w:eastAsia="仿宋_GB2312" w:cs="仿宋_GB2312"/>
          <w:sz w:val="28"/>
          <w:szCs w:val="28"/>
        </w:rPr>
        <w:t>条</w:t>
      </w:r>
      <w:r>
        <w:rPr>
          <w:rFonts w:ascii="仿宋_GB2312" w:hAnsi="仿宋_GB2312" w:eastAsia="仿宋_GB2312" w:cs="仿宋_GB2312"/>
          <w:sz w:val="28"/>
          <w:szCs w:val="28"/>
        </w:rPr>
        <w:t>的</w:t>
      </w:r>
      <w:r>
        <w:rPr>
          <w:rFonts w:hint="eastAsia" w:ascii="仿宋_GB2312" w:hAnsi="仿宋_GB2312" w:eastAsia="仿宋_GB2312" w:cs="仿宋_GB2312"/>
          <w:sz w:val="28"/>
          <w:szCs w:val="28"/>
        </w:rPr>
        <w:t>承</w:t>
      </w:r>
      <w:r>
        <w:rPr>
          <w:rFonts w:ascii="仿宋_GB2312" w:hAnsi="仿宋_GB2312" w:eastAsia="仿宋_GB2312" w:cs="仿宋_GB2312"/>
          <w:sz w:val="28"/>
          <w:szCs w:val="28"/>
        </w:rPr>
        <w:t>担风险</w:t>
      </w:r>
      <w:r>
        <w:rPr>
          <w:rFonts w:hint="eastAsia" w:ascii="仿宋_GB2312" w:hAnsi="仿宋_GB2312" w:eastAsia="仿宋_GB2312" w:cs="仿宋_GB2312"/>
          <w:sz w:val="28"/>
          <w:szCs w:val="28"/>
        </w:rPr>
        <w:t>。</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8.6 按照本合同的约定，及时支付转让价款。</w:t>
      </w:r>
    </w:p>
    <w:p>
      <w:pPr>
        <w:spacing w:line="560" w:lineRule="exact"/>
        <w:ind w:firstLine="627" w:firstLineChars="224"/>
        <w:rPr>
          <w:rFonts w:ascii="仿宋_GB2312" w:hAnsi="仿宋_GB2312" w:eastAsia="仿宋_GB2312" w:cs="仿宋_GB2312"/>
          <w:b/>
          <w:bCs/>
          <w:sz w:val="28"/>
          <w:szCs w:val="28"/>
        </w:rPr>
      </w:pPr>
      <w:r>
        <w:rPr>
          <w:rFonts w:hint="eastAsia" w:ascii="仿宋_GB2312" w:hAnsi="仿宋_GB2312" w:eastAsia="仿宋_GB2312" w:cs="仿宋_GB2312"/>
          <w:sz w:val="28"/>
          <w:szCs w:val="28"/>
        </w:rPr>
        <w:t>8.7 用于支付转让价款的资金来源合法。</w:t>
      </w:r>
    </w:p>
    <w:p>
      <w:pPr>
        <w:spacing w:before="156" w:beforeLines="50" w:line="560" w:lineRule="exact"/>
        <w:ind w:firstLine="630" w:firstLineChars="224"/>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第九条   违约责任</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9.1 本合同生效后，乙方违反本合同的约定的，且</w:t>
      </w:r>
      <w:r>
        <w:rPr>
          <w:rFonts w:ascii="仿宋_GB2312" w:hAnsi="仿宋_GB2312" w:eastAsia="仿宋_GB2312"/>
          <w:sz w:val="28"/>
        </w:rPr>
        <w:t>在甲方发出书面通知后</w:t>
      </w:r>
      <w:r>
        <w:rPr>
          <w:rFonts w:hint="eastAsia" w:ascii="仿宋_GB2312" w:hAnsi="仿宋_GB2312" w:eastAsia="仿宋_GB2312" w:cs="仿宋_GB2312"/>
          <w:sz w:val="28"/>
          <w:szCs w:val="28"/>
        </w:rPr>
        <w:t>逾期10日仍未履行/补救完毕的，甲方有权单方解除本合同，并要求乙方按照成交价款的20%支付一次性违约金。乙方交纳的交易保证金优先用于支付违约金。本合同其他条款另有约定的，从约定。</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9.2 乙方不得以任何理由、任何方式迟延支付成交价款。乙方未按本合同约定期限支付转让价款的，甲方有权要求乙方支付逾期付款违约金，逾期付款违约金按照应付未付成交价款的每日万分之</w:t>
      </w:r>
      <w:r>
        <w:rPr>
          <w:rFonts w:hint="eastAsia" w:ascii="仿宋_GB2312" w:hAnsi="仿宋_GB2312" w:eastAsia="仿宋_GB2312" w:cs="仿宋_GB2312"/>
          <w:sz w:val="28"/>
          <w:szCs w:val="28"/>
          <w:u w:val="single"/>
        </w:rPr>
        <w:t xml:space="preserve"> 五 </w:t>
      </w:r>
      <w:r>
        <w:rPr>
          <w:rFonts w:hint="eastAsia" w:ascii="仿宋_GB2312" w:hAnsi="仿宋_GB2312" w:eastAsia="仿宋_GB2312" w:cs="仿宋_GB2312"/>
          <w:sz w:val="28"/>
          <w:szCs w:val="28"/>
        </w:rPr>
        <w:t>的比例计算。逾期付款超过</w:t>
      </w:r>
      <w:r>
        <w:rPr>
          <w:rFonts w:hint="eastAsia" w:ascii="仿宋_GB2312" w:hAnsi="仿宋_GB2312" w:eastAsia="仿宋_GB2312" w:cs="仿宋_GB2312"/>
          <w:sz w:val="28"/>
          <w:szCs w:val="28"/>
          <w:u w:val="single"/>
        </w:rPr>
        <w:t xml:space="preserve"> 30 </w:t>
      </w:r>
      <w:r>
        <w:rPr>
          <w:rFonts w:hint="eastAsia" w:ascii="仿宋_GB2312" w:hAnsi="仿宋_GB2312" w:eastAsia="仿宋_GB2312" w:cs="仿宋_GB2312"/>
          <w:sz w:val="28"/>
          <w:szCs w:val="28"/>
        </w:rPr>
        <w:t>日的，甲方还有权单方解除本合同，要求乙方按照成交价款总额20%的比例增加支付一次性违约金。乙方交纳的交易保证金优先用于支付逾期付款违约金、一次性违约金。</w:t>
      </w:r>
    </w:p>
    <w:p>
      <w:pPr>
        <w:spacing w:line="560" w:lineRule="exact"/>
        <w:ind w:firstLine="627" w:firstLineChars="224"/>
        <w:rPr>
          <w:rFonts w:ascii="仿宋_GB2312" w:hAnsi="仿宋_GB2312" w:eastAsia="仿宋_GB2312" w:cs="仿宋_GB2312"/>
          <w:sz w:val="28"/>
          <w:szCs w:val="28"/>
        </w:rPr>
      </w:pPr>
      <w:r>
        <w:rPr>
          <w:rFonts w:hint="eastAsia" w:ascii="仿宋_GB2312" w:hAnsi="仿宋_GB2312" w:eastAsia="仿宋_GB2312" w:cs="仿宋_GB2312"/>
          <w:sz w:val="28"/>
          <w:szCs w:val="28"/>
        </w:rPr>
        <w:t>9.3 甲方未按本合同约定交割标的物，应向乙方支付逾期违约金。违约金按照成交价款的每日万分之</w:t>
      </w:r>
      <w:r>
        <w:rPr>
          <w:rFonts w:hint="eastAsia" w:ascii="仿宋_GB2312" w:hAnsi="仿宋_GB2312" w:eastAsia="仿宋_GB2312" w:cs="仿宋_GB2312"/>
          <w:sz w:val="28"/>
          <w:szCs w:val="28"/>
          <w:u w:val="single"/>
        </w:rPr>
        <w:t xml:space="preserve"> 五 </w:t>
      </w:r>
      <w:r>
        <w:rPr>
          <w:rFonts w:hint="eastAsia" w:ascii="仿宋_GB2312" w:hAnsi="仿宋_GB2312" w:eastAsia="仿宋_GB2312" w:cs="仿宋_GB2312"/>
          <w:sz w:val="28"/>
          <w:szCs w:val="28"/>
        </w:rPr>
        <w:t>计算。逾期超过30日的，乙方还有权单方解除本合同。但非因甲方原因导致交割、过户延迟的除外。</w:t>
      </w:r>
    </w:p>
    <w:p>
      <w:pPr>
        <w:spacing w:line="560" w:lineRule="exact"/>
        <w:ind w:firstLine="560" w:firstLineChars="200"/>
        <w:rPr>
          <w:rFonts w:ascii="仿宋_GB2312" w:hAnsi="仿宋_GB2312" w:eastAsia="仿宋_GB2312" w:cs="仿宋_GB2312"/>
          <w:sz w:val="28"/>
          <w:szCs w:val="28"/>
        </w:rPr>
      </w:pPr>
      <w:r>
        <w:rPr>
          <w:rFonts w:hint="eastAsia" w:ascii="仿宋" w:hAnsi="仿宋" w:eastAsia="仿宋" w:cs="仿宋"/>
          <w:bCs/>
          <w:sz w:val="28"/>
          <w:szCs w:val="28"/>
        </w:rPr>
        <w:t>9.4一方违约给另一方造成经济损失，且违约方支付违约金的数额不足以赔偿对方的经济损失时，守约方有权就差额部分向违约方追偿。</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第十条    合同的变更和解除</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10.1当事人双方协商一致，可以变更或解除本合同。</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10.2发生下列情况之一时，一方可以解除本合同。</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（1）由于不可抗力或不可归责于双方的原因致使本合同的目的无法实现的；</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（2）另一方丧失实际履约能力的；</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（3）另一方严重违约致使不能实现合同目的的。</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10.3变更或解除本合同均应采用书面形式，并报北部湾产权交易所备案。</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10.4合同一方</w:t>
      </w:r>
      <w:r>
        <w:rPr>
          <w:rFonts w:hint="eastAsia" w:ascii="仿宋" w:hAnsi="仿宋" w:eastAsia="仿宋" w:cs="仿宋"/>
          <w:bCs/>
          <w:sz w:val="28"/>
          <w:szCs w:val="28"/>
        </w:rPr>
        <w:t>依约单方解除本合同的，解除合同通知送达时本合同即解除。</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第十一条    管辖及争议解决方式</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11.1本合同及交易中的行为均适用中华人民共和国法律。</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11.2有关本合同的解释或履行，当事人之间发生争议的，应由三方协商解决；协商解决不成的，按下列第</w:t>
      </w:r>
      <w:r>
        <w:rPr>
          <w:rFonts w:hint="eastAsia" w:ascii="仿宋_GB2312" w:hAnsi="仿宋_GB2312" w:eastAsia="仿宋_GB2312" w:cs="仿宋_GB2312"/>
          <w:sz w:val="28"/>
          <w:szCs w:val="28"/>
          <w:u w:val="single"/>
        </w:rPr>
        <w:t xml:space="preserve"> （2） </w:t>
      </w:r>
      <w:r>
        <w:rPr>
          <w:rFonts w:hint="eastAsia" w:ascii="仿宋_GB2312" w:hAnsi="仿宋_GB2312" w:eastAsia="仿宋_GB2312" w:cs="仿宋_GB2312"/>
          <w:sz w:val="28"/>
          <w:szCs w:val="28"/>
        </w:rPr>
        <w:t xml:space="preserve">种方式解决： </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（1）提交</w:t>
      </w:r>
      <w:r>
        <w:rPr>
          <w:rFonts w:hint="eastAsia" w:ascii="仿宋_GB2312" w:hAnsi="仿宋_GB2312" w:eastAsia="仿宋_GB2312" w:cs="仿宋_GB2312"/>
          <w:sz w:val="28"/>
          <w:szCs w:val="28"/>
          <w:u w:val="single"/>
        </w:rPr>
        <w:t xml:space="preserve">             /              </w:t>
      </w:r>
      <w:r>
        <w:rPr>
          <w:rFonts w:hint="eastAsia" w:ascii="仿宋_GB2312" w:hAnsi="仿宋_GB2312" w:eastAsia="仿宋_GB2312" w:cs="仿宋_GB2312"/>
          <w:sz w:val="28"/>
          <w:szCs w:val="28"/>
        </w:rPr>
        <w:t>仲裁委员会仲裁；</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（2）依法向</w:t>
      </w:r>
      <w:r>
        <w:rPr>
          <w:rFonts w:hint="eastAsia" w:ascii="仿宋_GB2312" w:hAnsi="仿宋_GB2312" w:eastAsia="仿宋_GB2312" w:cs="仿宋_GB2312"/>
          <w:sz w:val="28"/>
          <w:szCs w:val="28"/>
          <w:u w:val="single"/>
        </w:rPr>
        <w:t xml:space="preserve"> 南宁市中级</w:t>
      </w:r>
      <w:r>
        <w:rPr>
          <w:rFonts w:hint="eastAsia" w:ascii="仿宋_GB2312" w:hAnsi="仿宋_GB2312" w:eastAsia="仿宋_GB2312" w:cs="仿宋_GB2312"/>
          <w:sz w:val="28"/>
          <w:szCs w:val="28"/>
        </w:rPr>
        <w:t>人民法院起诉。</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第十二条    合同的生效</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本合同自甲乙双方的授权代表签字或加盖公章，并付清全部转让价款之日起生效。</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第十三条    通知与送达</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13.1本协议任何一方向其他方发出的与本协议项下约定有关的通知，以及人民法院、仲裁委员会向本协议任何一方送达与本协议项下有关争议的诉讼文书、仲裁文书等，以下列通讯地址、传真号码、电子邮件地址等为送达地址：</w:t>
      </w:r>
    </w:p>
    <w:p>
      <w:pPr>
        <w:spacing w:line="560" w:lineRule="exact"/>
        <w:ind w:firstLine="560" w:firstLineChars="200"/>
        <w:rPr>
          <w:rFonts w:ascii="仿宋_GB2312" w:hAnsi="仿宋_GB2312" w:eastAsia="仿宋_GB2312" w:cs="仿宋_GB2312"/>
          <w:color w:val="auto"/>
          <w:sz w:val="28"/>
          <w:szCs w:val="28"/>
        </w:rPr>
      </w:pPr>
      <w:r>
        <w:rPr>
          <w:rFonts w:hint="eastAsia" w:ascii="仿宋_GB2312" w:hAnsi="仿宋_GB2312" w:eastAsia="仿宋_GB2312" w:cs="仿宋_GB2312"/>
          <w:sz w:val="28"/>
          <w:szCs w:val="28"/>
        </w:rPr>
        <w:t>甲方：</w:t>
      </w:r>
      <w:r>
        <w:rPr>
          <w:color w:val="auto"/>
        </w:rPr>
        <w:fldChar w:fldCharType="begin"/>
      </w:r>
      <w:r>
        <w:rPr>
          <w:color w:val="auto"/>
        </w:rPr>
        <w:instrText xml:space="preserve"> HYPERLINK "mailto:通讯地址为南宁市青秀区金湖路63号金源CBD现代城16楼1630号，联系电话为13877143176；电子邮件地址为gxnfadmin@163.com。" </w:instrText>
      </w:r>
      <w:r>
        <w:rPr>
          <w:color w:val="auto"/>
        </w:rPr>
        <w:fldChar w:fldCharType="separate"/>
      </w:r>
      <w:r>
        <w:rPr>
          <w:rStyle w:val="8"/>
          <w:rFonts w:hint="eastAsia" w:ascii="仿宋_GB2312" w:hAnsi="仿宋_GB2312" w:eastAsia="仿宋_GB2312" w:cs="仿宋_GB2312"/>
          <w:color w:val="auto"/>
          <w:sz w:val="28"/>
          <w:szCs w:val="28"/>
        </w:rPr>
        <w:t>通讯地址为南宁市青秀区金湖路6</w:t>
      </w:r>
      <w:r>
        <w:rPr>
          <w:rStyle w:val="8"/>
          <w:rFonts w:ascii="仿宋_GB2312" w:hAnsi="仿宋_GB2312" w:eastAsia="仿宋_GB2312" w:cs="仿宋_GB2312"/>
          <w:color w:val="auto"/>
          <w:sz w:val="28"/>
          <w:szCs w:val="28"/>
        </w:rPr>
        <w:t>3号</w:t>
      </w:r>
      <w:r>
        <w:rPr>
          <w:rStyle w:val="8"/>
          <w:rFonts w:hint="eastAsia" w:ascii="仿宋_GB2312" w:hAnsi="仿宋_GB2312" w:eastAsia="仿宋_GB2312" w:cs="仿宋_GB2312"/>
          <w:color w:val="auto"/>
          <w:sz w:val="28"/>
          <w:szCs w:val="28"/>
        </w:rPr>
        <w:t>金源C</w:t>
      </w:r>
      <w:r>
        <w:rPr>
          <w:rStyle w:val="8"/>
          <w:rFonts w:ascii="仿宋_GB2312" w:hAnsi="仿宋_GB2312" w:eastAsia="仿宋_GB2312" w:cs="仿宋_GB2312"/>
          <w:color w:val="auto"/>
          <w:sz w:val="28"/>
          <w:szCs w:val="28"/>
        </w:rPr>
        <w:t>BD现代城</w:t>
      </w:r>
      <w:r>
        <w:rPr>
          <w:rStyle w:val="8"/>
          <w:rFonts w:hint="eastAsia" w:ascii="仿宋_GB2312" w:hAnsi="仿宋_GB2312" w:eastAsia="仿宋_GB2312" w:cs="仿宋_GB2312"/>
          <w:color w:val="auto"/>
          <w:sz w:val="28"/>
          <w:szCs w:val="28"/>
        </w:rPr>
        <w:t>1</w:t>
      </w:r>
      <w:r>
        <w:rPr>
          <w:rStyle w:val="8"/>
          <w:rFonts w:ascii="仿宋_GB2312" w:hAnsi="仿宋_GB2312" w:eastAsia="仿宋_GB2312" w:cs="仿宋_GB2312"/>
          <w:color w:val="auto"/>
          <w:sz w:val="28"/>
          <w:szCs w:val="28"/>
        </w:rPr>
        <w:t>6楼</w:t>
      </w:r>
      <w:r>
        <w:rPr>
          <w:rStyle w:val="8"/>
          <w:rFonts w:hint="eastAsia" w:ascii="仿宋_GB2312" w:hAnsi="仿宋_GB2312" w:eastAsia="仿宋_GB2312" w:cs="仿宋_GB2312"/>
          <w:color w:val="auto"/>
          <w:sz w:val="28"/>
          <w:szCs w:val="28"/>
        </w:rPr>
        <w:t>1</w:t>
      </w:r>
      <w:r>
        <w:rPr>
          <w:rStyle w:val="8"/>
          <w:rFonts w:ascii="仿宋_GB2312" w:hAnsi="仿宋_GB2312" w:eastAsia="仿宋_GB2312" w:cs="仿宋_GB2312"/>
          <w:color w:val="auto"/>
          <w:sz w:val="28"/>
          <w:szCs w:val="28"/>
        </w:rPr>
        <w:t>630号</w:t>
      </w:r>
      <w:r>
        <w:rPr>
          <w:rStyle w:val="8"/>
          <w:rFonts w:hint="eastAsia" w:ascii="仿宋_GB2312" w:hAnsi="仿宋_GB2312" w:eastAsia="仿宋_GB2312" w:cs="仿宋_GB2312"/>
          <w:color w:val="auto"/>
          <w:sz w:val="28"/>
          <w:szCs w:val="28"/>
        </w:rPr>
        <w:t>，联系电话为13877143176；电子邮件地址为gxnfadmin@163.com。</w:t>
      </w:r>
      <w:r>
        <w:rPr>
          <w:rStyle w:val="8"/>
          <w:rFonts w:hint="eastAsia" w:ascii="仿宋_GB2312" w:hAnsi="仿宋_GB2312" w:eastAsia="仿宋_GB2312" w:cs="仿宋_GB2312"/>
          <w:color w:val="auto"/>
          <w:sz w:val="28"/>
          <w:szCs w:val="28"/>
        </w:rPr>
        <w:fldChar w:fldCharType="end"/>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乙方：通讯地址为【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】，电话为【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 xml:space="preserve">】，电子邮件地址为：【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本协议任何一方变更前款所列通讯地址、传真号码、电子邮件地址等送达地址的，应该在变更后5日内通知其他方。其他方在收到通知前按照受送达人原通讯地址、传真号码、电子邮件地址等送达地址发出的通知应视为有效送达。</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13.2本协议任何一方向其他方发出的与本协议项下约定有关的通知，以及人民法院、仲裁委员会向本协议任何一方送达与本协议项下有关争议的诉讼文书、仲裁文书等（法律法规及司法解释另有规定的，从规定），应当以下列一种或多种形式发出，并按下列约定确定送达日期：</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13.2.1直接送交。受送达方或其他有权签收的人签收的日期为送达日期。拒绝签收的，采用拍照、录像等方式记录送达过程即视为送达。</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13.2.2以邮寄或快递信件方式发出。收件人或其他有权签收的人签收或盖章的日期为送达日期。如果收件人或其他有权签收的人拒收的，以邮政企业、快递企业或其投递员记载的拒收日期为送达日期。除寄件人填错收件人送达地址的原因外，信件无法投递或未投递成功的，寄件人交寄后届满5日的次日为送达日期，视为通知已经送达收件人。</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13.2.3以传真、电子邮件等电子方式发出。以发件人对应系统显示发送成功的日期为送达日期。</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13.3第13.2条所称“其他有权签收的人”指：如受送达方或收件人是自然人的，为其指定联系人、委托代理人或同住成年家属；如受送达人或收件人是法人或其他组织的，为其法定代表人、负责人、指定联系人、委托代理人或办公室、收发室、值班室等负责收件的人。</w:t>
      </w:r>
    </w:p>
    <w:p>
      <w:pPr>
        <w:spacing w:line="560" w:lineRule="exact"/>
        <w:ind w:firstLine="560" w:firstLineChars="200"/>
        <w:rPr>
          <w:rFonts w:ascii="仿宋_GB2312" w:hAnsi="仿宋_GB2312" w:eastAsia="仿宋_GB2312" w:cs="仿宋_GB2312"/>
          <w:b/>
          <w:bCs/>
          <w:sz w:val="28"/>
          <w:szCs w:val="28"/>
        </w:rPr>
      </w:pPr>
      <w:r>
        <w:rPr>
          <w:rFonts w:hint="eastAsia" w:ascii="仿宋_GB2312" w:hAnsi="仿宋_GB2312" w:eastAsia="仿宋_GB2312" w:cs="仿宋_GB2312"/>
          <w:sz w:val="28"/>
          <w:szCs w:val="28"/>
        </w:rPr>
        <w:t>13.4同时以第13.2条中两种或两种以上方式通知的，以最先送达的日期为送达日期。</w:t>
      </w:r>
      <w:r>
        <w:rPr>
          <w:rFonts w:hint="eastAsia" w:ascii="仿宋_GB2312" w:hAnsi="仿宋_GB2312" w:eastAsia="仿宋_GB2312" w:cs="仿宋_GB2312"/>
          <w:b/>
          <w:bCs/>
          <w:sz w:val="28"/>
          <w:szCs w:val="28"/>
        </w:rPr>
        <w:t xml:space="preserve">  </w:t>
      </w:r>
    </w:p>
    <w:p>
      <w:pPr>
        <w:spacing w:before="156" w:beforeLines="50" w:line="560" w:lineRule="exact"/>
        <w:ind w:firstLine="562" w:firstLineChars="200"/>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第十四条    其他</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14.1双方对本合同内容的变更或补充应采用书面形式订立，并作为本合同的附件。本合同的附件与本合同具有同等的法律效力。</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14.2 乙方在受让标的物过程中，北部湾产权交易所的挂牌公告以及乙方依照挂牌公告递交的承诺函等文件，均为本合同不可分割的组成部分，与本合同具有同等法律效力。与本合同相冲突或者不相容的，以本合同约定为准。</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14.3</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自本合同签署之日起15日内，尚未满足本合同第十二条约定的生效条件的，甲方有权单方决定废止本合同，并有权要求乙方支付缔约过失赔偿金</w:t>
      </w:r>
      <w:r>
        <w:rPr>
          <w:rFonts w:ascii="仿宋_GB2312" w:hAnsi="仿宋_GB2312" w:eastAsia="仿宋_GB2312" w:cs="仿宋_GB2312"/>
          <w:sz w:val="28"/>
          <w:szCs w:val="28"/>
        </w:rPr>
        <w:t>10</w:t>
      </w:r>
      <w:r>
        <w:rPr>
          <w:rFonts w:hint="eastAsia" w:ascii="仿宋_GB2312" w:hAnsi="仿宋_GB2312" w:eastAsia="仿宋_GB2312" w:cs="仿宋_GB2312"/>
          <w:sz w:val="28"/>
          <w:szCs w:val="28"/>
        </w:rPr>
        <w:t>万元人民币。</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甲方按照本条前款单方决定废止本合同的，甲方与乙方的权利义务适用本协议外的法律文件（包括但不限于甲方挂牌转让公告等等）确定并至执行。</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14.4本合同一式</w:t>
      </w:r>
      <w:r>
        <w:rPr>
          <w:rFonts w:hint="eastAsia" w:ascii="仿宋_GB2312" w:hAnsi="仿宋_GB2312" w:eastAsia="仿宋_GB2312" w:cs="仿宋_GB2312"/>
          <w:sz w:val="28"/>
          <w:szCs w:val="28"/>
          <w:u w:val="single"/>
        </w:rPr>
        <w:t xml:space="preserve"> 玖 </w:t>
      </w:r>
      <w:r>
        <w:rPr>
          <w:rFonts w:hint="eastAsia" w:ascii="仿宋_GB2312" w:hAnsi="仿宋_GB2312" w:eastAsia="仿宋_GB2312" w:cs="仿宋_GB2312"/>
          <w:sz w:val="28"/>
          <w:szCs w:val="28"/>
        </w:rPr>
        <w:t>份，甲、乙双方各执</w:t>
      </w:r>
      <w:r>
        <w:rPr>
          <w:rFonts w:hint="eastAsia" w:ascii="仿宋_GB2312" w:hAnsi="仿宋_GB2312" w:eastAsia="仿宋_GB2312" w:cs="仿宋_GB2312"/>
          <w:sz w:val="28"/>
          <w:szCs w:val="28"/>
          <w:u w:val="single"/>
        </w:rPr>
        <w:t xml:space="preserve"> 肆 </w:t>
      </w:r>
      <w:r>
        <w:rPr>
          <w:rFonts w:hint="eastAsia" w:ascii="仿宋_GB2312" w:hAnsi="仿宋_GB2312" w:eastAsia="仿宋_GB2312" w:cs="仿宋_GB2312"/>
          <w:sz w:val="28"/>
          <w:szCs w:val="28"/>
        </w:rPr>
        <w:t>份，北部湾产权交易所留存壹份用于备案，其余用于办理产权交易的审批、登记使用。</w:t>
      </w:r>
    </w:p>
    <w:p>
      <w:pPr>
        <w:spacing w:line="560" w:lineRule="exact"/>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（以下无正文）</w:t>
      </w:r>
    </w:p>
    <w:p>
      <w:pPr>
        <w:spacing w:line="560" w:lineRule="exact"/>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p>
    <w:p>
      <w:pPr>
        <w:spacing w:line="560" w:lineRule="exact"/>
        <w:ind w:firstLine="560" w:firstLineChars="200"/>
        <w:rPr>
          <w:rFonts w:ascii="仿宋_GB2312" w:hAnsi="仿宋_GB2312" w:eastAsia="仿宋_GB2312" w:cs="仿宋_GB2312"/>
          <w:sz w:val="28"/>
          <w:szCs w:val="28"/>
        </w:rPr>
      </w:pPr>
      <w:bookmarkStart w:id="3" w:name="_GoBack"/>
      <w:bookmarkEnd w:id="3"/>
    </w:p>
    <w:p>
      <w:pPr>
        <w:spacing w:line="560" w:lineRule="exact"/>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（本页为编号为【 </w:t>
      </w:r>
      <w:r>
        <w:rPr>
          <w:rFonts w:ascii="仿宋_GB2312" w:hAnsi="仿宋_GB2312" w:eastAsia="仿宋_GB2312" w:cs="仿宋_GB2312"/>
          <w:sz w:val="28"/>
          <w:szCs w:val="28"/>
        </w:rPr>
        <w:t xml:space="preserve">  </w:t>
      </w:r>
      <w:r>
        <w:rPr>
          <w:rFonts w:hint="eastAsia" w:ascii="仿宋_GB2312" w:hAnsi="仿宋_GB2312" w:eastAsia="仿宋_GB2312" w:cs="仿宋_GB2312"/>
          <w:sz w:val="28"/>
          <w:szCs w:val="28"/>
        </w:rPr>
        <w:t>】的《交易合同》的签字盖章页）</w:t>
      </w:r>
    </w:p>
    <w:p>
      <w:pPr>
        <w:spacing w:line="560" w:lineRule="exact"/>
        <w:ind w:firstLine="560" w:firstLineChars="200"/>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转让方（甲方）：                   </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（盖章）                           </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法定代表人：                        </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或授权代表（签字）：               </w:t>
      </w:r>
    </w:p>
    <w:p>
      <w:pPr>
        <w:spacing w:line="560" w:lineRule="exact"/>
        <w:ind w:firstLine="420"/>
        <w:rPr>
          <w:rFonts w:ascii="仿宋_GB2312" w:hAnsi="仿宋_GB2312" w:eastAsia="仿宋_GB2312" w:cs="仿宋_GB2312"/>
          <w:sz w:val="28"/>
          <w:szCs w:val="28"/>
        </w:rPr>
      </w:pPr>
    </w:p>
    <w:p>
      <w:pPr>
        <w:spacing w:line="560" w:lineRule="exact"/>
        <w:ind w:firstLine="420"/>
        <w:rPr>
          <w:rFonts w:ascii="仿宋_GB2312" w:hAnsi="仿宋_GB2312" w:eastAsia="仿宋_GB2312" w:cs="仿宋_GB2312"/>
          <w:sz w:val="28"/>
          <w:szCs w:val="28"/>
        </w:rPr>
      </w:pP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竞得方（乙方）：</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（盖章）</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法定代表人 ：</w:t>
      </w:r>
    </w:p>
    <w:p>
      <w:pPr>
        <w:spacing w:line="560" w:lineRule="exact"/>
        <w:ind w:firstLine="420"/>
        <w:rPr>
          <w:rFonts w:ascii="仿宋_GB2312" w:hAnsi="仿宋_GB2312" w:eastAsia="仿宋_GB2312" w:cs="仿宋_GB2312"/>
          <w:sz w:val="28"/>
          <w:szCs w:val="28"/>
        </w:rPr>
      </w:pPr>
      <w:r>
        <w:rPr>
          <w:rFonts w:hint="eastAsia" w:ascii="仿宋_GB2312" w:hAnsi="仿宋_GB2312" w:eastAsia="仿宋_GB2312" w:cs="仿宋_GB2312"/>
          <w:sz w:val="28"/>
          <w:szCs w:val="28"/>
        </w:rPr>
        <w:t>或授权代表（签字）：</w:t>
      </w:r>
    </w:p>
    <w:p>
      <w:pPr>
        <w:spacing w:line="560" w:lineRule="exact"/>
        <w:ind w:firstLine="420"/>
        <w:rPr>
          <w:rFonts w:ascii="仿宋_GB2312" w:hAnsi="仿宋_GB2312" w:eastAsia="仿宋_GB2312" w:cs="仿宋_GB2312"/>
          <w:sz w:val="28"/>
          <w:szCs w:val="28"/>
        </w:rPr>
      </w:pPr>
    </w:p>
    <w:p>
      <w:pPr>
        <w:spacing w:line="560" w:lineRule="exact"/>
        <w:rPr>
          <w:rFonts w:ascii="仿宋_GB2312" w:hAnsi="仿宋_GB2312" w:eastAsia="仿宋_GB2312" w:cs="仿宋_GB2312"/>
          <w:sz w:val="28"/>
          <w:szCs w:val="28"/>
        </w:rPr>
      </w:pPr>
    </w:p>
    <w:p>
      <w:pPr>
        <w:spacing w:line="560" w:lineRule="exact"/>
        <w:ind w:firstLine="1400" w:firstLineChars="500"/>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签约地点：</w:t>
      </w:r>
      <w:r>
        <w:rPr>
          <w:rFonts w:hint="eastAsia" w:ascii="仿宋_GB2312" w:hAnsi="仿宋_GB2312" w:eastAsia="仿宋_GB2312" w:cs="仿宋_GB2312"/>
          <w:sz w:val="28"/>
          <w:szCs w:val="28"/>
          <w:u w:val="single"/>
        </w:rPr>
        <w:t>广西南宁市青秀区</w:t>
      </w:r>
    </w:p>
    <w:p>
      <w:pPr>
        <w:spacing w:line="560" w:lineRule="exact"/>
        <w:ind w:firstLine="1400" w:firstLineChars="500"/>
      </w:pPr>
      <w:r>
        <w:rPr>
          <w:rFonts w:hint="eastAsia" w:ascii="仿宋_GB2312" w:hAnsi="仿宋_GB2312" w:eastAsia="仿宋_GB2312" w:cs="仿宋_GB2312"/>
          <w:sz w:val="28"/>
          <w:szCs w:val="28"/>
        </w:rPr>
        <w:t>签约时间：     年    月   日</w:t>
      </w:r>
    </w:p>
    <w:p/>
    <w:p/>
    <w:p/>
    <w:sectPr>
      <w:headerReference r:id="rId3" w:type="default"/>
      <w:footerReference r:id="rId4" w:type="default"/>
      <w:footerReference r:id="rId5" w:type="even"/>
      <w:pgSz w:w="11906" w:h="16838"/>
      <w:pgMar w:top="1246" w:right="1466" w:bottom="312" w:left="1800"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STZhongsong">
    <w:altName w:val="宋体"/>
    <w:panose1 w:val="00000000000000000000"/>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right"/>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4097" name="文本框 1"/>
              <wp:cNvGraphicFramePr/>
              <a:graphic xmlns:a="http://schemas.openxmlformats.org/drawingml/2006/main">
                <a:graphicData uri="http://schemas.microsoft.com/office/word/2010/wordprocessingShape">
                  <wps:wsp>
                    <wps:cNvSpPr/>
                    <wps:spPr>
                      <a:xfrm>
                        <a:off x="0" y="0"/>
                        <a:ext cx="114934" cy="284480"/>
                      </a:xfrm>
                      <a:prstGeom prst="rect">
                        <a:avLst/>
                      </a:prstGeom>
                      <a:ln>
                        <a:noFill/>
                      </a:ln>
                    </wps:spPr>
                    <wps:txbx>
                      <w:txbxContent>
                        <w:p>
                          <w:pPr>
                            <w:pStyle w:val="3"/>
                            <w:jc w:val="right"/>
                          </w:pPr>
                          <w:r>
                            <w:fldChar w:fldCharType="begin"/>
                          </w:r>
                          <w:r>
                            <w:instrText xml:space="preserve">PAGE   \* MERGEFORMAT</w:instrText>
                          </w:r>
                          <w:r>
                            <w:fldChar w:fldCharType="separate"/>
                          </w:r>
                          <w:r>
                            <w:rPr>
                              <w:lang w:val="zh-CN"/>
                            </w:rPr>
                            <w:t>1</w:t>
                          </w:r>
                          <w:r>
                            <w:fldChar w:fldCharType="end"/>
                          </w:r>
                        </w:p>
                        <w:p/>
                      </w:txbxContent>
                    </wps:txbx>
                    <wps:bodyPr vert="horz" wrap="none" lIns="0" tIns="0" rIns="0" bIns="0" anchor="t" upright="1">
                      <a:spAutoFit/>
                    </wps:bodyPr>
                  </wps:wsp>
                </a:graphicData>
              </a:graphic>
            </wp:anchor>
          </w:drawing>
        </mc:Choice>
        <mc:Fallback>
          <w:pict>
            <v:rect id="文本框 1" o:spid="_x0000_s1026" o:spt="1" style="position:absolute;left:0pt;margin-top:0pt;height:22.4pt;width:9.05pt;mso-position-horizontal:center;mso-position-horizontal-relative:margin;mso-wrap-style:none;z-index:251659264;mso-width-relative:page;mso-height-relative:page;" filled="f" stroked="f" coordsize="21600,21600" o:gfxdata="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lx5050QAAAAMBAAAPAAAAAAAAAAEAIAAAACIA&#10;AABkcnMvZG93bnJldi54bWxQSwECFAAUAAAACACHTuJAXKU6ONcBAACcAwAADgAAAAAAAAABACAA&#10;AAAgAQAAZHJzL2Uyb0RvYy54bWxQSwUGAAAAAAYABgBZAQAAaQUAAAAA&#10;">
              <v:fill on="f" focussize="0,0"/>
              <v:stroke on="f"/>
              <v:imagedata o:title=""/>
              <o:lock v:ext="edit" aspectratio="f"/>
              <v:textbox inset="0mm,0mm,0mm,0mm" style="mso-fit-shape-to-text:t;">
                <w:txbxContent>
                  <w:p>
                    <w:pPr>
                      <w:pStyle w:val="3"/>
                      <w:jc w:val="right"/>
                    </w:pPr>
                    <w:r>
                      <w:fldChar w:fldCharType="begin"/>
                    </w:r>
                    <w:r>
                      <w:instrText xml:space="preserve">PAGE   \* MERGEFORMAT</w:instrText>
                    </w:r>
                    <w:r>
                      <w:fldChar w:fldCharType="separate"/>
                    </w:r>
                    <w:r>
                      <w:rPr>
                        <w:lang w:val="zh-CN"/>
                      </w:rPr>
                      <w:t>1</w:t>
                    </w:r>
                    <w:r>
                      <w:fldChar w:fldCharType="end"/>
                    </w:r>
                  </w:p>
                  <w:p/>
                </w:txbxContent>
              </v:textbox>
            </v:rect>
          </w:pict>
        </mc:Fallback>
      </mc:AlternateContent>
    </w:r>
  </w:p>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framePr w:wrap="around" w:vAnchor="text" w:hAnchor="margin" w:xAlign="center" w:y="1"/>
      <w:rPr>
        <w:rStyle w:val="7"/>
      </w:rPr>
    </w:pPr>
    <w:r>
      <w:fldChar w:fldCharType="begin"/>
    </w:r>
    <w:r>
      <w:rPr>
        <w:rStyle w:val="7"/>
      </w:rPr>
      <w:instrText xml:space="preserve">PAGE  </w:instrTex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2"/>
    <w:multiLevelType w:val="multilevel"/>
    <w:tmpl w:val="00000002"/>
    <w:lvl w:ilvl="0" w:tentative="0">
      <w:start w:val="1"/>
      <w:numFmt w:val="japaneseCounting"/>
      <w:lvlText w:val="第%1条"/>
      <w:lvlJc w:val="left"/>
      <w:pPr>
        <w:tabs>
          <w:tab w:val="left" w:pos="720"/>
        </w:tabs>
        <w:ind w:left="720" w:hanging="720"/>
      </w:pPr>
      <w:rPr>
        <w:rFonts w:hint="eastAsia"/>
        <w:b/>
      </w:rPr>
    </w:lvl>
    <w:lvl w:ilvl="1" w:tentative="0">
      <w:start w:val="1"/>
      <w:numFmt w:val="decimal"/>
      <w:lvlText w:val="%1.%2"/>
      <w:lvlJc w:val="left"/>
      <w:pPr>
        <w:tabs>
          <w:tab w:val="left" w:pos="1620"/>
        </w:tabs>
        <w:ind w:left="1620" w:hanging="360"/>
      </w:pPr>
      <w:rPr>
        <w:rFonts w:ascii="Times New Roman" w:hAnsi="Times New Roman" w:eastAsia="Times New Roman" w:cs="Times New Roman"/>
      </w:rPr>
    </w:lvl>
    <w:lvl w:ilvl="2" w:tentative="0">
      <w:start w:val="1"/>
      <w:numFmt w:val="decimal"/>
      <w:lvlText w:val="（%3）"/>
      <w:lvlJc w:val="left"/>
      <w:pPr>
        <w:tabs>
          <w:tab w:val="left" w:pos="1980"/>
        </w:tabs>
        <w:ind w:left="1980" w:hanging="720"/>
      </w:pPr>
      <w:rPr>
        <w:rFonts w:hint="eastAsia"/>
      </w:rPr>
    </w:lvl>
    <w:lvl w:ilvl="3" w:tentative="0">
      <w:start w:val="1"/>
      <w:numFmt w:val="decimal"/>
      <w:lvlText w:val="%4．"/>
      <w:lvlJc w:val="left"/>
      <w:pPr>
        <w:tabs>
          <w:tab w:val="left" w:pos="2040"/>
        </w:tabs>
        <w:ind w:left="2040" w:hanging="360"/>
      </w:pPr>
      <w:rPr>
        <w:rFonts w:hint="default"/>
      </w:r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CA5"/>
    <w:rsid w:val="000D64F5"/>
    <w:rsid w:val="001225B5"/>
    <w:rsid w:val="00153379"/>
    <w:rsid w:val="002438EB"/>
    <w:rsid w:val="00273243"/>
    <w:rsid w:val="00291F75"/>
    <w:rsid w:val="002C3CA5"/>
    <w:rsid w:val="0031184E"/>
    <w:rsid w:val="00321541"/>
    <w:rsid w:val="00395CDD"/>
    <w:rsid w:val="004465CA"/>
    <w:rsid w:val="00557F17"/>
    <w:rsid w:val="00654E99"/>
    <w:rsid w:val="00706843"/>
    <w:rsid w:val="007D416C"/>
    <w:rsid w:val="00854B97"/>
    <w:rsid w:val="008557FB"/>
    <w:rsid w:val="0091133C"/>
    <w:rsid w:val="009E546E"/>
    <w:rsid w:val="00AB6A2A"/>
    <w:rsid w:val="00D75D69"/>
    <w:rsid w:val="00D94F4A"/>
    <w:rsid w:val="00EF444E"/>
    <w:rsid w:val="00FF33F2"/>
    <w:rsid w:val="7DA809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0"/>
    <w:qFormat/>
    <w:uiPriority w:val="0"/>
    <w:pPr>
      <w:jc w:val="left"/>
    </w:pPr>
  </w:style>
  <w:style w:type="paragraph" w:styleId="3">
    <w:name w:val="footer"/>
    <w:basedOn w:val="1"/>
    <w:link w:val="11"/>
    <w:qFormat/>
    <w:uiPriority w:val="0"/>
    <w:pPr>
      <w:tabs>
        <w:tab w:val="center" w:pos="4153"/>
        <w:tab w:val="right" w:pos="8306"/>
      </w:tabs>
      <w:snapToGrid w:val="0"/>
      <w:jc w:val="left"/>
    </w:pPr>
    <w:rPr>
      <w:sz w:val="18"/>
      <w:szCs w:val="18"/>
    </w:rPr>
  </w:style>
  <w:style w:type="paragraph" w:styleId="4">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character" w:styleId="7">
    <w:name w:val="page number"/>
    <w:basedOn w:val="6"/>
    <w:qFormat/>
    <w:uiPriority w:val="0"/>
  </w:style>
  <w:style w:type="character" w:styleId="8">
    <w:name w:val="Hyperlink"/>
    <w:basedOn w:val="6"/>
    <w:unhideWhenUsed/>
    <w:uiPriority w:val="99"/>
    <w:rPr>
      <w:color w:val="0563C1" w:themeColor="hyperlink"/>
      <w:u w:val="single"/>
      <w14:textFill>
        <w14:solidFill>
          <w14:schemeClr w14:val="hlink"/>
        </w14:solidFill>
      </w14:textFill>
    </w:rPr>
  </w:style>
  <w:style w:type="character" w:styleId="9">
    <w:name w:val="annotation reference"/>
    <w:qFormat/>
    <w:uiPriority w:val="0"/>
    <w:rPr>
      <w:sz w:val="21"/>
      <w:szCs w:val="21"/>
    </w:rPr>
  </w:style>
  <w:style w:type="character" w:customStyle="1" w:styleId="10">
    <w:name w:val="批注文字 字符"/>
    <w:basedOn w:val="6"/>
    <w:link w:val="2"/>
    <w:qFormat/>
    <w:uiPriority w:val="0"/>
    <w:rPr>
      <w:rFonts w:ascii="Times New Roman" w:hAnsi="Times New Roman" w:eastAsia="宋体" w:cs="Times New Roman"/>
      <w:szCs w:val="24"/>
    </w:rPr>
  </w:style>
  <w:style w:type="character" w:customStyle="1" w:styleId="11">
    <w:name w:val="页脚 字符"/>
    <w:basedOn w:val="6"/>
    <w:link w:val="3"/>
    <w:uiPriority w:val="0"/>
    <w:rPr>
      <w:rFonts w:ascii="Times New Roman" w:hAnsi="Times New Roman" w:eastAsia="宋体" w:cs="Times New Roman"/>
      <w:sz w:val="18"/>
      <w:szCs w:val="18"/>
    </w:rPr>
  </w:style>
  <w:style w:type="character" w:customStyle="1" w:styleId="12">
    <w:name w:val="页眉 字符"/>
    <w:basedOn w:val="6"/>
    <w:link w:val="4"/>
    <w:uiPriority w:val="0"/>
    <w:rPr>
      <w:rFonts w:ascii="Times New Roman" w:hAnsi="Times New Roman" w:eastAsia="宋体" w:cs="Times New Roman"/>
      <w:sz w:val="18"/>
      <w:szCs w:val="18"/>
    </w:rPr>
  </w:style>
  <w:style w:type="paragraph" w:styleId="13">
    <w:name w:val="List Paragraph"/>
    <w:basedOn w:val="1"/>
    <w:qFormat/>
    <w:uiPriority w:val="34"/>
    <w:pPr>
      <w:ind w:firstLine="420" w:firstLineChars="200"/>
    </w:pPr>
  </w:style>
  <w:style w:type="character" w:customStyle="1" w:styleId="14">
    <w:name w:val="Unresolved Mention"/>
    <w:basedOn w:val="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833</Words>
  <Characters>4749</Characters>
  <Lines>39</Lines>
  <Paragraphs>11</Paragraphs>
  <TotalTime>520</TotalTime>
  <ScaleCrop>false</ScaleCrop>
  <LinksUpToDate>false</LinksUpToDate>
  <CharactersWithSpaces>5571</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2021-11-29T15:27:00Z</dcterms:created>
  <dc:creator>ZM D</dc:creator>
  <cp:lastModifiedBy>ZM.D</cp:lastModifiedBy>
  <dcterms:modified xsi:type="dcterms:W3CDTF">2022-01-25T01:27:11Z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2E83D241F12D4C4597B4C52104E2D32E</vt:lpwstr>
  </property>
</Properties>
</file>