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ascii="仿宋" w:hAnsi="仿宋" w:eastAsia="仿宋" w:cs="仿宋"/>
          <w:b/>
          <w:bCs/>
          <w:sz w:val="36"/>
          <w:szCs w:val="36"/>
        </w:rPr>
      </w:pPr>
      <w:bookmarkStart w:id="0" w:name="_GoBack"/>
      <w:bookmarkEnd w:id="0"/>
      <w:r>
        <w:rPr>
          <w:rFonts w:hint="eastAsia" w:ascii="仿宋" w:hAnsi="仿宋" w:eastAsia="仿宋" w:cs="仿宋"/>
          <w:b/>
          <w:bCs/>
          <w:sz w:val="36"/>
          <w:szCs w:val="36"/>
        </w:rPr>
        <w:t>广西有色金属集团有限公司</w:t>
      </w:r>
    </w:p>
    <w:p>
      <w:pPr>
        <w:spacing w:line="520" w:lineRule="exact"/>
        <w:jc w:val="center"/>
        <w:rPr>
          <w:rFonts w:ascii="仿宋" w:hAnsi="仿宋" w:eastAsia="仿宋" w:cs="仿宋"/>
          <w:b/>
          <w:bCs/>
          <w:sz w:val="36"/>
          <w:szCs w:val="36"/>
        </w:rPr>
      </w:pPr>
      <w:r>
        <w:rPr>
          <w:rFonts w:hint="eastAsia" w:ascii="仿宋" w:hAnsi="仿宋" w:eastAsia="仿宋" w:cs="仿宋"/>
          <w:b/>
          <w:bCs/>
          <w:sz w:val="36"/>
          <w:szCs w:val="36"/>
        </w:rPr>
        <w:t>所持有的【债务人名称】债权转让项目</w:t>
      </w:r>
    </w:p>
    <w:p>
      <w:pPr>
        <w:spacing w:line="520" w:lineRule="exact"/>
        <w:jc w:val="center"/>
        <w:rPr>
          <w:rFonts w:ascii="仿宋" w:hAnsi="仿宋" w:eastAsia="仿宋" w:cs="仿宋"/>
          <w:b/>
          <w:bCs/>
          <w:sz w:val="36"/>
          <w:szCs w:val="36"/>
        </w:rPr>
      </w:pPr>
      <w:r>
        <w:rPr>
          <w:rFonts w:hint="eastAsia" w:ascii="仿宋" w:hAnsi="仿宋" w:eastAsia="仿宋" w:cs="仿宋"/>
          <w:b/>
          <w:bCs/>
          <w:sz w:val="36"/>
          <w:szCs w:val="36"/>
        </w:rPr>
        <w:t>风险提示</w:t>
      </w:r>
    </w:p>
    <w:p>
      <w:pPr>
        <w:spacing w:before="156" w:beforeLines="50" w:line="520" w:lineRule="exact"/>
        <w:ind w:firstLine="600" w:firstLineChars="200"/>
        <w:jc w:val="left"/>
        <w:rPr>
          <w:rFonts w:ascii="仿宋" w:hAnsi="仿宋" w:eastAsia="仿宋" w:cs="仿宋"/>
          <w:b/>
          <w:sz w:val="30"/>
          <w:szCs w:val="30"/>
        </w:rPr>
      </w:pPr>
      <w:r>
        <w:rPr>
          <w:rFonts w:hint="eastAsia" w:ascii="仿宋" w:hAnsi="仿宋" w:eastAsia="仿宋" w:cs="仿宋"/>
          <w:bCs/>
          <w:sz w:val="30"/>
          <w:szCs w:val="30"/>
        </w:rPr>
        <w:t>1.</w:t>
      </w:r>
      <w:r>
        <w:rPr>
          <w:rFonts w:hint="eastAsia" w:ascii="仿宋" w:hAnsi="仿宋" w:eastAsia="仿宋" w:cs="仿宋"/>
          <w:b/>
          <w:sz w:val="30"/>
          <w:szCs w:val="30"/>
        </w:rPr>
        <w:t>转让方本次转让为“按现状”转让,受让方“按现状”接收。</w:t>
      </w:r>
      <w:r>
        <w:rPr>
          <w:rFonts w:hint="eastAsia" w:ascii="仿宋" w:hAnsi="仿宋" w:eastAsia="仿宋" w:cs="仿宋"/>
          <w:bCs/>
          <w:sz w:val="30"/>
          <w:szCs w:val="30"/>
        </w:rPr>
        <w:t>竞买人可提前对转让标的物进行充分的踏勘、咨询、调查,转让方将给予必要的配合。</w:t>
      </w:r>
      <w:r>
        <w:rPr>
          <w:rFonts w:hint="eastAsia" w:ascii="仿宋" w:hAnsi="仿宋" w:eastAsia="仿宋" w:cs="仿宋"/>
          <w:b/>
          <w:sz w:val="30"/>
          <w:szCs w:val="30"/>
        </w:rPr>
        <w:t>竞买人一旦报价，即表明已完全了解并接受转让标的物的全部现状和可能存在的所有瑕疵、法律及经济风险，并完全同意签署本公告后附的《交易合同》。转让方对转让标的物的任何瑕疵（包括已经披露的和未披露的）均不承担瑕疵担保责任。</w:t>
      </w:r>
    </w:p>
    <w:p>
      <w:pPr>
        <w:spacing w:line="520" w:lineRule="exact"/>
        <w:ind w:firstLine="602" w:firstLineChars="200"/>
        <w:jc w:val="left"/>
        <w:rPr>
          <w:rFonts w:ascii="仿宋" w:hAnsi="仿宋" w:eastAsia="仿宋" w:cs="仿宋"/>
          <w:b/>
          <w:sz w:val="30"/>
          <w:szCs w:val="30"/>
        </w:rPr>
      </w:pPr>
      <w:r>
        <w:rPr>
          <w:rFonts w:hint="eastAsia" w:ascii="仿宋" w:hAnsi="仿宋" w:eastAsia="仿宋" w:cs="仿宋"/>
          <w:b/>
          <w:sz w:val="30"/>
          <w:szCs w:val="30"/>
        </w:rPr>
        <w:t>特别声明：竞买成功后，竞买人无权要求不签署《交易合同》、要求变更《交易合同》条款，无权以转让标的物存在披露的或未披露的瑕疵为由，要求变更转让价款、要求不签署或解除《交易合同》或者向转让方主张损失赔偿等。</w:t>
      </w:r>
    </w:p>
    <w:p>
      <w:pPr>
        <w:spacing w:line="520" w:lineRule="exact"/>
        <w:ind w:firstLine="567" w:firstLineChars="189"/>
        <w:jc w:val="left"/>
        <w:rPr>
          <w:rFonts w:ascii="仿宋" w:hAnsi="仿宋" w:eastAsia="仿宋" w:cs="仿宋"/>
          <w:sz w:val="28"/>
          <w:szCs w:val="28"/>
        </w:rPr>
      </w:pPr>
      <w:r>
        <w:rPr>
          <w:rFonts w:ascii="仿宋" w:hAnsi="仿宋" w:eastAsia="仿宋" w:cs="仿宋"/>
          <w:sz w:val="30"/>
          <w:szCs w:val="30"/>
        </w:rPr>
        <w:t>2.</w:t>
      </w:r>
      <w:r>
        <w:rPr>
          <w:rFonts w:hint="eastAsia" w:ascii="仿宋" w:hAnsi="仿宋" w:eastAsia="仿宋" w:cs="仿宋"/>
          <w:sz w:val="28"/>
          <w:szCs w:val="28"/>
        </w:rPr>
        <w:t>标的物为不良债权，转让方按照拍卖成交之日的现状转让给买受方，该现状包括但不限于标的债权的债权本金、权属状态、法律状态、实际使用状况、债权文件的状态以及标的债权可能或实际存在的瑕疵和风险等。</w:t>
      </w:r>
    </w:p>
    <w:p>
      <w:pPr>
        <w:spacing w:line="520" w:lineRule="exact"/>
        <w:ind w:firstLine="529" w:firstLineChars="189"/>
        <w:jc w:val="left"/>
        <w:rPr>
          <w:rFonts w:ascii="仿宋" w:hAnsi="仿宋" w:eastAsia="仿宋" w:cs="仿宋"/>
          <w:sz w:val="28"/>
          <w:szCs w:val="28"/>
        </w:rPr>
      </w:pPr>
      <w:r>
        <w:rPr>
          <w:rFonts w:ascii="仿宋" w:hAnsi="仿宋" w:eastAsia="仿宋" w:cs="仿宋"/>
          <w:sz w:val="28"/>
          <w:szCs w:val="28"/>
        </w:rPr>
        <w:t>3.</w:t>
      </w:r>
      <w:r>
        <w:rPr>
          <w:rFonts w:hint="eastAsia" w:ascii="仿宋" w:hAnsi="仿宋" w:eastAsia="仿宋" w:cs="仿宋"/>
          <w:sz w:val="28"/>
          <w:szCs w:val="28"/>
        </w:rPr>
        <w:t>转让方在此强调标的债权存在部分或全部不能收回的风险。买受方充分知晓不良债权收购可能导致的风险，愿意承担标的物瑕疵所可能产生的不确定性风险，标的债权已经存在的瑕疵或者可能存在的瑕疵（包括但不限于超过诉讼时效或申请法院执行的期限、债权文件缺失或不完整、债权文件与事实不符、担保物灭失、裁判机构最终裁判结果与债权文件记载不一致、债务人下落不明或死亡或注销、债务人无履行能力、债权无法实现等等）、法律政策变化及经济、市场风险等，转让方均不承担任何法律担保责任。买受方不得以未披露的瑕疵，或者存在重大误解、显失公平、情势变更等为由，要求宣告合同无效、变更合同约定的转让价款、要求部分或者全部解除本合同或者向转让方主张损失赔偿/其他法律责任等。</w:t>
      </w:r>
    </w:p>
    <w:p>
      <w:pPr>
        <w:spacing w:line="520" w:lineRule="exact"/>
        <w:ind w:firstLine="660" w:firstLineChars="236"/>
        <w:jc w:val="left"/>
        <w:rPr>
          <w:rFonts w:ascii="仿宋" w:hAnsi="仿宋" w:eastAsia="仿宋" w:cs="仿宋"/>
          <w:sz w:val="30"/>
          <w:szCs w:val="30"/>
        </w:rPr>
      </w:pPr>
      <w:r>
        <w:rPr>
          <w:rFonts w:ascii="仿宋" w:hAnsi="仿宋" w:eastAsia="仿宋" w:cs="仿宋"/>
          <w:sz w:val="28"/>
          <w:szCs w:val="28"/>
        </w:rPr>
        <w:t>4.</w:t>
      </w:r>
      <w:r>
        <w:rPr>
          <w:rFonts w:hint="eastAsia" w:ascii="仿宋" w:hAnsi="仿宋" w:eastAsia="仿宋" w:cs="仿宋"/>
          <w:sz w:val="28"/>
          <w:szCs w:val="28"/>
        </w:rPr>
        <w:t>买受方已被告知并完全理解及同意，转让方在《债权转让清单》中所列之债权金额仅为转让方根据统计资料所作的一般性描述，可能存在计算误差、记录错误，或因其他原因导致买受方实际接收的标的债权所涉金额（包括但不限于本息数，下同）与附件《债权转让清单》所列金额不完全一致，转让方对此等金额误差、记录错误无须承担任何责任；转让方此次系按照本协议签订时的标的债权的现状进行转让，若该等债权的有效性、金额与转让方判断或裁判机构最终认定的有效性、金额存在差别、误差，并不属于转让方违约。</w:t>
      </w:r>
    </w:p>
    <w:p>
      <w:pPr>
        <w:numPr>
          <w:ilvl w:val="255"/>
          <w:numId w:val="0"/>
        </w:numPr>
        <w:spacing w:line="520" w:lineRule="exact"/>
        <w:ind w:firstLine="600" w:firstLineChars="200"/>
        <w:rPr>
          <w:rFonts w:ascii="仿宋" w:hAnsi="仿宋" w:eastAsia="仿宋" w:cs="仿宋"/>
          <w:sz w:val="28"/>
          <w:szCs w:val="28"/>
        </w:rPr>
      </w:pPr>
      <w:r>
        <w:rPr>
          <w:rFonts w:ascii="仿宋" w:hAnsi="仿宋" w:eastAsia="仿宋" w:cs="仿宋"/>
          <w:sz w:val="30"/>
          <w:szCs w:val="30"/>
        </w:rPr>
        <w:t>5.</w:t>
      </w:r>
      <w:r>
        <w:rPr>
          <w:rFonts w:hint="eastAsia" w:ascii="仿宋" w:hAnsi="仿宋" w:eastAsia="仿宋" w:cs="仿宋"/>
          <w:sz w:val="28"/>
          <w:szCs w:val="28"/>
        </w:rPr>
        <w:t>向债务人送达债权转让通知事宜由买受方负责，转让方可以给予配合。</w:t>
      </w:r>
    </w:p>
    <w:p>
      <w:pPr>
        <w:numPr>
          <w:ilvl w:val="255"/>
          <w:numId w:val="0"/>
        </w:numPr>
        <w:spacing w:line="520" w:lineRule="exact"/>
        <w:ind w:firstLine="560" w:firstLineChars="200"/>
        <w:rPr>
          <w:rFonts w:ascii="仿宋" w:hAnsi="仿宋" w:eastAsia="仿宋" w:cs="仿宋"/>
          <w:sz w:val="28"/>
          <w:szCs w:val="28"/>
        </w:rPr>
      </w:pPr>
      <w:r>
        <w:rPr>
          <w:rFonts w:ascii="仿宋" w:hAnsi="仿宋" w:eastAsia="仿宋" w:cs="仿宋"/>
          <w:sz w:val="28"/>
          <w:szCs w:val="28"/>
        </w:rPr>
        <w:t>6</w:t>
      </w:r>
      <w:r>
        <w:rPr>
          <w:rFonts w:ascii="仿宋" w:hAnsi="仿宋" w:eastAsia="仿宋" w:cs="仿宋"/>
          <w:sz w:val="30"/>
          <w:szCs w:val="30"/>
        </w:rPr>
        <w:t>.</w:t>
      </w:r>
      <w:r>
        <w:rPr>
          <w:rFonts w:hint="eastAsia" w:ascii="仿宋" w:hAnsi="仿宋" w:eastAsia="仿宋" w:cs="仿宋"/>
          <w:sz w:val="30"/>
          <w:szCs w:val="30"/>
        </w:rPr>
        <w:t>转让标的其它情况可参见广西正德房地产土地资产评估有限公司出具的编号为广西正德评报字（2021）第1</w:t>
      </w:r>
      <w:r>
        <w:rPr>
          <w:rFonts w:ascii="仿宋" w:hAnsi="仿宋" w:eastAsia="仿宋" w:cs="仿宋"/>
          <w:sz w:val="30"/>
          <w:szCs w:val="30"/>
        </w:rPr>
        <w:t>54</w:t>
      </w:r>
      <w:r>
        <w:rPr>
          <w:rFonts w:hint="eastAsia" w:ascii="仿宋" w:hAnsi="仿宋" w:eastAsia="仿宋" w:cs="仿宋"/>
          <w:sz w:val="30"/>
          <w:szCs w:val="30"/>
        </w:rPr>
        <w:t>《广西有色金属集团有限公司管理人拟挂牌出售及账务核销所涉及广西有色金属集团有限公司债权、长期股权投资、土地使用权价值资产评估报告》（以下简称《评估报告》）。《评估报告》可至北部湾产权交易所查阅、复制。转让方不对《评估报告》的完整性、准确性承担担保责任。</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9B2"/>
    <w:rsid w:val="00236581"/>
    <w:rsid w:val="002842A1"/>
    <w:rsid w:val="00290D8E"/>
    <w:rsid w:val="004539B2"/>
    <w:rsid w:val="005E0B93"/>
    <w:rsid w:val="009C0B9E"/>
    <w:rsid w:val="00C41425"/>
    <w:rsid w:val="00E83FC9"/>
    <w:rsid w:val="69402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5"/>
    <w:uiPriority w:val="0"/>
    <w:pPr>
      <w:tabs>
        <w:tab w:val="center" w:pos="4153"/>
        <w:tab w:val="right" w:pos="8306"/>
      </w:tabs>
      <w:snapToGrid w:val="0"/>
      <w:jc w:val="left"/>
    </w:pPr>
    <w:rPr>
      <w:sz w:val="18"/>
    </w:rPr>
  </w:style>
  <w:style w:type="character" w:customStyle="1" w:styleId="5">
    <w:name w:val="页脚 字符"/>
    <w:basedOn w:val="4"/>
    <w:link w:val="2"/>
    <w:qFormat/>
    <w:uiPriority w:val="0"/>
    <w:rPr>
      <w:sz w:val="18"/>
      <w:szCs w:val="24"/>
    </w:rPr>
  </w:style>
  <w:style w:type="paragraph" w:customStyle="1" w:styleId="6">
    <w:name w:val="正文1"/>
    <w:uiPriority w:val="0"/>
    <w:pPr>
      <w:jc w:val="both"/>
    </w:pPr>
    <w:rPr>
      <w:rFonts w:ascii="Times New Roman" w:hAnsi="Times New Roman" w:eastAsia="宋体" w:cs="Times New Roman"/>
      <w:kern w:val="2"/>
      <w:sz w:val="21"/>
      <w:szCs w:val="21"/>
      <w:lang w:val="en-US" w:eastAsia="zh-CN" w:bidi="ar-SA"/>
    </w:rPr>
  </w:style>
  <w:style w:type="paragraph" w:customStyle="1" w:styleId="7">
    <w:name w:val="Revision"/>
    <w:hidden/>
    <w:semiHidden/>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179</Words>
  <Characters>1024</Characters>
  <Lines>8</Lines>
  <Paragraphs>2</Paragraphs>
  <TotalTime>24</TotalTime>
  <ScaleCrop>false</ScaleCrop>
  <LinksUpToDate>false</LinksUpToDate>
  <CharactersWithSpaces>1201</CharactersWithSpaces>
  <Application>WPS Office_11.1.0.11405_F1E327BC-269C-435d-A152-05C5408002CA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2021-11-30T04:36:00Z</dcterms:created>
  <dc:creator>ZM D</dc:creator>
  <cp:lastModifiedBy>罗明俊</cp:lastModifiedBy>
  <dcterms:modified xsi:type="dcterms:W3CDTF">2022-03-07T02:38:26Z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2052-11.1.0.11405</vt:lpwstr>
  </property>
  <property fmtid="{D5CDD505-2E9C-101B-9397-08002B2CF9AE}" pid="3" name="ICV">
    <vt:lpwstr>251D90FCA5F3475A83EC0B740F1F682A</vt:lpwstr>
  </property>
</Properties>
</file>