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</w:p>
    <w:tbl>
      <w:tblPr>
        <w:tblStyle w:val="14"/>
        <w:tblpPr w:leftFromText="180" w:rightFromText="180" w:vertAnchor="text" w:horzAnchor="page" w:tblpX="1792" w:tblpY="59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045"/>
        <w:gridCol w:w="2013"/>
        <w:gridCol w:w="2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鄂尔多斯银行股份有限公司2022年房产处置交易机构招选项目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转让总金额（元）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报价最高限价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承诺处置总金额（元）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（即转让总金额/报价）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40,000,000.00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1、报价保留两位小数；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2、如“报价表2”中分项报价合计的计算结果与该表“承诺处置总金额”不一致，以“报价表2”中分项报价为准，修正该表“承诺处置总金额”；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3、如“报价表1”中“报价”与“承诺处置总金额”不一致，以“承诺处置总金额”为准修正“报价”；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供应商承诺处置总金额为5000万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元，则“报价”为4000万元/5000万元，即为0.8。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</w:pPr>
    </w:p>
    <w:p>
      <w:pPr>
        <w:pStyle w:val="34"/>
        <w:ind w:right="42" w:rightChars="20"/>
        <w:rPr>
          <w:rFonts w:ascii="宋体" w:hAnsi="宋体"/>
          <w:snapToGrid w:val="0"/>
        </w:rPr>
      </w:pP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u w:val="single"/>
          <w:lang w:val="zh-CN"/>
        </w:rPr>
      </w:pPr>
      <w:r>
        <w:rPr>
          <w:rFonts w:hint="eastAsia" w:asciiTheme="minorEastAsia" w:hAnsiTheme="minorEastAsia"/>
          <w:szCs w:val="28"/>
          <w:lang w:val="zh-CN"/>
        </w:rPr>
        <w:t>供应商</w:t>
      </w:r>
      <w:r>
        <w:rPr>
          <w:rFonts w:asciiTheme="minorEastAsia" w:hAnsiTheme="minorEastAsia"/>
          <w:szCs w:val="28"/>
          <w:lang w:val="zh-CN"/>
        </w:rPr>
        <w:t>：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                       （盖章）</w:t>
      </w: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lang w:val="zh-CN"/>
        </w:rPr>
      </w:pP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lang w:val="zh-CN"/>
        </w:rPr>
      </w:pPr>
      <w:r>
        <w:rPr>
          <w:rFonts w:asciiTheme="minorEastAsia" w:hAnsiTheme="minorEastAsia"/>
          <w:szCs w:val="28"/>
          <w:lang w:val="zh-CN"/>
        </w:rPr>
        <w:t>日    期：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       </w:t>
      </w:r>
      <w:r>
        <w:rPr>
          <w:rFonts w:asciiTheme="minorEastAsia" w:hAnsiTheme="minorEastAsia"/>
          <w:szCs w:val="28"/>
          <w:lang w:val="zh-CN"/>
        </w:rPr>
        <w:t>年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</w:t>
      </w:r>
      <w:r>
        <w:rPr>
          <w:rFonts w:asciiTheme="minorEastAsia" w:hAnsiTheme="minorEastAsia"/>
          <w:szCs w:val="28"/>
          <w:lang w:val="zh-CN"/>
        </w:rPr>
        <w:t>月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</w:t>
      </w:r>
      <w:r>
        <w:rPr>
          <w:rFonts w:asciiTheme="minorEastAsia" w:hAnsiTheme="minorEastAsia"/>
          <w:szCs w:val="28"/>
          <w:lang w:val="zh-CN"/>
        </w:rPr>
        <w:t>日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551"/>
        <w:gridCol w:w="1824"/>
        <w:gridCol w:w="1842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鄂尔多斯银行股份有限公司2022年房产处置交易机构招选项目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坐落位置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建筑面积（㎡）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承诺处置金额（元）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东胜区鑫通御园21-1-601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鄂尔多斯市东胜区铁西鑫通御园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171.78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东胜区鑫通御园3-1024（-1层24号）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鄂尔多斯市东胜区铁西鑫通御园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东胜区鑫通御园2-2197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鄂尔多斯市东胜区铁西鑫通御园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东胜区鑫通御园21-1-701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鄂尔多斯市东胜区铁西鑫通御园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171.78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东胜区鑫通御园22-1015（-1层15号）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鄂尔多斯市东胜区铁西鑫通御园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东胜区鑫通御园19-2101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鄂尔多斯市东胜区铁西鑫通御园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东胜区松山路2号街坊岚馨苑小区7号楼2单元603号房产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东胜区松山路2号街坊岚馨苑小区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247.9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鄂尔多斯市东胜区达拉特北路4号街坊120号（每天百货西 宏达通讯）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鄂尔多斯市东胜区达拉特北路4号街坊120号（每天百货西 宏达通讯）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176.62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东胜区幸福街24号集泰新园小区，2-2-104室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东胜区幸福街24号集泰新园小区，2-1-1003室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东胜区幸福街24号集泰新园小区，1-2-1105室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东胜区幸福街24号集泰新园小区，3-3-1307室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东胜区幸福街24号集泰新园小区，3-3-1407室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126.69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东胜区幸福街24号集泰新园小区，3-1-603室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东胜区幸福街24号集泰新园小区，1-2-505室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东胜区幸福街24号集泰新园小区，2-1-1403室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东胜区幸福街24号集泰新园小区，2-2-1305室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鄂尔多斯市东胜区广场街11号4号楼1单元201房产（沁亨小区）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鄂尔多斯市东胜区广场街11号4号楼1单元201房产（沁亨小区）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127.57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鄂尔多斯市东胜区伊煤路16号街坊69号房产（六中附近）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鄂尔多斯市东胜区伊煤路16号街坊69号房产（六中附近）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261.82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鄂尔多斯市东胜区天骄路4号街坊民丰商贸城1号楼115号房产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鄂尔多斯市东胜区天骄路4号街坊民丰商贸城1号楼115号房屋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3,198.64 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2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3D265FD9"/>
    <w:rsid w:val="4D8D4D74"/>
    <w:rsid w:val="57790475"/>
    <w:rsid w:val="59A21062"/>
    <w:rsid w:val="5DC673A8"/>
    <w:rsid w:val="777501D2"/>
    <w:rsid w:val="7E2841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2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  <w:style w:type="paragraph" w:customStyle="1" w:styleId="34">
    <w:name w:val="本文正文段落格式"/>
    <w:basedOn w:val="1"/>
    <w:qFormat/>
    <w:uiPriority w:val="0"/>
    <w:pPr>
      <w:widowControl/>
      <w:adjustRightInd w:val="0"/>
      <w:snapToGrid w:val="0"/>
      <w:spacing w:line="360" w:lineRule="auto"/>
      <w:ind w:firstLine="482"/>
      <w:jc w:val="left"/>
    </w:pPr>
    <w:rPr>
      <w:rFonts w:ascii="Calibri" w:hAnsi="Calibri" w:eastAsia="宋体" w:cs="Times New Roman"/>
      <w:kern w:val="0"/>
      <w:sz w:val="28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5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2022-03-24T10:42:06Z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