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s="宋体"/>
          <w:color w:val="000000" w:themeColor="text1"/>
          <w:lang w:val="en-US" w:eastAsia="zh-CN"/>
          <w14:textFill>
            <w14:solidFill>
              <w14:schemeClr w14:val="tx1"/>
            </w14:solidFill>
          </w14:textFill>
        </w:rPr>
      </w:pPr>
      <w:r>
        <w:rPr>
          <w:rFonts w:hint="eastAsia" w:ascii="微软雅黑" w:hAnsi="微软雅黑" w:eastAsia="微软雅黑" w:cs="宋体"/>
          <w:color w:val="000000" w:themeColor="text1"/>
          <w:lang w:val="en-US" w:eastAsia="zh-CN"/>
          <w14:textFill>
            <w14:solidFill>
              <w14:schemeClr w14:val="tx1"/>
            </w14:solidFill>
          </w14:textFill>
        </w:rPr>
        <w:t>三、提供建设行政主管部门颁发的有效期内的建筑工程施工总承包乙级及以上（或原有效期内的建筑工程施工总承包三级及以上）资质；</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四、提供有效的安全生产许可证；</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五、提供注册建造师执业资格证书、安全生产考核合格证书、未担任其他在建工程项目的建造师的承诺；</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注册建造师执业资格证书</w:t>
            </w:r>
            <w:r>
              <w:rPr>
                <w:rFonts w:hint="eastAsia" w:ascii="微软雅黑" w:hAnsi="微软雅黑" w:eastAsia="微软雅黑"/>
                <w:color w:val="000000" w:themeColor="text1"/>
                <w:lang w:eastAsia="zh-CN"/>
                <w14:textFill>
                  <w14:solidFill>
                    <w14:schemeClr w14:val="tx1"/>
                  </w14:solidFill>
                </w14:textFill>
              </w:rPr>
              <w:t>）</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安全生产考核合格证书</w:t>
            </w:r>
            <w:r>
              <w:rPr>
                <w:rFonts w:hint="eastAsia" w:ascii="微软雅黑" w:hAnsi="微软雅黑" w:eastAsia="微软雅黑"/>
                <w:color w:val="000000" w:themeColor="text1"/>
                <w:lang w:eastAsia="zh-CN"/>
                <w14:textFill>
                  <w14:solidFill>
                    <w14:schemeClr w14:val="tx1"/>
                  </w14:solidFill>
                </w14:textFill>
              </w:rPr>
              <w:t>）</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未担任其他在建工程项目的建造师的承诺</w:t>
            </w:r>
            <w:r>
              <w:rPr>
                <w:rFonts w:hint="eastAsia" w:ascii="微软雅黑" w:hAnsi="微软雅黑" w:eastAsia="微软雅黑"/>
                <w:color w:val="000000" w:themeColor="text1"/>
                <w:lang w:eastAsia="zh-CN"/>
                <w14:textFill>
                  <w14:solidFill>
                    <w14:schemeClr w14:val="tx1"/>
                  </w14:solidFill>
                </w14:textFill>
              </w:rPr>
              <w:t>）</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1"/>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2"/>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提供已标价工程量清单打印、盖章后的扫描件</w:t>
      </w:r>
      <w:r>
        <w:rPr>
          <w:rFonts w:hint="eastAsia" w:ascii="微软雅黑" w:hAnsi="微软雅黑" w:eastAsia="微软雅黑"/>
          <w:color w:val="000000" w:themeColor="text1"/>
          <w:lang w:eastAsia="zh-CN"/>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bookmarkStart w:id="0" w:name="_GoBack"/>
      <w:bookmarkEnd w:id="0"/>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5381B9EE"/>
    <w:multiLevelType w:val="singleLevel"/>
    <w:tmpl w:val="5381B9EE"/>
    <w:lvl w:ilvl="0" w:tentative="0">
      <w:start w:val="7"/>
      <w:numFmt w:val="chineseCounting"/>
      <w:suff w:val="nothing"/>
      <w:lvlText w:val="%1、"/>
      <w:lvlJc w:val="left"/>
      <w:rPr>
        <w:rFonts w:hint="eastAsia"/>
      </w:rPr>
    </w:lvl>
  </w:abstractNum>
  <w:abstractNum w:abstractNumId="2">
    <w:nsid w:val="77060B0B"/>
    <w:multiLevelType w:val="singleLevel"/>
    <w:tmpl w:val="77060B0B"/>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79644EA"/>
    <w:rsid w:val="4D8D4D74"/>
    <w:rsid w:val="59A21062"/>
    <w:rsid w:val="5DC673A8"/>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2022-04-15T02:19:16Z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