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rPr>
          <w:highlight w:val="none"/>
        </w:rPr>
      </w:pPr>
      <w:bookmarkStart w:id="0" w:name="_Toc409303003"/>
      <w:r>
        <w:rPr>
          <w:rFonts w:hint="eastAsia"/>
          <w:highlight w:val="none"/>
          <w:lang w:val="en-US" w:eastAsia="zh-Hans"/>
        </w:rPr>
        <w:t>采购内容</w:t>
      </w:r>
    </w:p>
    <w:tbl>
      <w:tblPr>
        <w:tblStyle w:val="13"/>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600"/>
        <w:gridCol w:w="5600"/>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 w:type="dxa"/>
          </w:tcPr>
          <w:p>
            <w:pPr>
              <w:jc w:val="center"/>
              <w:rPr>
                <w:rFonts w:hint="eastAsia"/>
                <w:b/>
                <w:bCs/>
                <w:sz w:val="28"/>
                <w:szCs w:val="28"/>
                <w:highlight w:val="none"/>
                <w:lang w:val="en-US" w:eastAsia="zh-Hans"/>
              </w:rPr>
            </w:pPr>
            <w:r>
              <w:rPr>
                <w:rFonts w:hint="eastAsia"/>
                <w:b/>
                <w:bCs/>
                <w:sz w:val="28"/>
                <w:szCs w:val="28"/>
                <w:highlight w:val="none"/>
                <w:lang w:val="en-US" w:eastAsia="zh-Hans"/>
              </w:rPr>
              <w:t>序号</w:t>
            </w:r>
          </w:p>
        </w:tc>
        <w:tc>
          <w:tcPr>
            <w:tcW w:w="1600" w:type="dxa"/>
          </w:tcPr>
          <w:p>
            <w:pPr>
              <w:jc w:val="center"/>
              <w:rPr>
                <w:b/>
                <w:bCs/>
                <w:sz w:val="28"/>
                <w:szCs w:val="28"/>
                <w:highlight w:val="none"/>
                <w:vertAlign w:val="baseline"/>
                <w:lang w:val="en-US"/>
              </w:rPr>
            </w:pPr>
            <w:r>
              <w:rPr>
                <w:rFonts w:hint="eastAsia"/>
                <w:b/>
                <w:bCs/>
                <w:sz w:val="28"/>
                <w:szCs w:val="28"/>
                <w:highlight w:val="none"/>
                <w:lang w:val="en-US" w:eastAsia="zh-Hans"/>
              </w:rPr>
              <w:t>项目</w:t>
            </w:r>
          </w:p>
        </w:tc>
        <w:tc>
          <w:tcPr>
            <w:tcW w:w="5600" w:type="dxa"/>
          </w:tcPr>
          <w:p>
            <w:pPr>
              <w:jc w:val="center"/>
              <w:rPr>
                <w:rFonts w:hint="eastAsia" w:eastAsia="宋体"/>
                <w:b/>
                <w:bCs/>
                <w:sz w:val="28"/>
                <w:szCs w:val="28"/>
                <w:highlight w:val="none"/>
                <w:vertAlign w:val="baseline"/>
                <w:lang w:val="en-US" w:eastAsia="zh-Hans"/>
              </w:rPr>
            </w:pPr>
            <w:r>
              <w:rPr>
                <w:rFonts w:hint="eastAsia"/>
                <w:b/>
                <w:bCs/>
                <w:sz w:val="28"/>
                <w:szCs w:val="28"/>
                <w:highlight w:val="none"/>
                <w:vertAlign w:val="baseline"/>
                <w:lang w:val="en-US" w:eastAsia="zh-Hans"/>
              </w:rPr>
              <w:t>参数要求</w:t>
            </w:r>
          </w:p>
        </w:tc>
        <w:tc>
          <w:tcPr>
            <w:tcW w:w="1094" w:type="dxa"/>
          </w:tcPr>
          <w:p>
            <w:pPr>
              <w:jc w:val="center"/>
              <w:rPr>
                <w:rFonts w:hint="eastAsia" w:eastAsia="宋体"/>
                <w:b/>
                <w:bCs/>
                <w:sz w:val="28"/>
                <w:szCs w:val="28"/>
                <w:highlight w:val="none"/>
                <w:vertAlign w:val="baseline"/>
                <w:lang w:val="en-US" w:eastAsia="zh-Hans"/>
              </w:rPr>
            </w:pPr>
            <w:r>
              <w:rPr>
                <w:rFonts w:hint="eastAsia"/>
                <w:b/>
                <w:bCs/>
                <w:sz w:val="28"/>
                <w:szCs w:val="28"/>
                <w:highlight w:val="none"/>
                <w:vertAlign w:val="baseline"/>
                <w:lang w:val="en-US" w:eastAsia="zh-Han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 w:type="dxa"/>
            <w:vAlign w:val="center"/>
          </w:tcPr>
          <w:p>
            <w:pPr>
              <w:jc w:val="center"/>
              <w:rPr>
                <w:rFonts w:hint="eastAsia" w:ascii="仿宋_GB2312" w:hAnsi="仿宋_GB2312" w:eastAsia="仿宋_GB2312" w:cs="仿宋_GB2312"/>
                <w:sz w:val="28"/>
                <w:szCs w:val="28"/>
                <w:highlight w:val="none"/>
                <w:vertAlign w:val="baseline"/>
                <w:lang w:eastAsia="zh-Hans"/>
              </w:rPr>
            </w:pPr>
            <w:r>
              <w:rPr>
                <w:rFonts w:hint="eastAsia" w:ascii="仿宋_GB2312" w:hAnsi="仿宋_GB2312" w:eastAsia="仿宋_GB2312" w:cs="仿宋_GB2312"/>
                <w:sz w:val="28"/>
                <w:szCs w:val="28"/>
                <w:highlight w:val="none"/>
                <w:vertAlign w:val="baseline"/>
                <w:lang w:eastAsia="zh-Hans"/>
              </w:rPr>
              <w:t>1</w:t>
            </w:r>
          </w:p>
        </w:tc>
        <w:tc>
          <w:tcPr>
            <w:tcW w:w="1600" w:type="dxa"/>
            <w:vAlign w:val="center"/>
          </w:tcPr>
          <w:p>
            <w:pPr>
              <w:jc w:val="both"/>
              <w:rPr>
                <w:rFonts w:hint="eastAsia" w:ascii="仿宋_GB2312" w:hAnsi="仿宋_GB2312" w:eastAsia="仿宋_GB2312" w:cs="仿宋_GB2312"/>
                <w:sz w:val="28"/>
                <w:szCs w:val="28"/>
                <w:highlight w:val="none"/>
                <w:vertAlign w:val="baseline"/>
                <w:lang w:val="en-US" w:eastAsia="zh-Hans"/>
              </w:rPr>
            </w:pPr>
            <w:r>
              <w:rPr>
                <w:rFonts w:hint="eastAsia" w:ascii="仿宋_GB2312" w:hAnsi="仿宋_GB2312" w:eastAsia="仿宋_GB2312" w:cs="仿宋_GB2312"/>
                <w:sz w:val="28"/>
                <w:szCs w:val="28"/>
                <w:highlight w:val="none"/>
                <w:vertAlign w:val="baseline"/>
                <w:lang w:val="en-US" w:eastAsia="zh-Hans"/>
              </w:rPr>
              <w:t>钉钉办公自动化系统开发服务</w:t>
            </w:r>
          </w:p>
        </w:tc>
        <w:tc>
          <w:tcPr>
            <w:tcW w:w="5600" w:type="dxa"/>
            <w:vAlign w:val="center"/>
          </w:tcPr>
          <w:p>
            <w:pPr>
              <w:jc w:val="left"/>
              <w:rPr>
                <w:rFonts w:hint="eastAsia" w:ascii="仿宋_GB2312" w:hAnsi="仿宋_GB2312" w:eastAsia="仿宋_GB2312" w:cs="仿宋_GB2312"/>
                <w:sz w:val="28"/>
                <w:szCs w:val="28"/>
                <w:highlight w:val="none"/>
                <w:vertAlign w:val="baseline"/>
                <w:lang w:val="en-US" w:eastAsia="zh-Hans"/>
              </w:rPr>
            </w:pPr>
            <w:r>
              <w:rPr>
                <w:rFonts w:hint="eastAsia" w:ascii="仿宋_GB2312" w:hAnsi="仿宋_GB2312" w:eastAsia="仿宋_GB2312" w:cs="仿宋_GB2312"/>
                <w:sz w:val="28"/>
                <w:szCs w:val="28"/>
                <w:highlight w:val="none"/>
                <w:vertAlign w:val="baseline"/>
                <w:lang w:val="en-US" w:eastAsia="zh-Hans"/>
              </w:rPr>
              <w:t>基于钉钉，开发内部数字化业务支撑系统，包括行政办公、公文管理、</w:t>
            </w:r>
            <w:r>
              <w:rPr>
                <w:rFonts w:hint="eastAsia" w:ascii="仿宋_GB2312" w:hAnsi="仿宋_GB2312" w:eastAsia="仿宋_GB2312" w:cs="仿宋_GB2312"/>
                <w:sz w:val="28"/>
                <w:szCs w:val="28"/>
                <w:highlight w:val="none"/>
                <w:vertAlign w:val="baseline"/>
                <w:lang w:val="en-US" w:eastAsia="zh-CN"/>
              </w:rPr>
              <w:t>督办管理、</w:t>
            </w:r>
            <w:r>
              <w:rPr>
                <w:rFonts w:hint="eastAsia" w:ascii="仿宋_GB2312" w:hAnsi="仿宋_GB2312" w:eastAsia="仿宋_GB2312" w:cs="仿宋_GB2312"/>
                <w:sz w:val="28"/>
                <w:szCs w:val="28"/>
                <w:highlight w:val="none"/>
                <w:vertAlign w:val="baseline"/>
                <w:lang w:val="en-US" w:eastAsia="zh-Hans"/>
              </w:rPr>
              <w:t>人事管理、培训学习、考勤管理、</w:t>
            </w:r>
            <w:bookmarkStart w:id="35" w:name="_GoBack"/>
            <w:bookmarkEnd w:id="35"/>
            <w:r>
              <w:rPr>
                <w:rFonts w:hint="eastAsia" w:ascii="仿宋_GB2312" w:hAnsi="仿宋_GB2312" w:eastAsia="仿宋_GB2312" w:cs="仿宋_GB2312"/>
                <w:sz w:val="28"/>
                <w:szCs w:val="28"/>
                <w:highlight w:val="none"/>
                <w:vertAlign w:val="baseline"/>
                <w:lang w:val="en-US" w:eastAsia="zh-Hans"/>
              </w:rPr>
              <w:t>合同管理、财务报销、知识管理、文化建设</w:t>
            </w:r>
            <w:r>
              <w:rPr>
                <w:rFonts w:hint="eastAsia" w:ascii="仿宋_GB2312" w:hAnsi="仿宋_GB2312" w:eastAsia="仿宋_GB2312" w:cs="仿宋_GB2312"/>
                <w:sz w:val="28"/>
                <w:szCs w:val="28"/>
                <w:highlight w:val="none"/>
                <w:vertAlign w:val="baseline"/>
                <w:lang w:val="en-US" w:eastAsia="zh-CN"/>
              </w:rPr>
              <w:t xml:space="preserve"> </w:t>
            </w:r>
            <w:r>
              <w:rPr>
                <w:rFonts w:hint="eastAsia" w:ascii="仿宋_GB2312" w:hAnsi="仿宋_GB2312" w:eastAsia="仿宋_GB2312" w:cs="仿宋_GB2312"/>
                <w:sz w:val="28"/>
                <w:szCs w:val="28"/>
                <w:highlight w:val="none"/>
                <w:vertAlign w:val="baseline"/>
                <w:lang w:val="en-US" w:eastAsia="zh-Hans"/>
              </w:rPr>
              <w:t>。具体见技术需求</w:t>
            </w:r>
          </w:p>
        </w:tc>
        <w:tc>
          <w:tcPr>
            <w:tcW w:w="1094" w:type="dxa"/>
            <w:vAlign w:val="center"/>
          </w:tcPr>
          <w:p>
            <w:pPr>
              <w:jc w:val="center"/>
              <w:rPr>
                <w:rFonts w:hint="eastAsia" w:ascii="仿宋_GB2312" w:hAnsi="仿宋_GB2312" w:eastAsia="仿宋_GB2312" w:cs="仿宋_GB2312"/>
                <w:sz w:val="28"/>
                <w:szCs w:val="28"/>
                <w:highlight w:val="none"/>
                <w:vertAlign w:val="baseline"/>
                <w:lang w:eastAsia="zh-Hans"/>
              </w:rPr>
            </w:pPr>
            <w:r>
              <w:rPr>
                <w:rFonts w:hint="eastAsia" w:ascii="仿宋_GB2312" w:hAnsi="仿宋_GB2312" w:eastAsia="仿宋_GB2312" w:cs="仿宋_GB2312"/>
                <w:sz w:val="28"/>
                <w:szCs w:val="28"/>
                <w:highlight w:val="none"/>
                <w:vertAlign w:val="baseline"/>
                <w:lang w:eastAsia="zh-Hans"/>
              </w:rPr>
              <w:t>1</w:t>
            </w:r>
            <w:r>
              <w:rPr>
                <w:rFonts w:hint="eastAsia" w:ascii="仿宋_GB2312" w:hAnsi="仿宋_GB2312" w:eastAsia="仿宋_GB2312" w:cs="仿宋_GB2312"/>
                <w:sz w:val="28"/>
                <w:szCs w:val="28"/>
                <w:highlight w:val="none"/>
                <w:vertAlign w:val="baseline"/>
                <w:lang w:val="en-US" w:eastAsia="zh-Hans"/>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 w:type="dxa"/>
            <w:vAlign w:val="center"/>
          </w:tcPr>
          <w:p>
            <w:pPr>
              <w:jc w:val="center"/>
              <w:rPr>
                <w:rFonts w:hint="eastAsia" w:ascii="仿宋_GB2312" w:hAnsi="仿宋_GB2312" w:eastAsia="仿宋_GB2312" w:cs="仿宋_GB2312"/>
                <w:sz w:val="28"/>
                <w:szCs w:val="28"/>
                <w:highlight w:val="none"/>
                <w:vertAlign w:val="baseline"/>
                <w:lang w:eastAsia="zh-Hans"/>
              </w:rPr>
            </w:pPr>
            <w:r>
              <w:rPr>
                <w:rFonts w:hint="eastAsia" w:ascii="仿宋_GB2312" w:hAnsi="仿宋_GB2312" w:eastAsia="仿宋_GB2312" w:cs="仿宋_GB2312"/>
                <w:sz w:val="28"/>
                <w:szCs w:val="28"/>
                <w:highlight w:val="none"/>
                <w:vertAlign w:val="baseline"/>
                <w:lang w:eastAsia="zh-Hans"/>
              </w:rPr>
              <w:t>2</w:t>
            </w:r>
          </w:p>
        </w:tc>
        <w:tc>
          <w:tcPr>
            <w:tcW w:w="1600" w:type="dxa"/>
            <w:vAlign w:val="center"/>
          </w:tcPr>
          <w:p>
            <w:pPr>
              <w:jc w:val="both"/>
              <w:rPr>
                <w:rFonts w:hint="eastAsia" w:ascii="仿宋_GB2312" w:hAnsi="仿宋_GB2312" w:eastAsia="仿宋_GB2312" w:cs="仿宋_GB2312"/>
                <w:sz w:val="28"/>
                <w:szCs w:val="28"/>
                <w:highlight w:val="none"/>
                <w:vertAlign w:val="baseline"/>
                <w:lang w:val="en-US" w:eastAsia="zh-Hans"/>
              </w:rPr>
            </w:pPr>
            <w:r>
              <w:rPr>
                <w:rFonts w:hint="eastAsia" w:ascii="仿宋_GB2312" w:hAnsi="仿宋_GB2312" w:eastAsia="仿宋_GB2312" w:cs="仿宋_GB2312"/>
                <w:sz w:val="28"/>
                <w:szCs w:val="28"/>
                <w:highlight w:val="none"/>
                <w:vertAlign w:val="baseline"/>
                <w:lang w:val="en-US" w:eastAsia="zh-Hans"/>
              </w:rPr>
              <w:t>云服务器租赁</w:t>
            </w:r>
          </w:p>
        </w:tc>
        <w:tc>
          <w:tcPr>
            <w:tcW w:w="5600" w:type="dxa"/>
            <w:vAlign w:val="center"/>
          </w:tcPr>
          <w:p>
            <w:pPr>
              <w:jc w:val="left"/>
              <w:rPr>
                <w:rFonts w:hint="eastAsia" w:ascii="仿宋_GB2312" w:hAnsi="仿宋_GB2312" w:eastAsia="仿宋_GB2312" w:cs="仿宋_GB2312"/>
                <w:sz w:val="28"/>
                <w:szCs w:val="28"/>
                <w:highlight w:val="none"/>
                <w:vertAlign w:val="baseline"/>
                <w:lang w:val="en-US" w:eastAsia="zh-Hans"/>
              </w:rPr>
            </w:pPr>
            <w:r>
              <w:rPr>
                <w:rFonts w:hint="eastAsia" w:ascii="仿宋_GB2312" w:hAnsi="仿宋_GB2312" w:eastAsia="仿宋_GB2312" w:cs="仿宋_GB2312"/>
                <w:sz w:val="28"/>
                <w:szCs w:val="28"/>
                <w:highlight w:val="none"/>
                <w:vertAlign w:val="baseline"/>
                <w:lang w:val="en-US" w:eastAsia="zh-Hans"/>
              </w:rPr>
              <w:t>8核16G/5M带宽/系统盘100G/数数据盘500G/Centos7.6 64位</w:t>
            </w:r>
          </w:p>
        </w:tc>
        <w:tc>
          <w:tcPr>
            <w:tcW w:w="1094" w:type="dxa"/>
            <w:vAlign w:val="center"/>
          </w:tcPr>
          <w:p>
            <w:pPr>
              <w:jc w:val="center"/>
              <w:rPr>
                <w:rFonts w:hint="eastAsia" w:ascii="仿宋_GB2312" w:hAnsi="仿宋_GB2312" w:eastAsia="仿宋_GB2312" w:cs="仿宋_GB2312"/>
                <w:sz w:val="28"/>
                <w:szCs w:val="28"/>
                <w:highlight w:val="none"/>
                <w:vertAlign w:val="baseline"/>
                <w:lang w:eastAsia="zh-Hans"/>
              </w:rPr>
            </w:pPr>
            <w:r>
              <w:rPr>
                <w:rFonts w:hint="eastAsia" w:ascii="仿宋_GB2312" w:hAnsi="仿宋_GB2312" w:eastAsia="仿宋_GB2312" w:cs="仿宋_GB2312"/>
                <w:sz w:val="28"/>
                <w:szCs w:val="28"/>
                <w:highlight w:val="none"/>
                <w:vertAlign w:val="baseline"/>
                <w:lang w:eastAsia="zh-Hans"/>
              </w:rPr>
              <w:t>1</w:t>
            </w:r>
            <w:r>
              <w:rPr>
                <w:rFonts w:hint="eastAsia" w:ascii="仿宋_GB2312" w:hAnsi="仿宋_GB2312" w:eastAsia="仿宋_GB2312" w:cs="仿宋_GB2312"/>
                <w:sz w:val="28"/>
                <w:szCs w:val="28"/>
                <w:highlight w:val="none"/>
                <w:vertAlign w:val="baseline"/>
                <w:lang w:val="en-US" w:eastAsia="zh-Hans"/>
              </w:rPr>
              <w:t>年</w:t>
            </w:r>
          </w:p>
        </w:tc>
      </w:tr>
    </w:tbl>
    <w:p>
      <w:pPr>
        <w:rPr>
          <w:highlight w:val="none"/>
        </w:rPr>
      </w:pPr>
    </w:p>
    <w:p>
      <w:pPr>
        <w:pStyle w:val="3"/>
        <w:rPr>
          <w:rFonts w:ascii="仿宋_GB2312" w:eastAsia="仿宋_GB2312"/>
          <w:szCs w:val="28"/>
          <w:highlight w:val="none"/>
        </w:rPr>
      </w:pPr>
      <w:r>
        <w:rPr>
          <w:rFonts w:hint="eastAsia"/>
          <w:highlight w:val="none"/>
          <w:lang w:val="en-US" w:eastAsia="zh-Hans"/>
        </w:rPr>
        <w:t>技术</w:t>
      </w:r>
      <w:r>
        <w:rPr>
          <w:rFonts w:hint="eastAsia"/>
          <w:highlight w:val="none"/>
        </w:rPr>
        <w:t>要求</w:t>
      </w:r>
    </w:p>
    <w:p>
      <w:pPr>
        <w:pStyle w:val="4"/>
        <w:bidi w:val="0"/>
        <w:rPr>
          <w:highlight w:val="none"/>
        </w:rPr>
      </w:pPr>
      <w:r>
        <w:rPr>
          <w:rFonts w:cs="Times New Roman"/>
          <w:highlight w:val="none"/>
        </w:rPr>
        <w:t>总体</w:t>
      </w:r>
      <w:r>
        <w:rPr>
          <w:highlight w:val="none"/>
        </w:rPr>
        <w:t>平台要求</w:t>
      </w:r>
    </w:p>
    <w:p>
      <w:pPr>
        <w:autoSpaceDE w:val="0"/>
        <w:autoSpaceDN w:val="0"/>
        <w:adjustRightInd w:val="0"/>
        <w:spacing w:line="336" w:lineRule="auto"/>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本次项目要求建设一套功能强大、扩展性强的综合管理信息平台，满足长远的业务发展需求，通过信息化办公提高工作质量和效率。</w:t>
      </w:r>
    </w:p>
    <w:p>
      <w:pPr>
        <w:autoSpaceDE w:val="0"/>
        <w:autoSpaceDN w:val="0"/>
        <w:adjustRightInd w:val="0"/>
        <w:spacing w:line="336" w:lineRule="auto"/>
        <w:ind w:firstLine="560" w:firstLineChars="200"/>
        <w:rPr>
          <w:rFonts w:ascii="仿宋_GB2312" w:hAnsi="宋体" w:eastAsia="仿宋_GB2312"/>
          <w:sz w:val="28"/>
          <w:szCs w:val="28"/>
          <w:highlight w:val="none"/>
        </w:rPr>
      </w:pPr>
      <w:r>
        <w:rPr>
          <w:rFonts w:ascii="仿宋_GB2312" w:hAnsi="宋体" w:eastAsia="仿宋_GB2312"/>
          <w:sz w:val="28"/>
          <w:szCs w:val="28"/>
          <w:highlight w:val="none"/>
        </w:rPr>
        <w:t>本次项目要求必须能够从五个方面保障综合管理信息平台的建设：</w:t>
      </w:r>
    </w:p>
    <w:p>
      <w:pPr>
        <w:pStyle w:val="17"/>
        <w:numPr>
          <w:ilvl w:val="0"/>
          <w:numId w:val="3"/>
        </w:numPr>
        <w:autoSpaceDE w:val="0"/>
        <w:autoSpaceDN w:val="0"/>
        <w:adjustRightInd w:val="0"/>
        <w:spacing w:line="336" w:lineRule="auto"/>
        <w:ind w:left="0" w:firstLine="426" w:firstLineChars="0"/>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Hans"/>
        </w:rPr>
        <w:t>系统部署：本次项目建设所有模块必须一次性买断，所有应用必须私有部署，不接受按年付费的应用；</w:t>
      </w:r>
    </w:p>
    <w:p>
      <w:pPr>
        <w:pStyle w:val="17"/>
        <w:numPr>
          <w:ilvl w:val="0"/>
          <w:numId w:val="3"/>
        </w:numPr>
        <w:autoSpaceDE w:val="0"/>
        <w:autoSpaceDN w:val="0"/>
        <w:adjustRightInd w:val="0"/>
        <w:spacing w:line="336" w:lineRule="auto"/>
        <w:ind w:left="0" w:firstLine="426" w:firstLineChars="0"/>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Hans"/>
        </w:rPr>
        <w:t>系统建设范围：包括集团及下属分子公司，</w:t>
      </w:r>
      <w:r>
        <w:rPr>
          <w:rFonts w:hint="default" w:ascii="仿宋_GB2312" w:hAnsi="宋体" w:eastAsia="仿宋_GB2312"/>
          <w:sz w:val="28"/>
          <w:szCs w:val="28"/>
          <w:highlight w:val="none"/>
          <w:lang w:eastAsia="zh-Hans"/>
        </w:rPr>
        <w:t>100</w:t>
      </w:r>
      <w:r>
        <w:rPr>
          <w:rFonts w:hint="eastAsia" w:ascii="仿宋_GB2312" w:hAnsi="宋体" w:eastAsia="仿宋_GB2312"/>
          <w:sz w:val="28"/>
          <w:szCs w:val="28"/>
          <w:highlight w:val="none"/>
          <w:lang w:val="en-US" w:eastAsia="zh-Hans"/>
        </w:rPr>
        <w:t>注册用户</w:t>
      </w:r>
      <w:r>
        <w:rPr>
          <w:rFonts w:hint="eastAsia" w:ascii="仿宋_GB2312" w:hAnsi="宋体" w:eastAsia="仿宋_GB2312"/>
          <w:sz w:val="28"/>
          <w:szCs w:val="28"/>
          <w:highlight w:val="none"/>
          <w:lang w:val="en-US" w:eastAsia="zh-Hans"/>
        </w:rPr>
        <w:t>（包含PC和移动端），包含门户、公文、流程、培训学习、考试、移动办公的模块；</w:t>
      </w:r>
    </w:p>
    <w:p>
      <w:pPr>
        <w:pStyle w:val="17"/>
        <w:numPr>
          <w:ilvl w:val="0"/>
          <w:numId w:val="3"/>
        </w:numPr>
        <w:autoSpaceDE w:val="0"/>
        <w:autoSpaceDN w:val="0"/>
        <w:adjustRightInd w:val="0"/>
        <w:spacing w:line="336" w:lineRule="auto"/>
        <w:ind w:left="0" w:firstLine="426" w:firstLineChars="0"/>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Hans"/>
        </w:rPr>
        <w:t>移动端：移动端必须与钉钉集成，所有应用通过钉钉可以使用；</w:t>
      </w:r>
    </w:p>
    <w:p>
      <w:pPr>
        <w:pStyle w:val="4"/>
        <w:bidi w:val="0"/>
        <w:rPr>
          <w:rFonts w:cs="Times New Roman"/>
          <w:highlight w:val="none"/>
        </w:rPr>
      </w:pPr>
      <w:r>
        <w:rPr>
          <w:rFonts w:hint="eastAsia" w:cs="Times New Roman"/>
          <w:highlight w:val="none"/>
        </w:rPr>
        <w:t>建设原则</w:t>
      </w:r>
    </w:p>
    <w:p>
      <w:pPr>
        <w:pStyle w:val="17"/>
        <w:autoSpaceDE w:val="0"/>
        <w:autoSpaceDN w:val="0"/>
        <w:adjustRightInd w:val="0"/>
        <w:spacing w:line="336" w:lineRule="auto"/>
        <w:ind w:left="840" w:firstLine="0" w:firstLineChars="0"/>
        <w:rPr>
          <w:rFonts w:ascii="仿宋_GB2312" w:hAnsi="宋体" w:eastAsia="仿宋_GB2312"/>
          <w:sz w:val="28"/>
          <w:szCs w:val="28"/>
          <w:highlight w:val="none"/>
        </w:rPr>
      </w:pPr>
      <w:r>
        <w:rPr>
          <w:rFonts w:hint="eastAsia" w:ascii="仿宋_GB2312" w:hAnsi="宋体" w:eastAsia="仿宋_GB2312"/>
          <w:sz w:val="28"/>
          <w:szCs w:val="28"/>
          <w:highlight w:val="none"/>
        </w:rPr>
        <w:t>为保证项目能达到上述建设目标，在设计过程中应遵循如下原则：</w:t>
      </w:r>
    </w:p>
    <w:p>
      <w:pPr>
        <w:pStyle w:val="17"/>
        <w:numPr>
          <w:ilvl w:val="0"/>
          <w:numId w:val="4"/>
        </w:numPr>
        <w:autoSpaceDE w:val="0"/>
        <w:autoSpaceDN w:val="0"/>
        <w:adjustRightInd w:val="0"/>
        <w:spacing w:line="336" w:lineRule="auto"/>
        <w:ind w:firstLineChars="0"/>
        <w:rPr>
          <w:rFonts w:ascii="仿宋_GB2312" w:hAnsi="宋体" w:eastAsia="仿宋_GB2312"/>
          <w:sz w:val="28"/>
          <w:szCs w:val="28"/>
          <w:highlight w:val="none"/>
        </w:rPr>
      </w:pPr>
      <w:bookmarkStart w:id="1" w:name="_Toc108233245"/>
      <w:bookmarkEnd w:id="1"/>
      <w:bookmarkStart w:id="2" w:name="_Toc211853174"/>
      <w:bookmarkEnd w:id="2"/>
      <w:bookmarkStart w:id="3" w:name="_Toc108200082"/>
      <w:bookmarkEnd w:id="3"/>
      <w:bookmarkStart w:id="4" w:name="_Toc108199764"/>
      <w:bookmarkEnd w:id="4"/>
      <w:bookmarkStart w:id="5" w:name="_Toc109477394"/>
      <w:bookmarkEnd w:id="5"/>
      <w:r>
        <w:rPr>
          <w:rFonts w:hint="eastAsia" w:ascii="仿宋_GB2312" w:hAnsi="宋体" w:eastAsia="仿宋_GB2312"/>
          <w:sz w:val="28"/>
          <w:szCs w:val="28"/>
          <w:highlight w:val="none"/>
        </w:rPr>
        <w:t>安全性：系统必须建立整套包括相关技术和制度在内的严格、缜密、可靠的协同办公安全管理机制。</w:t>
      </w:r>
    </w:p>
    <w:p>
      <w:pPr>
        <w:pStyle w:val="17"/>
        <w:numPr>
          <w:ilvl w:val="0"/>
          <w:numId w:val="4"/>
        </w:numPr>
        <w:autoSpaceDE w:val="0"/>
        <w:autoSpaceDN w:val="0"/>
        <w:adjustRightInd w:val="0"/>
        <w:spacing w:line="336" w:lineRule="auto"/>
        <w:ind w:firstLineChars="0"/>
        <w:rPr>
          <w:rFonts w:ascii="仿宋_GB2312" w:hAnsi="宋体" w:eastAsia="仿宋_GB2312"/>
          <w:sz w:val="28"/>
          <w:szCs w:val="28"/>
          <w:highlight w:val="none"/>
        </w:rPr>
      </w:pPr>
      <w:bookmarkStart w:id="6" w:name="_Toc211853177"/>
      <w:bookmarkEnd w:id="6"/>
      <w:r>
        <w:rPr>
          <w:rFonts w:hint="eastAsia" w:ascii="仿宋_GB2312" w:hAnsi="宋体" w:eastAsia="仿宋_GB2312"/>
          <w:sz w:val="28"/>
          <w:szCs w:val="28"/>
          <w:highlight w:val="none"/>
        </w:rPr>
        <w:t>先进性：系统应采用先进、成熟的开发平台，使系统各项功能得到可靠执行。</w:t>
      </w:r>
    </w:p>
    <w:p>
      <w:pPr>
        <w:pStyle w:val="17"/>
        <w:numPr>
          <w:ilvl w:val="0"/>
          <w:numId w:val="4"/>
        </w:numPr>
        <w:autoSpaceDE w:val="0"/>
        <w:autoSpaceDN w:val="0"/>
        <w:adjustRightInd w:val="0"/>
        <w:spacing w:line="336" w:lineRule="auto"/>
        <w:ind w:firstLineChars="0"/>
        <w:rPr>
          <w:rFonts w:ascii="仿宋_GB2312" w:hAnsi="宋体" w:eastAsia="仿宋_GB2312"/>
          <w:sz w:val="28"/>
          <w:szCs w:val="28"/>
          <w:highlight w:val="none"/>
        </w:rPr>
      </w:pPr>
      <w:bookmarkStart w:id="7" w:name="_Toc108200083"/>
      <w:bookmarkEnd w:id="7"/>
      <w:bookmarkStart w:id="8" w:name="_Toc211853175"/>
      <w:bookmarkEnd w:id="8"/>
      <w:bookmarkStart w:id="9" w:name="_Toc109477395"/>
      <w:bookmarkEnd w:id="9"/>
      <w:bookmarkStart w:id="10" w:name="_Toc108233246"/>
      <w:bookmarkEnd w:id="10"/>
      <w:bookmarkStart w:id="11" w:name="_Toc108199765"/>
      <w:bookmarkEnd w:id="11"/>
      <w:r>
        <w:rPr>
          <w:rFonts w:hint="eastAsia" w:ascii="仿宋_GB2312" w:hAnsi="宋体" w:eastAsia="仿宋_GB2312"/>
          <w:sz w:val="28"/>
          <w:szCs w:val="28"/>
          <w:highlight w:val="none"/>
        </w:rPr>
        <w:t>持续升级：系统须能够无须定制地平滑升级，并承诺对产品提供持续升级服务。</w:t>
      </w:r>
    </w:p>
    <w:p>
      <w:pPr>
        <w:pStyle w:val="17"/>
        <w:numPr>
          <w:ilvl w:val="0"/>
          <w:numId w:val="4"/>
        </w:numPr>
        <w:autoSpaceDE w:val="0"/>
        <w:autoSpaceDN w:val="0"/>
        <w:adjustRightInd w:val="0"/>
        <w:spacing w:line="336" w:lineRule="auto"/>
        <w:ind w:firstLineChars="0"/>
        <w:rPr>
          <w:rFonts w:ascii="仿宋_GB2312" w:hAnsi="宋体" w:eastAsia="仿宋_GB2312"/>
          <w:sz w:val="28"/>
          <w:szCs w:val="28"/>
          <w:highlight w:val="none"/>
        </w:rPr>
      </w:pPr>
      <w:bookmarkStart w:id="12" w:name="_Toc211853179"/>
      <w:bookmarkEnd w:id="12"/>
      <w:bookmarkStart w:id="13" w:name="_Toc109477397"/>
      <w:bookmarkEnd w:id="13"/>
      <w:bookmarkStart w:id="14" w:name="_Toc108199767"/>
      <w:bookmarkEnd w:id="14"/>
      <w:bookmarkStart w:id="15" w:name="_Toc108200085"/>
      <w:bookmarkEnd w:id="15"/>
      <w:bookmarkStart w:id="16" w:name="_Toc108233248"/>
      <w:bookmarkEnd w:id="16"/>
      <w:r>
        <w:rPr>
          <w:rFonts w:hint="eastAsia" w:ascii="仿宋_GB2312" w:hAnsi="宋体" w:eastAsia="仿宋_GB2312"/>
          <w:sz w:val="28"/>
          <w:szCs w:val="28"/>
          <w:highlight w:val="none"/>
        </w:rPr>
        <w:t>易用性：系统应提供友好的用户界面，人性化的设计，简单易用，便于操作。</w:t>
      </w:r>
    </w:p>
    <w:p>
      <w:pPr>
        <w:pStyle w:val="17"/>
        <w:numPr>
          <w:ilvl w:val="0"/>
          <w:numId w:val="4"/>
        </w:numPr>
        <w:autoSpaceDE w:val="0"/>
        <w:autoSpaceDN w:val="0"/>
        <w:adjustRightInd w:val="0"/>
        <w:spacing w:line="336" w:lineRule="auto"/>
        <w:ind w:firstLineChars="0"/>
        <w:rPr>
          <w:rFonts w:ascii="仿宋_GB2312" w:hAnsi="宋体" w:eastAsia="仿宋_GB2312"/>
          <w:sz w:val="28"/>
          <w:szCs w:val="28"/>
          <w:highlight w:val="none"/>
        </w:rPr>
      </w:pPr>
      <w:bookmarkStart w:id="17" w:name="_Toc108233250"/>
      <w:bookmarkEnd w:id="17"/>
      <w:bookmarkStart w:id="18" w:name="_Toc108200087"/>
      <w:bookmarkEnd w:id="18"/>
      <w:bookmarkStart w:id="19" w:name="_Toc108233249"/>
      <w:bookmarkEnd w:id="19"/>
      <w:bookmarkStart w:id="20" w:name="_Toc108199769"/>
      <w:bookmarkEnd w:id="20"/>
      <w:bookmarkStart w:id="21" w:name="_Toc211853183"/>
      <w:bookmarkEnd w:id="21"/>
      <w:bookmarkStart w:id="22" w:name="_Toc109477398"/>
      <w:bookmarkEnd w:id="22"/>
      <w:bookmarkStart w:id="23" w:name="_Toc109477399"/>
      <w:bookmarkEnd w:id="23"/>
      <w:bookmarkStart w:id="24" w:name="_Toc211853181"/>
      <w:bookmarkEnd w:id="24"/>
      <w:bookmarkStart w:id="25" w:name="_Toc211853182"/>
      <w:bookmarkEnd w:id="25"/>
      <w:bookmarkStart w:id="26" w:name="_Toc108199768"/>
      <w:bookmarkEnd w:id="26"/>
      <w:bookmarkStart w:id="27" w:name="_Toc108200086"/>
      <w:bookmarkEnd w:id="27"/>
      <w:r>
        <w:rPr>
          <w:rFonts w:hint="eastAsia" w:ascii="仿宋_GB2312" w:hAnsi="宋体" w:eastAsia="仿宋_GB2312"/>
          <w:sz w:val="28"/>
          <w:szCs w:val="28"/>
          <w:highlight w:val="none"/>
        </w:rPr>
        <w:t>可扩展性：系统设计要科学、合理，应具有良好的可扩展性，用户能按需有偿扩充新的功能模块及扩大应用规模（如数据量、用户数等），不得出现因功能与规模相互影响而导致实质性无法有效扩展等问题出现。</w:t>
      </w:r>
    </w:p>
    <w:p>
      <w:pPr>
        <w:pStyle w:val="17"/>
        <w:numPr>
          <w:ilvl w:val="0"/>
          <w:numId w:val="4"/>
        </w:numPr>
        <w:autoSpaceDE w:val="0"/>
        <w:autoSpaceDN w:val="0"/>
        <w:adjustRightInd w:val="0"/>
        <w:spacing w:line="336" w:lineRule="auto"/>
        <w:ind w:firstLineChars="0"/>
        <w:rPr>
          <w:rFonts w:ascii="仿宋_GB2312" w:hAnsi="宋体" w:eastAsia="仿宋_GB2312"/>
          <w:sz w:val="28"/>
          <w:szCs w:val="28"/>
          <w:highlight w:val="none"/>
        </w:rPr>
      </w:pPr>
      <w:bookmarkStart w:id="28" w:name="_Toc211853185"/>
      <w:bookmarkEnd w:id="28"/>
      <w:bookmarkStart w:id="29" w:name="_Toc109477401"/>
      <w:bookmarkEnd w:id="29"/>
      <w:bookmarkStart w:id="30" w:name="_Toc108200089"/>
      <w:bookmarkEnd w:id="30"/>
      <w:bookmarkStart w:id="31" w:name="_Toc108199771"/>
      <w:bookmarkEnd w:id="31"/>
      <w:bookmarkStart w:id="32" w:name="_Toc108233252"/>
      <w:bookmarkEnd w:id="32"/>
      <w:r>
        <w:rPr>
          <w:rFonts w:hint="eastAsia" w:ascii="仿宋_GB2312" w:hAnsi="宋体" w:eastAsia="仿宋_GB2312"/>
          <w:sz w:val="28"/>
          <w:szCs w:val="28"/>
          <w:highlight w:val="none"/>
        </w:rPr>
        <w:t>可维护性：系统应提供可视化的管理工具，允许通过多种手段，快捷管理、配置和监控系统运行状况，为系统正常运行提供技术保障。</w:t>
      </w:r>
    </w:p>
    <w:p>
      <w:pPr>
        <w:pStyle w:val="4"/>
        <w:bidi w:val="0"/>
        <w:rPr>
          <w:rFonts w:hint="eastAsia" w:cs="Times New Roman"/>
          <w:highlight w:val="none"/>
        </w:rPr>
      </w:pPr>
      <w:r>
        <w:rPr>
          <w:rFonts w:hint="eastAsia" w:cs="Times New Roman"/>
          <w:highlight w:val="none"/>
        </w:rPr>
        <w:t>功能要求</w:t>
      </w:r>
    </w:p>
    <w:p>
      <w:pPr>
        <w:pStyle w:val="5"/>
        <w:bidi w:val="0"/>
        <w:rPr>
          <w:highlight w:val="none"/>
        </w:rPr>
      </w:pPr>
      <w:r>
        <w:rPr>
          <w:rFonts w:hint="eastAsia"/>
          <w:highlight w:val="none"/>
        </w:rPr>
        <w:t>信息门户</w:t>
      </w:r>
    </w:p>
    <w:p>
      <w:pPr>
        <w:autoSpaceDE w:val="0"/>
        <w:autoSpaceDN w:val="0"/>
        <w:adjustRightInd w:val="0"/>
        <w:spacing w:line="336" w:lineRule="auto"/>
        <w:ind w:firstLine="560" w:firstLineChars="200"/>
        <w:rPr>
          <w:rFonts w:ascii="仿宋_GB2312" w:hAnsi="宋体" w:eastAsia="仿宋_GB2312"/>
          <w:sz w:val="28"/>
          <w:szCs w:val="28"/>
          <w:highlight w:val="none"/>
        </w:rPr>
      </w:pPr>
      <w:r>
        <w:rPr>
          <w:rFonts w:ascii="仿宋_GB2312" w:hAnsi="宋体" w:eastAsia="仿宋_GB2312"/>
          <w:sz w:val="28"/>
          <w:szCs w:val="28"/>
          <w:highlight w:val="none"/>
        </w:rPr>
        <w:t>企业统一信息门户的建设是要将各应用系统的操作界面统一设计，统一实现。使操作界面清晰、美观、干净、直观，并且前后操作连贯。企业信息门户的建设将以数据获取和数据整合为核心，通过对各类现有应用系统中信息和数据资源的全面、有机整合来为业务系统的工作协同服务。</w:t>
      </w:r>
    </w:p>
    <w:p>
      <w:pPr>
        <w:autoSpaceDE w:val="0"/>
        <w:autoSpaceDN w:val="0"/>
        <w:adjustRightInd w:val="0"/>
        <w:spacing w:line="336" w:lineRule="auto"/>
        <w:ind w:firstLine="560" w:firstLineChars="200"/>
        <w:rPr>
          <w:rFonts w:ascii="宋体" w:hAnsi="宋体"/>
          <w:sz w:val="24"/>
          <w:highlight w:val="none"/>
        </w:rPr>
      </w:pPr>
      <w:r>
        <w:rPr>
          <w:rFonts w:hint="eastAsia" w:ascii="仿宋_GB2312" w:hAnsi="宋体" w:eastAsia="仿宋_GB2312"/>
          <w:sz w:val="28"/>
          <w:szCs w:val="28"/>
          <w:highlight w:val="none"/>
        </w:rPr>
        <w:t>通过统一的用户信息门户界面把系统中各个模块的信息科学的、有机的展现在工作人员面前，方便工作人员在第一时间了解自己待办、待阅的各种公文、会议、通知、公告、新闻、积累的知识文档、档案等多维度个性化，聚合组织业务、管理信息，包含：个人门户、领导门户、部门门户等。创建一个提供支持信息访问、传递，以及跨组织工作的集成化工作环境。做到集中管理信息资源，统一管理知识资产，提升组织运营效率。</w:t>
      </w:r>
    </w:p>
    <w:p>
      <w:pPr>
        <w:pStyle w:val="5"/>
        <w:bidi w:val="0"/>
        <w:rPr>
          <w:rFonts w:hint="eastAsia" w:cs="Times New Roman"/>
          <w:highlight w:val="none"/>
        </w:rPr>
      </w:pPr>
      <w:r>
        <w:rPr>
          <w:rFonts w:hint="eastAsia" w:cs="Times New Roman"/>
          <w:highlight w:val="none"/>
        </w:rPr>
        <w:t>公文流转</w:t>
      </w:r>
    </w:p>
    <w:p>
      <w:pPr>
        <w:widowControl/>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公文处理和交换按照公文管理方式进行管理，解决公文的规范化和执行问题，公文的收发文流转的拟发文、收文分发、归档等具体业务的流程化管理都符合国家公文管理规定，支持电子签章、痕迹保留等，实现公文流程以及节点权限、公文单格式、公文格式和文号管理的全面自定义。</w:t>
      </w:r>
      <w:bookmarkStart w:id="33" w:name="_Toc211853186"/>
      <w:bookmarkEnd w:id="33"/>
      <w:bookmarkStart w:id="34" w:name="_Toc411416264"/>
      <w:bookmarkEnd w:id="34"/>
    </w:p>
    <w:p>
      <w:pPr>
        <w:pStyle w:val="5"/>
        <w:bidi w:val="0"/>
        <w:rPr>
          <w:rFonts w:ascii="仿宋_GB2312" w:eastAsia="仿宋_GB2312"/>
          <w:szCs w:val="28"/>
          <w:highlight w:val="none"/>
        </w:rPr>
      </w:pPr>
      <w:r>
        <w:rPr>
          <w:rFonts w:hint="eastAsia" w:cs="Times New Roman"/>
          <w:highlight w:val="none"/>
        </w:rPr>
        <w:t>流程审批</w:t>
      </w:r>
    </w:p>
    <w:p>
      <w:pPr>
        <w:autoSpaceDE w:val="0"/>
        <w:autoSpaceDN w:val="0"/>
        <w:adjustRightInd w:val="0"/>
        <w:jc w:val="left"/>
        <w:rPr>
          <w:rFonts w:ascii="仿宋_GB2312" w:hAnsi="宋体" w:eastAsia="仿宋_GB2312"/>
          <w:sz w:val="28"/>
          <w:szCs w:val="28"/>
          <w:highlight w:val="none"/>
        </w:rPr>
      </w:pPr>
      <w:r>
        <w:rPr>
          <w:highlight w:val="none"/>
        </w:rPr>
        <w:tab/>
      </w:r>
      <w:r>
        <w:rPr>
          <w:rFonts w:ascii="仿宋_GB2312" w:hAnsi="宋体" w:eastAsia="仿宋_GB2312"/>
          <w:sz w:val="28"/>
          <w:szCs w:val="28"/>
          <w:highlight w:val="none"/>
        </w:rPr>
        <w:t>通过协同办公平台</w:t>
      </w:r>
      <w:r>
        <w:rPr>
          <w:rFonts w:hint="eastAsia" w:ascii="仿宋_GB2312" w:hAnsi="宋体" w:eastAsia="仿宋_GB2312"/>
          <w:sz w:val="28"/>
          <w:szCs w:val="28"/>
          <w:highlight w:val="none"/>
        </w:rPr>
        <w:t>构建统一的流程审批平台，提供流程标准模板，通过流程的建立和规范、流程数据分析，最终达到优化流程。通过流程优化，减少公司办公业务中的非增值活动、等待时间、重复和协调的工作量，在解决协同工作和信息共享的同时，实现在线业务流转和管理，真正提高办公效率，挖掘和发挥员工价值；同时基于公司移动办公的需要，实现手机网上审批的功能。基于工作流应用推广的需要，需要从安全部署方面能满足公司今后需求扩展的要求，做到行业领先。</w:t>
      </w:r>
    </w:p>
    <w:p>
      <w:pPr>
        <w:pStyle w:val="17"/>
        <w:numPr>
          <w:ilvl w:val="0"/>
          <w:numId w:val="5"/>
        </w:numPr>
        <w:autoSpaceDE w:val="0"/>
        <w:autoSpaceDN w:val="0"/>
        <w:adjustRightInd w:val="0"/>
        <w:ind w:firstLineChars="0"/>
        <w:jc w:val="left"/>
        <w:rPr>
          <w:rFonts w:ascii="仿宋_GB2312" w:hAnsi="宋体" w:eastAsia="仿宋_GB2312"/>
          <w:sz w:val="28"/>
          <w:szCs w:val="28"/>
          <w:highlight w:val="none"/>
        </w:rPr>
      </w:pPr>
      <w:r>
        <w:rPr>
          <w:rFonts w:hint="eastAsia" w:ascii="仿宋_GB2312" w:hAnsi="宋体" w:eastAsia="仿宋_GB2312"/>
          <w:sz w:val="28"/>
          <w:szCs w:val="28"/>
          <w:highlight w:val="none"/>
        </w:rPr>
        <w:t>灵活的可视化流程定义工具，支持流程自动检测，减少流程的人为疏忽错误配置。</w:t>
      </w:r>
    </w:p>
    <w:p>
      <w:pPr>
        <w:pStyle w:val="17"/>
        <w:numPr>
          <w:ilvl w:val="0"/>
          <w:numId w:val="5"/>
        </w:numPr>
        <w:autoSpaceDE w:val="0"/>
        <w:autoSpaceDN w:val="0"/>
        <w:adjustRightInd w:val="0"/>
        <w:ind w:firstLineChars="0"/>
        <w:jc w:val="left"/>
        <w:rPr>
          <w:rFonts w:ascii="仿宋_GB2312" w:hAnsi="宋体" w:eastAsia="仿宋_GB2312"/>
          <w:sz w:val="28"/>
          <w:szCs w:val="28"/>
          <w:highlight w:val="none"/>
        </w:rPr>
      </w:pPr>
      <w:r>
        <w:rPr>
          <w:rFonts w:ascii="仿宋_GB2312" w:hAnsi="宋体" w:eastAsia="仿宋_GB2312"/>
          <w:sz w:val="28"/>
          <w:szCs w:val="28"/>
          <w:highlight w:val="none"/>
        </w:rPr>
        <w:t>流程节点权限支持单独设定。支持同意、驳回、转办其他人、邀请其他人回复意见等常用操作。支持保存常用审批意见，减少审批意见录入时间。</w:t>
      </w:r>
    </w:p>
    <w:p>
      <w:pPr>
        <w:pStyle w:val="17"/>
        <w:numPr>
          <w:ilvl w:val="0"/>
          <w:numId w:val="5"/>
        </w:numPr>
        <w:autoSpaceDE w:val="0"/>
        <w:autoSpaceDN w:val="0"/>
        <w:adjustRightInd w:val="0"/>
        <w:ind w:firstLineChars="0"/>
        <w:jc w:val="left"/>
        <w:rPr>
          <w:rFonts w:ascii="仿宋_GB2312" w:hAnsi="宋体" w:eastAsia="仿宋_GB2312"/>
          <w:sz w:val="28"/>
          <w:szCs w:val="28"/>
          <w:highlight w:val="none"/>
        </w:rPr>
      </w:pPr>
      <w:r>
        <w:rPr>
          <w:rFonts w:hint="eastAsia" w:ascii="仿宋_GB2312" w:hAnsi="宋体" w:eastAsia="仿宋_GB2312"/>
          <w:sz w:val="28"/>
          <w:szCs w:val="28"/>
          <w:highlight w:val="none"/>
        </w:rPr>
        <w:t>流程修改时要保证系统中正在流转的流程和过去产生的流程的正常使用。保证旧流程表单的内容和格式不受影响。</w:t>
      </w:r>
    </w:p>
    <w:p>
      <w:pPr>
        <w:pStyle w:val="17"/>
        <w:numPr>
          <w:ilvl w:val="0"/>
          <w:numId w:val="5"/>
        </w:numPr>
        <w:autoSpaceDE w:val="0"/>
        <w:autoSpaceDN w:val="0"/>
        <w:adjustRightInd w:val="0"/>
        <w:ind w:firstLineChars="0"/>
        <w:jc w:val="left"/>
        <w:rPr>
          <w:rFonts w:ascii="仿宋_GB2312" w:hAnsi="宋体" w:eastAsia="仿宋_GB2312"/>
          <w:sz w:val="28"/>
          <w:szCs w:val="28"/>
          <w:highlight w:val="none"/>
        </w:rPr>
      </w:pPr>
      <w:r>
        <w:rPr>
          <w:rFonts w:hint="eastAsia" w:ascii="仿宋_GB2312" w:hAnsi="宋体" w:eastAsia="仿宋_GB2312"/>
          <w:sz w:val="28"/>
          <w:szCs w:val="28"/>
          <w:highlight w:val="none"/>
        </w:rPr>
        <w:t>流程支持上传附件，并可以在线查阅、编辑。</w:t>
      </w:r>
    </w:p>
    <w:p>
      <w:pPr>
        <w:pStyle w:val="17"/>
        <w:numPr>
          <w:ilvl w:val="0"/>
          <w:numId w:val="5"/>
        </w:numPr>
        <w:autoSpaceDE w:val="0"/>
        <w:autoSpaceDN w:val="0"/>
        <w:adjustRightInd w:val="0"/>
        <w:ind w:firstLineChars="0"/>
        <w:jc w:val="left"/>
        <w:rPr>
          <w:rFonts w:ascii="仿宋_GB2312" w:hAnsi="宋体" w:eastAsia="仿宋_GB2312"/>
          <w:sz w:val="28"/>
          <w:szCs w:val="28"/>
          <w:highlight w:val="none"/>
        </w:rPr>
      </w:pPr>
      <w:r>
        <w:rPr>
          <w:rFonts w:ascii="仿宋_GB2312" w:hAnsi="宋体" w:eastAsia="仿宋_GB2312"/>
          <w:sz w:val="28"/>
          <w:szCs w:val="28"/>
          <w:highlight w:val="none"/>
        </w:rPr>
        <w:t>审批异常或出错的流程管理员可进行查询、干预。</w:t>
      </w:r>
    </w:p>
    <w:p>
      <w:pPr>
        <w:pStyle w:val="17"/>
        <w:numPr>
          <w:ilvl w:val="0"/>
          <w:numId w:val="5"/>
        </w:numPr>
        <w:autoSpaceDE w:val="0"/>
        <w:autoSpaceDN w:val="0"/>
        <w:adjustRightInd w:val="0"/>
        <w:ind w:firstLineChars="0"/>
        <w:jc w:val="left"/>
        <w:rPr>
          <w:rFonts w:ascii="仿宋_GB2312" w:hAnsi="宋体" w:eastAsia="仿宋_GB2312" w:cs="Times New Roman"/>
          <w:sz w:val="28"/>
          <w:szCs w:val="28"/>
          <w:highlight w:val="none"/>
        </w:rPr>
      </w:pPr>
      <w:r>
        <w:rPr>
          <w:rFonts w:ascii="仿宋_GB2312" w:hAnsi="宋体" w:eastAsia="仿宋_GB2312" w:cs="Times New Roman"/>
          <w:sz w:val="28"/>
          <w:szCs w:val="28"/>
          <w:highlight w:val="none"/>
        </w:rPr>
        <w:t>支持在流程审批过程中发起</w:t>
      </w:r>
      <w:r>
        <w:rPr>
          <w:rFonts w:hint="eastAsia" w:ascii="仿宋_GB2312" w:hAnsi="宋体" w:eastAsia="仿宋_GB2312" w:cs="Times New Roman"/>
          <w:sz w:val="28"/>
          <w:szCs w:val="28"/>
          <w:highlight w:val="none"/>
          <w:lang w:val="en-US" w:eastAsia="zh-Hans"/>
        </w:rPr>
        <w:t>钉钉</w:t>
      </w:r>
      <w:r>
        <w:rPr>
          <w:rFonts w:ascii="仿宋_GB2312" w:hAnsi="宋体" w:eastAsia="仿宋_GB2312" w:cs="Times New Roman"/>
          <w:sz w:val="28"/>
          <w:szCs w:val="28"/>
          <w:highlight w:val="none"/>
        </w:rPr>
        <w:t>群聊</w:t>
      </w:r>
      <w:r>
        <w:rPr>
          <w:rFonts w:hint="eastAsia" w:ascii="仿宋_GB2312" w:hAnsi="宋体" w:eastAsia="仿宋_GB2312" w:cs="Times New Roman"/>
          <w:sz w:val="28"/>
          <w:szCs w:val="28"/>
          <w:highlight w:val="none"/>
        </w:rPr>
        <w:t>，</w:t>
      </w:r>
      <w:r>
        <w:rPr>
          <w:rFonts w:ascii="仿宋_GB2312" w:hAnsi="宋体" w:eastAsia="仿宋_GB2312" w:cs="Times New Roman"/>
          <w:sz w:val="28"/>
          <w:szCs w:val="28"/>
          <w:highlight w:val="none"/>
        </w:rPr>
        <w:t>群聊记录能够和流程绑定</w:t>
      </w:r>
      <w:r>
        <w:rPr>
          <w:rFonts w:hint="eastAsia" w:ascii="仿宋_GB2312" w:hAnsi="宋体" w:eastAsia="仿宋_GB2312" w:cs="Times New Roman"/>
          <w:sz w:val="28"/>
          <w:szCs w:val="28"/>
          <w:highlight w:val="none"/>
        </w:rPr>
        <w:t>，</w:t>
      </w:r>
      <w:r>
        <w:rPr>
          <w:rFonts w:ascii="仿宋_GB2312" w:hAnsi="宋体" w:eastAsia="仿宋_GB2312" w:cs="Times New Roman"/>
          <w:sz w:val="28"/>
          <w:szCs w:val="28"/>
          <w:highlight w:val="none"/>
        </w:rPr>
        <w:t>方便以后查询</w:t>
      </w:r>
      <w:r>
        <w:rPr>
          <w:rFonts w:hint="eastAsia" w:ascii="仿宋_GB2312" w:hAnsi="宋体" w:eastAsia="仿宋_GB2312" w:cs="Times New Roman"/>
          <w:sz w:val="28"/>
          <w:szCs w:val="28"/>
          <w:highlight w:val="none"/>
        </w:rPr>
        <w:t>。</w:t>
      </w:r>
    </w:p>
    <w:p>
      <w:pPr>
        <w:pStyle w:val="17"/>
        <w:numPr>
          <w:ilvl w:val="0"/>
          <w:numId w:val="5"/>
        </w:numPr>
        <w:autoSpaceDE w:val="0"/>
        <w:autoSpaceDN w:val="0"/>
        <w:adjustRightInd w:val="0"/>
        <w:ind w:firstLineChars="0"/>
        <w:jc w:val="left"/>
        <w:rPr>
          <w:rFonts w:ascii="仿宋_GB2312" w:hAnsi="宋体" w:eastAsia="仿宋_GB2312"/>
          <w:sz w:val="28"/>
          <w:szCs w:val="28"/>
          <w:highlight w:val="none"/>
        </w:rPr>
      </w:pPr>
      <w:r>
        <w:rPr>
          <w:rFonts w:ascii="仿宋_GB2312" w:hAnsi="宋体" w:eastAsia="仿宋_GB2312"/>
          <w:sz w:val="28"/>
          <w:szCs w:val="28"/>
          <w:highlight w:val="none"/>
        </w:rPr>
        <w:t>重要流程用户可以进行跟踪</w:t>
      </w:r>
      <w:r>
        <w:rPr>
          <w:rFonts w:hint="eastAsia" w:ascii="仿宋_GB2312" w:hAnsi="宋体" w:eastAsia="仿宋_GB2312"/>
          <w:sz w:val="28"/>
          <w:szCs w:val="28"/>
          <w:highlight w:val="none"/>
        </w:rPr>
        <w:t>，</w:t>
      </w:r>
      <w:r>
        <w:rPr>
          <w:rFonts w:ascii="仿宋_GB2312" w:hAnsi="宋体" w:eastAsia="仿宋_GB2312"/>
          <w:sz w:val="28"/>
          <w:szCs w:val="28"/>
          <w:highlight w:val="none"/>
        </w:rPr>
        <w:t>后续每个节点的操作状态都会实时提醒跟踪者</w:t>
      </w:r>
      <w:r>
        <w:rPr>
          <w:rFonts w:hint="eastAsia" w:ascii="仿宋_GB2312" w:hAnsi="宋体" w:eastAsia="仿宋_GB2312"/>
          <w:sz w:val="28"/>
          <w:szCs w:val="28"/>
          <w:highlight w:val="none"/>
        </w:rPr>
        <w:t>。</w:t>
      </w:r>
    </w:p>
    <w:p>
      <w:pPr>
        <w:pStyle w:val="5"/>
        <w:bidi w:val="0"/>
        <w:rPr>
          <w:rFonts w:hint="eastAsia" w:cs="Times New Roman"/>
          <w:highlight w:val="none"/>
        </w:rPr>
      </w:pPr>
      <w:r>
        <w:rPr>
          <w:rFonts w:hint="eastAsia" w:cs="Times New Roman"/>
          <w:highlight w:val="none"/>
          <w:lang w:val="en-US" w:eastAsia="zh-Hans"/>
        </w:rPr>
        <w:t>督办管理</w:t>
      </w:r>
    </w:p>
    <w:p>
      <w:pPr>
        <w:autoSpaceDE w:val="0"/>
        <w:autoSpaceDN w:val="0"/>
        <w:adjustRightInd w:val="0"/>
        <w:spacing w:line="336" w:lineRule="auto"/>
        <w:ind w:firstLine="420"/>
        <w:rPr>
          <w:rFonts w:hint="default"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在单位的日常经营工作管理中，经常涉及到繁杂而且相互交织的事项任务，为了规范监督事</w:t>
      </w:r>
      <w:r>
        <w:rPr>
          <w:rFonts w:hint="default" w:ascii="仿宋_GB2312" w:hAnsi="宋体" w:eastAsia="仿宋_GB2312"/>
          <w:sz w:val="28"/>
          <w:szCs w:val="28"/>
          <w:highlight w:val="none"/>
          <w:lang w:val="en-US" w:eastAsia="zh-CN"/>
        </w:rPr>
        <w:t>项的立项、执行、沟通、反馈等操作过程，本督办管理模块以反馈监督为核心，用户可从公文</w:t>
      </w:r>
      <w:r>
        <w:rPr>
          <w:rFonts w:hint="eastAsia" w:ascii="仿宋_GB2312" w:hAnsi="宋体" w:eastAsia="仿宋_GB2312"/>
          <w:sz w:val="28"/>
          <w:szCs w:val="28"/>
          <w:highlight w:val="none"/>
          <w:lang w:val="en-US" w:eastAsia="zh-Hans"/>
        </w:rPr>
        <w:t>管理</w:t>
      </w:r>
      <w:r>
        <w:rPr>
          <w:rFonts w:hint="default" w:ascii="仿宋_GB2312" w:hAnsi="宋体" w:eastAsia="仿宋_GB2312"/>
          <w:sz w:val="28"/>
          <w:szCs w:val="28"/>
          <w:highlight w:val="none"/>
          <w:lang w:val="en-US" w:eastAsia="zh-CN"/>
        </w:rPr>
        <w:t>、会议管理、流程管理中对重要督查督办事项发起督办，呈报分管领导形成督办文档，由主办单位责任人、联络员分配相应任务，相应承办单位、经办人、协办单位接收任务分配，过程中及时做好任务反馈，主办单位而负责进行阶段反馈、办结或终止、变更等操作，及时与各负责人取得沟通，提高督办工作效率。</w:t>
      </w:r>
    </w:p>
    <w:p>
      <w:pPr>
        <w:pStyle w:val="15"/>
        <w:ind w:firstLine="420" w:firstLineChars="0"/>
        <w:rPr>
          <w:rFonts w:hint="eastAsia"/>
          <w:highlight w:val="none"/>
        </w:rPr>
      </w:pPr>
      <w:r>
        <w:rPr>
          <w:rFonts w:hint="eastAsia" w:ascii="宋体" w:hAnsi="宋体" w:eastAsia="宋体" w:cs="宋体"/>
          <w:sz w:val="28"/>
          <w:szCs w:val="28"/>
          <w:highlight w:val="none"/>
        </w:rPr>
        <w:t>※</w:t>
      </w:r>
      <w:r>
        <w:rPr>
          <w:rFonts w:hint="eastAsia" w:ascii="仿宋_GB2312" w:hAnsi="宋体" w:eastAsia="仿宋_GB2312"/>
          <w:sz w:val="28"/>
          <w:szCs w:val="28"/>
          <w:highlight w:val="none"/>
          <w:lang w:val="en-US" w:eastAsia="zh-Hans"/>
        </w:rPr>
        <w:t>可以</w:t>
      </w:r>
      <w:r>
        <w:rPr>
          <w:rFonts w:hint="default" w:ascii="仿宋_GB2312" w:hAnsi="宋体" w:eastAsia="仿宋_GB2312"/>
          <w:sz w:val="28"/>
          <w:szCs w:val="28"/>
          <w:highlight w:val="none"/>
          <w:lang w:val="en-US" w:eastAsia="zh-CN"/>
        </w:rPr>
        <w:t>从公文</w:t>
      </w:r>
      <w:r>
        <w:rPr>
          <w:rFonts w:hint="eastAsia" w:ascii="仿宋_GB2312" w:hAnsi="宋体" w:eastAsia="仿宋_GB2312"/>
          <w:sz w:val="28"/>
          <w:szCs w:val="28"/>
          <w:highlight w:val="none"/>
          <w:lang w:val="en-US" w:eastAsia="zh-Hans"/>
        </w:rPr>
        <w:t>管理</w:t>
      </w:r>
      <w:r>
        <w:rPr>
          <w:rFonts w:hint="default" w:ascii="仿宋_GB2312" w:hAnsi="宋体" w:eastAsia="仿宋_GB2312"/>
          <w:sz w:val="28"/>
          <w:szCs w:val="28"/>
          <w:highlight w:val="none"/>
          <w:lang w:val="en-US" w:eastAsia="zh-CN"/>
        </w:rPr>
        <w:t>、会议管理、流程管理中对重要督查督办事项发起督办</w:t>
      </w:r>
    </w:p>
    <w:p>
      <w:pPr>
        <w:rPr>
          <w:rFonts w:hint="eastAsia"/>
          <w:highlight w:val="none"/>
        </w:rPr>
      </w:pPr>
    </w:p>
    <w:p>
      <w:pPr>
        <w:pStyle w:val="5"/>
        <w:bidi w:val="0"/>
        <w:rPr>
          <w:rFonts w:ascii="仿宋_GB2312" w:hAnsi="宋体" w:eastAsia="仿宋_GB2312"/>
          <w:b w:val="0"/>
          <w:szCs w:val="28"/>
          <w:highlight w:val="none"/>
        </w:rPr>
      </w:pPr>
      <w:r>
        <w:rPr>
          <w:rFonts w:hint="eastAsia" w:cs="Times New Roman"/>
          <w:highlight w:val="none"/>
          <w:lang w:val="en-US" w:eastAsia="zh-Hans"/>
        </w:rPr>
        <w:t>知识</w:t>
      </w:r>
      <w:r>
        <w:rPr>
          <w:rFonts w:hint="eastAsia" w:cs="Times New Roman"/>
          <w:highlight w:val="none"/>
        </w:rPr>
        <w:t>管理</w:t>
      </w:r>
    </w:p>
    <w:p>
      <w:pPr>
        <w:autoSpaceDE w:val="0"/>
        <w:autoSpaceDN w:val="0"/>
        <w:adjustRightInd w:val="0"/>
        <w:spacing w:line="336" w:lineRule="auto"/>
        <w:ind w:firstLine="420"/>
        <w:rPr>
          <w:rFonts w:hint="eastAsia" w:ascii="仿宋_GB2312" w:hAnsi="宋体" w:eastAsia="仿宋_GB2312"/>
          <w:sz w:val="28"/>
          <w:szCs w:val="28"/>
          <w:highlight w:val="none"/>
        </w:rPr>
      </w:pPr>
      <w:r>
        <w:rPr>
          <w:rFonts w:hint="eastAsia" w:ascii="仿宋_GB2312" w:hAnsi="宋体" w:eastAsia="仿宋_GB2312"/>
          <w:sz w:val="28"/>
          <w:szCs w:val="28"/>
          <w:highlight w:val="none"/>
        </w:rPr>
        <w:t>建立统一的文档管理机制，将目前主要由个人维护管理的文档，集中在部门、单位进行管理，在这个基础上实现文档在集团范围内的共享和传递。层次化管理各种文档，如参考档案管理的模型和思路，将各种文档分门别类进行层次化的目录管理，以及使用关键字或全文索引，方便员工检索和查阅文档。实现有效的安全控制，通过系统日志等手段对重要文档的使用情况进行监督管理。</w:t>
      </w:r>
    </w:p>
    <w:p>
      <w:pPr>
        <w:autoSpaceDE w:val="0"/>
        <w:autoSpaceDN w:val="0"/>
        <w:adjustRightInd w:val="0"/>
        <w:spacing w:line="336" w:lineRule="auto"/>
        <w:ind w:firstLine="420"/>
        <w:rPr>
          <w:rFonts w:hint="eastAsia" w:ascii="仿宋_GB2312" w:hAnsi="宋体" w:eastAsia="仿宋_GB2312"/>
          <w:sz w:val="28"/>
          <w:szCs w:val="28"/>
          <w:highlight w:val="none"/>
        </w:rPr>
      </w:pPr>
      <w:r>
        <w:rPr>
          <w:rFonts w:hint="eastAsia" w:ascii="宋体" w:hAnsi="宋体" w:eastAsia="宋体" w:cs="宋体"/>
          <w:sz w:val="28"/>
          <w:szCs w:val="28"/>
          <w:highlight w:val="none"/>
        </w:rPr>
        <w:t>※</w:t>
      </w:r>
      <w:r>
        <w:rPr>
          <w:rFonts w:hint="eastAsia" w:ascii="仿宋_GB2312" w:hAnsi="仿宋" w:eastAsia="仿宋_GB2312"/>
          <w:sz w:val="28"/>
          <w:szCs w:val="28"/>
          <w:highlight w:val="none"/>
        </w:rPr>
        <w:t>知识支持图形化的展示，例如新员工入职或岗位学习成长相关的知识可以在一个页面进行展示。</w:t>
      </w:r>
    </w:p>
    <w:p>
      <w:pPr>
        <w:autoSpaceDE w:val="0"/>
        <w:autoSpaceDN w:val="0"/>
        <w:adjustRightInd w:val="0"/>
        <w:spacing w:line="336" w:lineRule="auto"/>
        <w:ind w:firstLine="420"/>
        <w:rPr>
          <w:rFonts w:hint="eastAsia" w:ascii="仿宋_GB2312" w:hAnsi="仿宋" w:eastAsia="仿宋_GB2312"/>
          <w:sz w:val="28"/>
          <w:szCs w:val="28"/>
          <w:highlight w:val="none"/>
        </w:rPr>
      </w:pPr>
      <w:r>
        <w:rPr>
          <w:rFonts w:hint="eastAsia" w:ascii="仿宋_GB2312" w:hAnsi="仿宋" w:eastAsia="仿宋_GB2312"/>
          <w:sz w:val="28"/>
          <w:szCs w:val="28"/>
          <w:highlight w:val="none"/>
        </w:rPr>
        <w:t>文档的修订能够保存历史版本，用户在查看旧版本文档时系统能提示该文档已有新版本。</w:t>
      </w:r>
    </w:p>
    <w:p>
      <w:pPr>
        <w:pStyle w:val="5"/>
        <w:bidi w:val="0"/>
        <w:rPr>
          <w:rFonts w:ascii="仿宋_GB2312" w:eastAsia="仿宋_GB2312"/>
          <w:b w:val="0"/>
          <w:bCs w:val="0"/>
          <w:szCs w:val="28"/>
          <w:highlight w:val="none"/>
        </w:rPr>
      </w:pPr>
      <w:r>
        <w:rPr>
          <w:rFonts w:hint="eastAsia" w:cs="Times New Roman"/>
          <w:highlight w:val="none"/>
        </w:rPr>
        <w:t>会议管理</w:t>
      </w:r>
    </w:p>
    <w:p>
      <w:pPr>
        <w:autoSpaceDE w:val="0"/>
        <w:autoSpaceDN w:val="0"/>
        <w:adjustRightInd w:val="0"/>
        <w:spacing w:line="336" w:lineRule="auto"/>
        <w:ind w:firstLine="420"/>
        <w:rPr>
          <w:rFonts w:ascii="仿宋_GB2312" w:hAnsi="宋体" w:eastAsia="仿宋_GB2312"/>
          <w:sz w:val="28"/>
          <w:szCs w:val="28"/>
          <w:highlight w:val="none"/>
        </w:rPr>
      </w:pPr>
      <w:r>
        <w:rPr>
          <w:rFonts w:hint="eastAsia" w:ascii="仿宋_GB2312" w:hAnsi="宋体" w:eastAsia="仿宋_GB2312"/>
          <w:sz w:val="28"/>
          <w:szCs w:val="28"/>
          <w:highlight w:val="none"/>
        </w:rPr>
        <w:t>实现对会议的申请、会议安排、会议室管理和会议资料管理组成。会议申请通过后，由会议管理员进行会议安排，形成会议安排表，系统自动向每位与会者发送（包含但不限于邮件、</w:t>
      </w:r>
      <w:r>
        <w:rPr>
          <w:rFonts w:ascii="仿宋_GB2312" w:hAnsi="宋体" w:eastAsia="仿宋_GB2312"/>
          <w:sz w:val="28"/>
          <w:szCs w:val="28"/>
          <w:highlight w:val="none"/>
        </w:rPr>
        <w:t>APP消息</w:t>
      </w:r>
      <w:r>
        <w:rPr>
          <w:rFonts w:hint="eastAsia" w:ascii="仿宋_GB2312" w:hAnsi="宋体" w:eastAsia="仿宋_GB2312"/>
          <w:sz w:val="28"/>
          <w:szCs w:val="28"/>
          <w:highlight w:val="none"/>
        </w:rPr>
        <w:t>、弹出提醒、即时通信）会议详细安排及主题通知。</w:t>
      </w:r>
      <w:r>
        <w:rPr>
          <w:rFonts w:ascii="仿宋_GB2312" w:hAnsi="宋体" w:eastAsia="仿宋_GB2312"/>
          <w:sz w:val="28"/>
          <w:szCs w:val="28"/>
          <w:highlight w:val="none"/>
        </w:rPr>
        <w:t>支持会议纪要发送</w:t>
      </w:r>
      <w:r>
        <w:rPr>
          <w:rFonts w:hint="eastAsia" w:ascii="仿宋_GB2312" w:hAnsi="宋体" w:eastAsia="仿宋_GB2312"/>
          <w:sz w:val="28"/>
          <w:szCs w:val="28"/>
          <w:highlight w:val="none"/>
        </w:rPr>
        <w:t>。</w:t>
      </w:r>
    </w:p>
    <w:p>
      <w:pPr>
        <w:pStyle w:val="5"/>
        <w:bidi w:val="0"/>
        <w:rPr>
          <w:rFonts w:ascii="仿宋_GB2312" w:eastAsia="仿宋_GB2312"/>
          <w:b/>
          <w:bCs/>
          <w:szCs w:val="28"/>
          <w:highlight w:val="none"/>
        </w:rPr>
      </w:pPr>
      <w:r>
        <w:rPr>
          <w:rFonts w:hint="eastAsia" w:cs="Times New Roman"/>
          <w:highlight w:val="none"/>
          <w:lang w:val="en-US" w:eastAsia="zh-Hans"/>
        </w:rPr>
        <w:t>人事管理</w:t>
      </w:r>
    </w:p>
    <w:p>
      <w:pPr>
        <w:autoSpaceDE w:val="0"/>
        <w:autoSpaceDN w:val="0"/>
        <w:adjustRightInd w:val="0"/>
        <w:spacing w:line="336" w:lineRule="auto"/>
        <w:ind w:firstLine="420"/>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人事档案</w:t>
      </w:r>
      <w:r>
        <w:rPr>
          <w:rFonts w:hint="eastAsia" w:ascii="仿宋_GB2312" w:hAnsi="宋体" w:eastAsia="仿宋_GB2312"/>
          <w:sz w:val="28"/>
          <w:szCs w:val="28"/>
          <w:highlight w:val="none"/>
          <w:lang w:val="en-US" w:eastAsia="zh-Hans"/>
        </w:rPr>
        <w:t>管理</w:t>
      </w:r>
      <w:r>
        <w:rPr>
          <w:rFonts w:hint="eastAsia" w:ascii="仿宋_GB2312" w:hAnsi="宋体" w:eastAsia="仿宋_GB2312"/>
          <w:sz w:val="28"/>
          <w:szCs w:val="28"/>
          <w:highlight w:val="none"/>
          <w:lang w:val="en-US" w:eastAsia="zh-CN"/>
        </w:rPr>
        <w:t>：负责提供员工的人事档案管理功能包括：概览、预警提醒、员工经历自助维护、工资条发放等多项功能服务；</w:t>
      </w:r>
    </w:p>
    <w:p>
      <w:pPr>
        <w:autoSpaceDE w:val="0"/>
        <w:autoSpaceDN w:val="0"/>
        <w:adjustRightInd w:val="0"/>
        <w:spacing w:line="336" w:lineRule="auto"/>
        <w:ind w:firstLine="420"/>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人事流程：从入职、转正、调岗、离职、合同、调薪等方面全链条打通人事流程，实现线上高效协同。</w:t>
      </w:r>
    </w:p>
    <w:p>
      <w:pPr>
        <w:pStyle w:val="5"/>
        <w:bidi w:val="0"/>
        <w:rPr>
          <w:rFonts w:ascii="仿宋_GB2312" w:eastAsia="仿宋_GB2312"/>
          <w:b/>
          <w:bCs/>
          <w:szCs w:val="28"/>
          <w:highlight w:val="none"/>
        </w:rPr>
      </w:pPr>
      <w:r>
        <w:rPr>
          <w:rFonts w:hint="eastAsia" w:cs="Times New Roman"/>
          <w:highlight w:val="none"/>
          <w:lang w:val="en-US" w:eastAsia="zh-Hans"/>
        </w:rPr>
        <w:t>考勤签到</w:t>
      </w:r>
    </w:p>
    <w:p>
      <w:pPr>
        <w:autoSpaceDE w:val="0"/>
        <w:autoSpaceDN w:val="0"/>
        <w:adjustRightInd w:val="0"/>
        <w:spacing w:line="336" w:lineRule="auto"/>
        <w:ind w:firstLine="420"/>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包含考勤组管理、考勤提醒、考勤打卡、个人日历、个人考勤记录查看、考勤日统计和月统计、异常考勤处理、考勤关联流程等功能。</w:t>
      </w:r>
    </w:p>
    <w:p>
      <w:pPr>
        <w:autoSpaceDE w:val="0"/>
        <w:autoSpaceDN w:val="0"/>
        <w:adjustRightInd w:val="0"/>
        <w:spacing w:line="336" w:lineRule="auto"/>
        <w:ind w:firstLine="420"/>
        <w:rPr>
          <w:rFonts w:hint="eastAsia" w:ascii="仿宋_GB2312" w:hAnsi="宋体" w:eastAsia="仿宋_GB2312"/>
          <w:sz w:val="28"/>
          <w:szCs w:val="28"/>
          <w:highlight w:val="none"/>
          <w:lang w:val="en-US" w:eastAsia="zh-Hans"/>
        </w:rPr>
      </w:pPr>
      <w:r>
        <w:rPr>
          <w:rFonts w:hint="eastAsia" w:ascii="仿宋_GB2312" w:hAnsi="宋体" w:eastAsia="仿宋_GB2312"/>
          <w:sz w:val="28"/>
          <w:szCs w:val="28"/>
          <w:highlight w:val="none"/>
          <w:lang w:val="en-US" w:eastAsia="zh-Hans"/>
        </w:rPr>
        <w:t>与考勤相关流程（请假、出差）关联，也支持请假台账批量导入。自动进行考勤异常标识。</w:t>
      </w:r>
    </w:p>
    <w:p>
      <w:pPr>
        <w:autoSpaceDE w:val="0"/>
        <w:autoSpaceDN w:val="0"/>
        <w:adjustRightInd w:val="0"/>
        <w:spacing w:line="336" w:lineRule="auto"/>
        <w:ind w:firstLine="420"/>
        <w:rPr>
          <w:rFonts w:hint="eastAsia" w:ascii="仿宋_GB2312" w:hAnsi="宋体" w:eastAsia="仿宋_GB2312"/>
          <w:sz w:val="28"/>
          <w:szCs w:val="28"/>
          <w:highlight w:val="none"/>
          <w:lang w:val="en-US" w:eastAsia="zh-Hans"/>
        </w:rPr>
      </w:pPr>
      <w:r>
        <w:rPr>
          <w:rFonts w:hint="eastAsia" w:ascii="宋体" w:hAnsi="宋体" w:eastAsia="宋体" w:cs="宋体"/>
          <w:sz w:val="28"/>
          <w:szCs w:val="28"/>
          <w:highlight w:val="none"/>
        </w:rPr>
        <w:t>※</w:t>
      </w:r>
      <w:r>
        <w:rPr>
          <w:rFonts w:hint="eastAsia" w:ascii="仿宋_GB2312" w:hAnsi="宋体" w:eastAsia="仿宋_GB2312"/>
          <w:sz w:val="28"/>
          <w:szCs w:val="28"/>
          <w:highlight w:val="none"/>
          <w:lang w:val="en-US" w:eastAsia="zh-Hans"/>
        </w:rPr>
        <w:t>支持钉钉考勤、考勤机集成，在系统中生成考勤报表。</w:t>
      </w:r>
    </w:p>
    <w:p>
      <w:pPr>
        <w:autoSpaceDE w:val="0"/>
        <w:autoSpaceDN w:val="0"/>
        <w:adjustRightInd w:val="0"/>
        <w:spacing w:line="336" w:lineRule="auto"/>
        <w:ind w:firstLine="420"/>
        <w:rPr>
          <w:rFonts w:hint="eastAsia" w:ascii="仿宋_GB2312" w:hAnsi="宋体" w:eastAsia="仿宋_GB2312"/>
          <w:sz w:val="28"/>
          <w:szCs w:val="28"/>
          <w:highlight w:val="none"/>
          <w:lang w:val="en-US" w:eastAsia="zh-Hans"/>
        </w:rPr>
      </w:pPr>
      <w:r>
        <w:rPr>
          <w:rFonts w:hint="eastAsia" w:ascii="宋体" w:hAnsi="宋体" w:eastAsia="宋体" w:cs="宋体"/>
          <w:sz w:val="28"/>
          <w:szCs w:val="28"/>
          <w:highlight w:val="none"/>
        </w:rPr>
        <w:t>※</w:t>
      </w:r>
      <w:r>
        <w:rPr>
          <w:rFonts w:hint="eastAsia" w:ascii="仿宋_GB2312" w:hAnsi="宋体" w:eastAsia="仿宋_GB2312"/>
          <w:sz w:val="28"/>
          <w:szCs w:val="28"/>
          <w:highlight w:val="none"/>
          <w:lang w:val="en-US" w:eastAsia="zh-Hans"/>
        </w:rPr>
        <w:t>支持年假管理，加班增加年假，请假抵扣年假。</w:t>
      </w:r>
    </w:p>
    <w:p>
      <w:pPr>
        <w:pStyle w:val="5"/>
        <w:bidi w:val="0"/>
        <w:rPr>
          <w:rFonts w:hint="eastAsia" w:cs="Times New Roman"/>
          <w:highlight w:val="none"/>
        </w:rPr>
      </w:pPr>
      <w:r>
        <w:rPr>
          <w:rFonts w:hint="eastAsia" w:cs="Times New Roman"/>
          <w:highlight w:val="none"/>
          <w:lang w:val="en-US" w:eastAsia="zh-Hans"/>
        </w:rPr>
        <w:t>培训学习</w:t>
      </w:r>
    </w:p>
    <w:p>
      <w:pPr>
        <w:autoSpaceDE w:val="0"/>
        <w:autoSpaceDN w:val="0"/>
        <w:adjustRightInd w:val="0"/>
        <w:spacing w:line="336" w:lineRule="auto"/>
        <w:ind w:firstLine="420"/>
        <w:rPr>
          <w:rFonts w:hint="eastAsia" w:ascii="仿宋_GB2312" w:hAnsi="宋体" w:eastAsia="仿宋_GB2312"/>
          <w:sz w:val="28"/>
          <w:szCs w:val="28"/>
          <w:highlight w:val="none"/>
          <w:lang w:val="en-US" w:eastAsia="zh-Hans"/>
        </w:rPr>
      </w:pPr>
      <w:r>
        <w:rPr>
          <w:rFonts w:hint="eastAsia" w:ascii="仿宋_GB2312" w:hAnsi="宋体" w:eastAsia="仿宋_GB2312"/>
          <w:sz w:val="28"/>
          <w:szCs w:val="28"/>
          <w:highlight w:val="none"/>
          <w:lang w:val="en-US" w:eastAsia="zh-CN"/>
        </w:rPr>
        <w:t>实现对学习活动的发起、学习、跟踪、评估、优化的全过程管理支持普通学习课件、闯关学习课件双重模式。</w:t>
      </w:r>
      <w:r>
        <w:rPr>
          <w:rFonts w:hint="eastAsia" w:ascii="仿宋_GB2312" w:hAnsi="宋体" w:eastAsia="仿宋_GB2312"/>
          <w:sz w:val="28"/>
          <w:szCs w:val="28"/>
          <w:highlight w:val="none"/>
          <w:lang w:val="en-US" w:eastAsia="zh-Hans"/>
        </w:rPr>
        <w:t>支持知识管理模块的知识文档、视频等转为培训学习课程。</w:t>
      </w:r>
    </w:p>
    <w:p>
      <w:pPr>
        <w:autoSpaceDE w:val="0"/>
        <w:autoSpaceDN w:val="0"/>
        <w:adjustRightInd w:val="0"/>
        <w:spacing w:line="336" w:lineRule="auto"/>
        <w:ind w:firstLine="420"/>
        <w:rPr>
          <w:rFonts w:hint="eastAsia" w:ascii="仿宋_GB2312" w:hAnsi="宋体" w:eastAsia="仿宋_GB2312"/>
          <w:sz w:val="28"/>
          <w:szCs w:val="28"/>
          <w:highlight w:val="none"/>
          <w:lang w:val="en-US" w:eastAsia="zh-Hans"/>
        </w:rPr>
      </w:pPr>
      <w:r>
        <w:rPr>
          <w:rFonts w:hint="eastAsia" w:ascii="宋体" w:hAnsi="宋体" w:eastAsia="宋体" w:cs="宋体"/>
          <w:sz w:val="28"/>
          <w:szCs w:val="28"/>
          <w:highlight w:val="none"/>
        </w:rPr>
        <w:t>※</w:t>
      </w:r>
      <w:r>
        <w:rPr>
          <w:rFonts w:hint="eastAsia" w:ascii="仿宋_GB2312" w:hAnsi="宋体" w:eastAsia="仿宋_GB2312"/>
          <w:sz w:val="28"/>
          <w:szCs w:val="28"/>
          <w:highlight w:val="none"/>
          <w:lang w:val="en-US" w:eastAsia="zh-Hans"/>
        </w:rPr>
        <w:t>点播学习，线上视频课程可以进行点播学习，学完确认学会了。</w:t>
      </w:r>
    </w:p>
    <w:p>
      <w:pPr>
        <w:autoSpaceDE w:val="0"/>
        <w:autoSpaceDN w:val="0"/>
        <w:adjustRightInd w:val="0"/>
        <w:spacing w:line="336" w:lineRule="auto"/>
        <w:ind w:firstLine="420"/>
        <w:rPr>
          <w:rFonts w:ascii="仿宋_GB2312" w:eastAsia="仿宋_GB2312"/>
          <w:b w:val="0"/>
          <w:bCs w:val="0"/>
          <w:szCs w:val="28"/>
          <w:highlight w:val="none"/>
        </w:rPr>
      </w:pPr>
      <w:r>
        <w:rPr>
          <w:rFonts w:hint="eastAsia" w:ascii="宋体" w:hAnsi="宋体" w:eastAsia="宋体" w:cs="宋体"/>
          <w:sz w:val="28"/>
          <w:szCs w:val="28"/>
          <w:highlight w:val="none"/>
        </w:rPr>
        <w:t>※</w:t>
      </w:r>
      <w:r>
        <w:rPr>
          <w:rFonts w:hint="eastAsia" w:ascii="仿宋_GB2312" w:hAnsi="宋体" w:eastAsia="仿宋_GB2312"/>
          <w:sz w:val="28"/>
          <w:szCs w:val="28"/>
          <w:highlight w:val="none"/>
          <w:lang w:val="en-US" w:eastAsia="zh-Hans"/>
        </w:rPr>
        <w:t>考试管理，可以构建题库，</w:t>
      </w:r>
      <w:r>
        <w:rPr>
          <w:rFonts w:hint="eastAsia" w:ascii="仿宋_GB2312" w:hAnsi="宋体" w:eastAsia="仿宋_GB2312"/>
          <w:sz w:val="28"/>
          <w:szCs w:val="28"/>
          <w:highlight w:val="none"/>
          <w:lang w:val="en-US" w:eastAsia="zh-CN"/>
        </w:rPr>
        <w:t>对试卷、试题以及考试活动进行统一管理，实现对考试活动的过程跟踪及考后评估统计分析</w:t>
      </w:r>
      <w:r>
        <w:rPr>
          <w:rFonts w:hint="eastAsia" w:ascii="仿宋_GB2312" w:hAnsi="宋体" w:eastAsia="仿宋_GB2312"/>
          <w:sz w:val="28"/>
          <w:szCs w:val="28"/>
          <w:highlight w:val="none"/>
          <w:lang w:val="en-US" w:eastAsia="zh-Hans"/>
        </w:rPr>
        <w:t>。</w:t>
      </w:r>
    </w:p>
    <w:p>
      <w:pPr>
        <w:pStyle w:val="5"/>
        <w:bidi w:val="0"/>
        <w:rPr>
          <w:rFonts w:ascii="仿宋_GB2312" w:eastAsia="仿宋_GB2312"/>
          <w:b/>
          <w:bCs/>
          <w:szCs w:val="28"/>
          <w:highlight w:val="none"/>
        </w:rPr>
      </w:pPr>
      <w:r>
        <w:rPr>
          <w:rFonts w:hint="eastAsia" w:cs="Times New Roman"/>
          <w:highlight w:val="none"/>
          <w:lang w:val="en-US" w:eastAsia="zh-Hans"/>
        </w:rPr>
        <w:t>档案管理</w:t>
      </w:r>
    </w:p>
    <w:p>
      <w:pPr>
        <w:autoSpaceDE w:val="0"/>
        <w:autoSpaceDN w:val="0"/>
        <w:adjustRightInd w:val="0"/>
        <w:spacing w:line="336" w:lineRule="auto"/>
        <w:ind w:left="420" w:leftChars="0" w:firstLine="420"/>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统一管理公司各类纸质与电子档案卷宗。</w:t>
      </w:r>
    </w:p>
    <w:p>
      <w:pPr>
        <w:autoSpaceDE w:val="0"/>
        <w:autoSpaceDN w:val="0"/>
        <w:adjustRightInd w:val="0"/>
        <w:spacing w:line="336" w:lineRule="auto"/>
        <w:ind w:left="420" w:leftChars="0" w:firstLine="420"/>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提供档案登记、借阅、鉴定、销毁等全生命周期管理。包括合同档案、项目过程文件、法务财务档案等。</w:t>
      </w:r>
    </w:p>
    <w:p>
      <w:pPr>
        <w:autoSpaceDE w:val="0"/>
        <w:autoSpaceDN w:val="0"/>
        <w:adjustRightInd w:val="0"/>
        <w:spacing w:line="336" w:lineRule="auto"/>
        <w:ind w:left="420" w:leftChars="0" w:firstLine="420"/>
        <w:rPr>
          <w:rFonts w:hint="eastAsia" w:ascii="仿宋_GB2312" w:hAnsi="宋体" w:eastAsia="仿宋_GB2312"/>
          <w:sz w:val="28"/>
          <w:szCs w:val="28"/>
          <w:highlight w:val="none"/>
          <w:lang w:val="en-US" w:eastAsia="zh-CN"/>
        </w:rPr>
      </w:pPr>
      <w:r>
        <w:rPr>
          <w:rFonts w:hint="eastAsia" w:ascii="宋体" w:hAnsi="宋体" w:eastAsia="宋体" w:cs="宋体"/>
          <w:sz w:val="28"/>
          <w:szCs w:val="28"/>
          <w:highlight w:val="none"/>
        </w:rPr>
        <w:t>※</w:t>
      </w:r>
      <w:r>
        <w:rPr>
          <w:rFonts w:hint="eastAsia" w:ascii="仿宋_GB2312" w:hAnsi="宋体" w:eastAsia="仿宋_GB2312"/>
          <w:sz w:val="28"/>
          <w:szCs w:val="28"/>
          <w:highlight w:val="none"/>
          <w:lang w:val="en-US" w:eastAsia="zh-Hans"/>
        </w:rPr>
        <w:t>档案</w:t>
      </w:r>
      <w:r>
        <w:rPr>
          <w:rFonts w:hint="eastAsia" w:ascii="仿宋_GB2312" w:hAnsi="宋体" w:eastAsia="仿宋_GB2312"/>
          <w:sz w:val="28"/>
          <w:szCs w:val="28"/>
          <w:highlight w:val="none"/>
          <w:lang w:val="en-US" w:eastAsia="zh-CN"/>
        </w:rPr>
        <w:t>可与公文</w:t>
      </w:r>
      <w:r>
        <w:rPr>
          <w:rFonts w:hint="eastAsia" w:ascii="仿宋_GB2312" w:hAnsi="宋体" w:eastAsia="仿宋_GB2312"/>
          <w:sz w:val="28"/>
          <w:szCs w:val="28"/>
          <w:highlight w:val="none"/>
          <w:lang w:val="en-US" w:eastAsia="zh-Hans"/>
        </w:rPr>
        <w:t>管理</w:t>
      </w:r>
      <w:r>
        <w:rPr>
          <w:rFonts w:hint="eastAsia" w:ascii="仿宋_GB2312" w:hAnsi="宋体" w:eastAsia="仿宋_GB2312"/>
          <w:sz w:val="28"/>
          <w:szCs w:val="28"/>
          <w:highlight w:val="none"/>
          <w:lang w:val="en-US" w:eastAsia="zh-CN"/>
        </w:rPr>
        <w:t>、审批流程等模块对接归档操作，对这些模块中进行归档的文档进行借阅、鉴定和销毁等管理。</w:t>
      </w:r>
    </w:p>
    <w:p>
      <w:pPr>
        <w:pStyle w:val="5"/>
        <w:bidi w:val="0"/>
        <w:rPr>
          <w:rFonts w:ascii="仿宋_GB2312" w:eastAsia="仿宋_GB2312"/>
          <w:b/>
          <w:bCs/>
          <w:szCs w:val="28"/>
          <w:highlight w:val="none"/>
        </w:rPr>
      </w:pPr>
      <w:r>
        <w:rPr>
          <w:rFonts w:hint="eastAsia" w:cs="Times New Roman"/>
          <w:highlight w:val="none"/>
          <w:lang w:val="en-US" w:eastAsia="zh-Hans"/>
        </w:rPr>
        <w:t>固定资产</w:t>
      </w:r>
    </w:p>
    <w:p>
      <w:pPr>
        <w:bidi w:val="0"/>
        <w:ind w:firstLine="420" w:firstLineChars="0"/>
        <w:rPr>
          <w:rFonts w:hint="eastAsia" w:ascii="仿宋_GB2312" w:hAnsi="宋体" w:eastAsia="仿宋_GB2312" w:cs="Times New Roman"/>
          <w:b w:val="0"/>
          <w:bCs/>
          <w:kern w:val="2"/>
          <w:sz w:val="28"/>
          <w:szCs w:val="28"/>
          <w:highlight w:val="none"/>
          <w:lang w:val="en-US" w:eastAsia="zh-Hans" w:bidi="ar-SA"/>
        </w:rPr>
      </w:pPr>
      <w:r>
        <w:rPr>
          <w:rFonts w:hint="eastAsia" w:ascii="仿宋_GB2312" w:hAnsi="宋体" w:eastAsia="仿宋_GB2312" w:cs="Times New Roman"/>
          <w:b w:val="0"/>
          <w:bCs/>
          <w:kern w:val="2"/>
          <w:sz w:val="28"/>
          <w:szCs w:val="28"/>
          <w:highlight w:val="none"/>
          <w:lang w:val="en-US" w:eastAsia="zh-CN" w:bidi="ar-SA"/>
        </w:rPr>
        <w:t>固资管理的核心是资产安全、资金占用及转移过程清晰化；关键手段是“帐=卡=物”，以卡记物，以帐管物，实现固资的全员化应用和流程化管理</w:t>
      </w:r>
      <w:r>
        <w:rPr>
          <w:rFonts w:hint="eastAsia" w:ascii="仿宋_GB2312" w:hAnsi="宋体" w:eastAsia="仿宋_GB2312" w:cs="Times New Roman"/>
          <w:b w:val="0"/>
          <w:bCs/>
          <w:kern w:val="2"/>
          <w:sz w:val="28"/>
          <w:szCs w:val="28"/>
          <w:highlight w:val="none"/>
          <w:lang w:val="en-US" w:eastAsia="zh-Hans" w:bidi="ar-SA"/>
        </w:rPr>
        <w:t>。</w:t>
      </w:r>
    </w:p>
    <w:p>
      <w:pPr>
        <w:bidi w:val="0"/>
        <w:ind w:firstLine="420" w:firstLineChars="0"/>
        <w:rPr>
          <w:rFonts w:hint="eastAsia" w:ascii="仿宋_GB2312" w:hAnsi="宋体" w:eastAsia="仿宋_GB2312" w:cs="Times New Roman"/>
          <w:b w:val="0"/>
          <w:bCs/>
          <w:kern w:val="2"/>
          <w:sz w:val="28"/>
          <w:szCs w:val="28"/>
          <w:highlight w:val="none"/>
          <w:lang w:val="en-US" w:eastAsia="zh-CN" w:bidi="ar-SA"/>
        </w:rPr>
      </w:pPr>
      <w:r>
        <w:rPr>
          <w:rFonts w:hint="eastAsia" w:ascii="仿宋_GB2312" w:hAnsi="宋体" w:eastAsia="仿宋_GB2312" w:cs="Times New Roman"/>
          <w:b w:val="0"/>
          <w:bCs/>
          <w:kern w:val="2"/>
          <w:sz w:val="28"/>
          <w:szCs w:val="28"/>
          <w:highlight w:val="none"/>
          <w:lang w:val="en-US" w:eastAsia="zh-Hans" w:bidi="ar-SA"/>
        </w:rPr>
        <w:t>实现从</w:t>
      </w:r>
      <w:r>
        <w:rPr>
          <w:rFonts w:hint="eastAsia" w:ascii="仿宋_GB2312" w:hAnsi="宋体" w:eastAsia="仿宋_GB2312" w:cs="Times New Roman"/>
          <w:b w:val="0"/>
          <w:bCs/>
          <w:kern w:val="2"/>
          <w:sz w:val="28"/>
          <w:szCs w:val="28"/>
          <w:highlight w:val="none"/>
          <w:lang w:val="en-US" w:eastAsia="zh-CN" w:bidi="ar-SA"/>
        </w:rPr>
        <w:t>资产从申购、入库登记、领用、调拨、维修、报废、资产报表、资产维护的全生命周期过程管理，方便资产管理员对资产的流向进行跟踪和监管。</w:t>
      </w:r>
    </w:p>
    <w:p>
      <w:pPr>
        <w:pStyle w:val="5"/>
        <w:bidi w:val="0"/>
        <w:rPr>
          <w:rFonts w:hint="eastAsia" w:cs="Times New Roman"/>
          <w:highlight w:val="none"/>
        </w:rPr>
      </w:pPr>
      <w:r>
        <w:rPr>
          <w:rFonts w:hint="eastAsia" w:cs="Times New Roman"/>
          <w:highlight w:val="none"/>
        </w:rPr>
        <w:t>信息发布</w:t>
      </w:r>
    </w:p>
    <w:p>
      <w:pPr>
        <w:autoSpaceDE w:val="0"/>
        <w:autoSpaceDN w:val="0"/>
        <w:adjustRightInd w:val="0"/>
        <w:spacing w:line="336" w:lineRule="auto"/>
        <w:ind w:firstLine="420"/>
        <w:rPr>
          <w:rFonts w:ascii="仿宋_GB2312" w:hAnsi="宋体" w:eastAsia="仿宋_GB2312"/>
          <w:sz w:val="28"/>
          <w:szCs w:val="28"/>
          <w:highlight w:val="none"/>
        </w:rPr>
      </w:pPr>
      <w:r>
        <w:rPr>
          <w:rFonts w:hint="eastAsia" w:ascii="仿宋_GB2312" w:hAnsi="宋体" w:eastAsia="仿宋_GB2312"/>
          <w:sz w:val="28"/>
          <w:szCs w:val="28"/>
          <w:highlight w:val="none"/>
        </w:rPr>
        <w:t>支持信息起草、审核、发布等功能。支持信息置顶及新消息特别提醒。支持多类型的信息发布，例如文字、图片、视频等。支持针对不同信息类型设置不同的审批条件。</w:t>
      </w:r>
    </w:p>
    <w:p>
      <w:pPr>
        <w:pStyle w:val="5"/>
        <w:bidi w:val="0"/>
        <w:rPr>
          <w:highlight w:val="none"/>
        </w:rPr>
      </w:pPr>
      <w:r>
        <w:rPr>
          <w:highlight w:val="none"/>
        </w:rPr>
        <w:t>报表工具</w:t>
      </w:r>
    </w:p>
    <w:p>
      <w:pPr>
        <w:autoSpaceDE w:val="0"/>
        <w:autoSpaceDN w:val="0"/>
        <w:adjustRightInd w:val="0"/>
        <w:spacing w:line="336" w:lineRule="auto"/>
        <w:ind w:firstLine="420"/>
        <w:rPr>
          <w:rFonts w:ascii="仿宋_GB2312" w:hAnsi="宋体" w:eastAsia="仿宋_GB2312"/>
          <w:sz w:val="28"/>
          <w:szCs w:val="28"/>
          <w:highlight w:val="none"/>
        </w:rPr>
      </w:pPr>
      <w:r>
        <w:rPr>
          <w:rFonts w:ascii="仿宋_GB2312" w:hAnsi="宋体" w:eastAsia="仿宋_GB2312"/>
          <w:sz w:val="28"/>
          <w:szCs w:val="28"/>
          <w:highlight w:val="none"/>
        </w:rPr>
        <w:t>提供专业化的报表工具，能通过系统对接和下属单位上报的方式抓取、汇总企业相关数据生成相应的统计报表，为领导管理决策提供数据支持。</w:t>
      </w:r>
    </w:p>
    <w:p>
      <w:pPr>
        <w:autoSpaceDE w:val="0"/>
        <w:autoSpaceDN w:val="0"/>
        <w:adjustRightInd w:val="0"/>
        <w:spacing w:line="336" w:lineRule="auto"/>
        <w:ind w:firstLine="420"/>
        <w:rPr>
          <w:rFonts w:ascii="仿宋_GB2312" w:hAnsi="宋体" w:eastAsia="仿宋_GB2312"/>
          <w:sz w:val="28"/>
          <w:szCs w:val="28"/>
          <w:highlight w:val="none"/>
        </w:rPr>
      </w:pPr>
      <w:r>
        <w:rPr>
          <w:rFonts w:ascii="仿宋_GB2312" w:hAnsi="宋体" w:eastAsia="仿宋_GB2312"/>
          <w:sz w:val="28"/>
          <w:szCs w:val="28"/>
          <w:highlight w:val="none"/>
        </w:rPr>
        <w:t>要求提供灵活的报表设计工具，生成静态、动态数据报表，明细、图形报表，满足各类业务统计需求。并且生成的统计报表支持</w:t>
      </w:r>
      <w:r>
        <w:rPr>
          <w:rFonts w:hint="eastAsia" w:ascii="仿宋_GB2312" w:hAnsi="宋体" w:eastAsia="仿宋_GB2312"/>
          <w:sz w:val="28"/>
          <w:szCs w:val="28"/>
          <w:highlight w:val="none"/>
        </w:rPr>
        <w:t>PC和移动端的查阅，以及支持权限的设定，例如针对高管推送决策报表。</w:t>
      </w:r>
    </w:p>
    <w:p>
      <w:pPr>
        <w:pStyle w:val="5"/>
        <w:bidi w:val="0"/>
        <w:rPr>
          <w:rFonts w:hint="eastAsia" w:cs="Times New Roman"/>
          <w:highlight w:val="none"/>
        </w:rPr>
      </w:pPr>
      <w:r>
        <w:rPr>
          <w:rFonts w:hint="eastAsia" w:cs="Times New Roman"/>
          <w:highlight w:val="none"/>
          <w:lang w:val="en-US" w:eastAsia="zh-Hans"/>
        </w:rPr>
        <w:t>钉钉集成</w:t>
      </w:r>
    </w:p>
    <w:p>
      <w:pPr>
        <w:autoSpaceDE w:val="0"/>
        <w:autoSpaceDN w:val="0"/>
        <w:adjustRightInd w:val="0"/>
        <w:spacing w:line="336" w:lineRule="auto"/>
        <w:ind w:firstLine="420"/>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Hans"/>
        </w:rPr>
        <w:t>基于钉钉，</w:t>
      </w:r>
      <w:r>
        <w:rPr>
          <w:rFonts w:hint="eastAsia" w:ascii="仿宋_GB2312" w:hAnsi="宋体" w:eastAsia="仿宋_GB2312"/>
          <w:sz w:val="28"/>
          <w:szCs w:val="28"/>
          <w:highlight w:val="none"/>
        </w:rPr>
        <w:t>实现</w:t>
      </w:r>
      <w:r>
        <w:rPr>
          <w:rFonts w:hint="eastAsia" w:ascii="仿宋_GB2312" w:hAnsi="宋体" w:eastAsia="仿宋_GB2312"/>
          <w:sz w:val="28"/>
          <w:szCs w:val="28"/>
          <w:highlight w:val="none"/>
          <w:lang w:val="en-US" w:eastAsia="zh-Hans"/>
        </w:rPr>
        <w:t>钉钉</w:t>
      </w:r>
      <w:r>
        <w:rPr>
          <w:rFonts w:hint="eastAsia" w:ascii="仿宋_GB2312" w:hAnsi="宋体" w:eastAsia="仿宋_GB2312"/>
          <w:sz w:val="28"/>
          <w:szCs w:val="28"/>
          <w:highlight w:val="none"/>
        </w:rPr>
        <w:t>端访问和操作综合管理信息平台相关功能。</w:t>
      </w:r>
    </w:p>
    <w:p>
      <w:pPr>
        <w:autoSpaceDE w:val="0"/>
        <w:autoSpaceDN w:val="0"/>
        <w:adjustRightInd w:val="0"/>
        <w:spacing w:line="336" w:lineRule="auto"/>
        <w:ind w:firstLine="420"/>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Hans"/>
        </w:rPr>
        <w:t>钉钉集成基础功能</w:t>
      </w:r>
      <w:r>
        <w:rPr>
          <w:rFonts w:hint="eastAsia" w:ascii="仿宋_GB2312" w:hAnsi="宋体" w:eastAsia="仿宋_GB2312"/>
          <w:sz w:val="28"/>
          <w:szCs w:val="28"/>
          <w:highlight w:val="none"/>
        </w:rPr>
        <w:t>：</w:t>
      </w:r>
    </w:p>
    <w:p>
      <w:pPr>
        <w:pStyle w:val="17"/>
        <w:widowControl/>
        <w:numPr>
          <w:ilvl w:val="0"/>
          <w:numId w:val="6"/>
        </w:numPr>
        <w:ind w:firstLineChars="0"/>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Hans"/>
        </w:rPr>
        <w:t>组织机构和人员信息自动同步</w:t>
      </w:r>
      <w:r>
        <w:rPr>
          <w:rFonts w:hint="eastAsia" w:ascii="仿宋_GB2312" w:hAnsi="宋体" w:eastAsia="仿宋_GB2312"/>
          <w:sz w:val="28"/>
          <w:szCs w:val="28"/>
          <w:highlight w:val="none"/>
        </w:rPr>
        <w:t>。</w:t>
      </w:r>
    </w:p>
    <w:p>
      <w:pPr>
        <w:pStyle w:val="17"/>
        <w:widowControl/>
        <w:numPr>
          <w:ilvl w:val="0"/>
          <w:numId w:val="6"/>
        </w:numPr>
        <w:ind w:firstLineChars="0"/>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Hans"/>
        </w:rPr>
        <w:t>消息提醒与同步。</w:t>
      </w:r>
    </w:p>
    <w:p>
      <w:pPr>
        <w:autoSpaceDE w:val="0"/>
        <w:autoSpaceDN w:val="0"/>
        <w:adjustRightInd w:val="0"/>
        <w:spacing w:line="336" w:lineRule="auto"/>
        <w:ind w:firstLine="420"/>
        <w:rPr>
          <w:rFonts w:ascii="仿宋_GB2312" w:hAnsi="宋体" w:eastAsia="仿宋_GB2312"/>
          <w:sz w:val="28"/>
          <w:szCs w:val="28"/>
          <w:highlight w:val="none"/>
        </w:rPr>
      </w:pPr>
      <w:r>
        <w:rPr>
          <w:rFonts w:hint="eastAsia" w:ascii="仿宋_GB2312" w:hAnsi="宋体" w:eastAsia="仿宋_GB2312"/>
          <w:sz w:val="28"/>
          <w:szCs w:val="28"/>
          <w:highlight w:val="none"/>
        </w:rPr>
        <w:t>移动</w:t>
      </w:r>
      <w:r>
        <w:rPr>
          <w:rFonts w:hint="eastAsia" w:ascii="仿宋_GB2312" w:hAnsi="宋体" w:eastAsia="仿宋_GB2312"/>
          <w:sz w:val="28"/>
          <w:szCs w:val="28"/>
          <w:highlight w:val="none"/>
          <w:lang w:val="en-US" w:eastAsia="zh-Hans"/>
        </w:rPr>
        <w:t>钉钉</w:t>
      </w:r>
      <w:r>
        <w:rPr>
          <w:rFonts w:hint="eastAsia" w:ascii="仿宋_GB2312" w:hAnsi="宋体" w:eastAsia="仿宋_GB2312"/>
          <w:sz w:val="28"/>
          <w:szCs w:val="28"/>
          <w:highlight w:val="none"/>
        </w:rPr>
        <w:t>办公包含内容：</w:t>
      </w:r>
    </w:p>
    <w:p>
      <w:pPr>
        <w:pStyle w:val="17"/>
        <w:widowControl/>
        <w:numPr>
          <w:ilvl w:val="0"/>
          <w:numId w:val="6"/>
        </w:numPr>
        <w:ind w:firstLineChars="0"/>
        <w:rPr>
          <w:rFonts w:ascii="仿宋_GB2312" w:hAnsi="宋体" w:eastAsia="仿宋_GB2312"/>
          <w:sz w:val="28"/>
          <w:szCs w:val="28"/>
          <w:highlight w:val="none"/>
        </w:rPr>
      </w:pPr>
      <w:r>
        <w:rPr>
          <w:rFonts w:hint="eastAsia" w:ascii="仿宋_GB2312" w:hAnsi="宋体" w:eastAsia="仿宋_GB2312"/>
          <w:sz w:val="28"/>
          <w:szCs w:val="28"/>
          <w:highlight w:val="none"/>
        </w:rPr>
        <w:t>PC端配置的审批流程可自适应移动端。</w:t>
      </w:r>
    </w:p>
    <w:p>
      <w:pPr>
        <w:pStyle w:val="17"/>
        <w:widowControl/>
        <w:numPr>
          <w:ilvl w:val="0"/>
          <w:numId w:val="6"/>
        </w:numPr>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※移动端审批时可以发起群聊，群聊记录可以与流程绑定，方便事后查看。</w:t>
      </w:r>
    </w:p>
    <w:p>
      <w:pPr>
        <w:pStyle w:val="17"/>
        <w:widowControl/>
        <w:numPr>
          <w:ilvl w:val="0"/>
          <w:numId w:val="6"/>
        </w:numPr>
        <w:ind w:firstLineChars="0"/>
        <w:rPr>
          <w:rFonts w:ascii="仿宋_GB2312" w:hAnsi="宋体" w:eastAsia="仿宋_GB2312"/>
          <w:sz w:val="28"/>
          <w:szCs w:val="28"/>
          <w:highlight w:val="none"/>
        </w:rPr>
      </w:pPr>
      <w:r>
        <w:rPr>
          <w:rFonts w:ascii="仿宋_GB2312" w:hAnsi="宋体" w:eastAsia="仿宋_GB2312"/>
          <w:sz w:val="28"/>
          <w:szCs w:val="28"/>
          <w:highlight w:val="none"/>
        </w:rPr>
        <w:t>移动端可以直接查看office、pdf等常用附件</w:t>
      </w:r>
      <w:r>
        <w:rPr>
          <w:rFonts w:hint="eastAsia" w:ascii="仿宋_GB2312" w:hAnsi="宋体" w:eastAsia="仿宋_GB2312"/>
          <w:sz w:val="28"/>
          <w:szCs w:val="28"/>
          <w:highlight w:val="none"/>
        </w:rPr>
        <w:t>。</w:t>
      </w:r>
    </w:p>
    <w:p>
      <w:pPr>
        <w:pStyle w:val="17"/>
        <w:widowControl/>
        <w:numPr>
          <w:ilvl w:val="0"/>
          <w:numId w:val="6"/>
        </w:numPr>
        <w:ind w:firstLineChars="0"/>
        <w:rPr>
          <w:rFonts w:ascii="仿宋_GB2312" w:hAnsi="宋体" w:eastAsia="仿宋_GB2312"/>
          <w:sz w:val="28"/>
          <w:szCs w:val="28"/>
          <w:highlight w:val="none"/>
        </w:rPr>
      </w:pPr>
      <w:r>
        <w:rPr>
          <w:rFonts w:hint="eastAsia" w:ascii="宋体" w:hAnsi="宋体" w:eastAsia="宋体" w:cs="宋体"/>
          <w:sz w:val="28"/>
          <w:szCs w:val="28"/>
          <w:highlight w:val="none"/>
        </w:rPr>
        <w:t>※</w:t>
      </w:r>
      <w:r>
        <w:rPr>
          <w:rFonts w:ascii="仿宋_GB2312" w:hAnsi="宋体" w:eastAsia="仿宋_GB2312"/>
          <w:sz w:val="28"/>
          <w:szCs w:val="28"/>
          <w:highlight w:val="none"/>
        </w:rPr>
        <w:t>移动端阅读附件不需要第三方应用</w:t>
      </w:r>
      <w:r>
        <w:rPr>
          <w:rFonts w:hint="eastAsia" w:ascii="仿宋_GB2312" w:hAnsi="宋体" w:eastAsia="仿宋_GB2312"/>
          <w:sz w:val="28"/>
          <w:szCs w:val="28"/>
          <w:highlight w:val="none"/>
        </w:rPr>
        <w:t>，</w:t>
      </w:r>
      <w:r>
        <w:rPr>
          <w:rFonts w:ascii="仿宋_GB2312" w:hAnsi="宋体" w:eastAsia="仿宋_GB2312"/>
          <w:sz w:val="28"/>
          <w:szCs w:val="28"/>
          <w:highlight w:val="none"/>
        </w:rPr>
        <w:t>可直接打</w:t>
      </w:r>
      <w:r>
        <w:rPr>
          <w:rFonts w:hint="eastAsia" w:ascii="仿宋_GB2312" w:hAnsi="宋体" w:eastAsia="仿宋_GB2312"/>
          <w:sz w:val="28"/>
          <w:szCs w:val="28"/>
          <w:highlight w:val="none"/>
        </w:rPr>
        <w:t>开，支持加载用户水印</w:t>
      </w:r>
    </w:p>
    <w:p>
      <w:pPr>
        <w:pStyle w:val="17"/>
        <w:widowControl/>
        <w:numPr>
          <w:ilvl w:val="0"/>
          <w:numId w:val="6"/>
        </w:numPr>
        <w:ind w:firstLineChars="0"/>
        <w:rPr>
          <w:rFonts w:ascii="仿宋_GB2312" w:hAnsi="宋体" w:eastAsia="仿宋_GB2312"/>
          <w:sz w:val="28"/>
          <w:szCs w:val="28"/>
          <w:highlight w:val="none"/>
        </w:rPr>
      </w:pPr>
      <w:r>
        <w:rPr>
          <w:rFonts w:hint="eastAsia" w:ascii="仿宋_GB2312" w:hAnsi="宋体" w:eastAsia="仿宋_GB2312"/>
          <w:sz w:val="28"/>
          <w:szCs w:val="28"/>
          <w:highlight w:val="none"/>
        </w:rPr>
        <w:t>流程审批，实现所有待批文件的审批功能。</w:t>
      </w:r>
    </w:p>
    <w:p>
      <w:pPr>
        <w:pStyle w:val="17"/>
        <w:widowControl/>
        <w:numPr>
          <w:ilvl w:val="0"/>
          <w:numId w:val="6"/>
        </w:numPr>
        <w:ind w:firstLineChars="0"/>
        <w:rPr>
          <w:rFonts w:ascii="仿宋_GB2312" w:eastAsia="仿宋_GB2312"/>
          <w:sz w:val="28"/>
          <w:szCs w:val="28"/>
          <w:highlight w:val="none"/>
        </w:rPr>
      </w:pPr>
      <w:r>
        <w:rPr>
          <w:rFonts w:ascii="仿宋_GB2312" w:hAnsi="宋体" w:eastAsia="仿宋_GB2312"/>
          <w:sz w:val="28"/>
          <w:szCs w:val="28"/>
          <w:highlight w:val="none"/>
        </w:rPr>
        <w:t>可以语音审批、手写批注审批。</w:t>
      </w:r>
    </w:p>
    <w:p>
      <w:pPr>
        <w:pStyle w:val="17"/>
        <w:widowControl/>
        <w:numPr>
          <w:ilvl w:val="0"/>
          <w:numId w:val="6"/>
        </w:numPr>
        <w:ind w:firstLineChars="0"/>
        <w:rPr>
          <w:rFonts w:ascii="仿宋_GB2312" w:eastAsia="仿宋_GB2312"/>
          <w:sz w:val="28"/>
          <w:szCs w:val="28"/>
          <w:highlight w:val="none"/>
        </w:rPr>
      </w:pPr>
      <w:r>
        <w:rPr>
          <w:rFonts w:hint="eastAsia" w:ascii="仿宋_GB2312" w:hAnsi="宋体" w:eastAsia="仿宋_GB2312"/>
          <w:sz w:val="28"/>
          <w:szCs w:val="28"/>
          <w:highlight w:val="none"/>
        </w:rPr>
        <w:t>公文浏览，实现公文的浏览功能（智能手机）。</w:t>
      </w:r>
    </w:p>
    <w:p>
      <w:pPr>
        <w:pStyle w:val="17"/>
        <w:widowControl/>
        <w:numPr>
          <w:ilvl w:val="0"/>
          <w:numId w:val="6"/>
        </w:numPr>
        <w:ind w:firstLineChars="0"/>
        <w:rPr>
          <w:rFonts w:ascii="仿宋_GB2312" w:eastAsia="仿宋_GB2312"/>
          <w:sz w:val="28"/>
          <w:szCs w:val="28"/>
          <w:highlight w:val="none"/>
        </w:rPr>
      </w:pPr>
      <w:r>
        <w:rPr>
          <w:rFonts w:hint="eastAsia" w:ascii="仿宋_GB2312" w:hAnsi="宋体" w:eastAsia="仿宋_GB2312"/>
          <w:sz w:val="28"/>
          <w:szCs w:val="28"/>
          <w:highlight w:val="none"/>
        </w:rPr>
        <w:t>通讯录，联系人管理，通过内部联系人直接拨打电话。</w:t>
      </w:r>
    </w:p>
    <w:p>
      <w:pPr>
        <w:pStyle w:val="17"/>
        <w:widowControl/>
        <w:numPr>
          <w:ilvl w:val="0"/>
          <w:numId w:val="6"/>
        </w:numPr>
        <w:ind w:firstLineChars="0"/>
        <w:rPr>
          <w:rFonts w:ascii="仿宋_GB2312" w:eastAsia="仿宋_GB2312"/>
          <w:sz w:val="28"/>
          <w:szCs w:val="28"/>
          <w:highlight w:val="none"/>
        </w:rPr>
      </w:pPr>
      <w:r>
        <w:rPr>
          <w:rFonts w:hint="eastAsia" w:ascii="仿宋_GB2312" w:hAnsi="宋体" w:eastAsia="仿宋_GB2312"/>
          <w:sz w:val="28"/>
          <w:szCs w:val="28"/>
          <w:highlight w:val="none"/>
        </w:rPr>
        <w:t>个人设置等，支持手势密码、指纹。</w:t>
      </w:r>
    </w:p>
    <w:p>
      <w:pPr>
        <w:autoSpaceDE w:val="0"/>
        <w:autoSpaceDN w:val="0"/>
        <w:adjustRightInd w:val="0"/>
        <w:spacing w:line="336" w:lineRule="auto"/>
        <w:ind w:firstLine="420"/>
        <w:rPr>
          <w:rFonts w:hint="eastAsia" w:ascii="仿宋_GB2312" w:hAnsi="宋体" w:eastAsia="仿宋_GB2312"/>
          <w:sz w:val="28"/>
          <w:szCs w:val="28"/>
          <w:highlight w:val="none"/>
          <w:lang w:eastAsia="zh-Hans"/>
        </w:rPr>
      </w:pPr>
      <w:r>
        <w:rPr>
          <w:rFonts w:hint="eastAsia" w:ascii="仿宋_GB2312" w:hAnsi="宋体" w:eastAsia="仿宋_GB2312"/>
          <w:sz w:val="28"/>
          <w:szCs w:val="28"/>
          <w:highlight w:val="none"/>
          <w:lang w:val="en-US" w:eastAsia="zh-Hans"/>
        </w:rPr>
        <w:t>PC钉钉</w:t>
      </w:r>
      <w:r>
        <w:rPr>
          <w:rFonts w:hint="eastAsia" w:ascii="仿宋_GB2312" w:hAnsi="宋体" w:eastAsia="仿宋_GB2312"/>
          <w:sz w:val="28"/>
          <w:szCs w:val="28"/>
          <w:highlight w:val="none"/>
        </w:rPr>
        <w:t>办公包含内容</w:t>
      </w:r>
      <w:r>
        <w:rPr>
          <w:rFonts w:hint="eastAsia" w:ascii="仿宋_GB2312" w:hAnsi="宋体" w:eastAsia="仿宋_GB2312"/>
          <w:sz w:val="28"/>
          <w:szCs w:val="28"/>
          <w:highlight w:val="none"/>
          <w:lang w:eastAsia="zh-Hans"/>
        </w:rPr>
        <w:t>：</w:t>
      </w:r>
    </w:p>
    <w:p>
      <w:pPr>
        <w:pStyle w:val="17"/>
        <w:widowControl/>
        <w:numPr>
          <w:ilvl w:val="0"/>
          <w:numId w:val="6"/>
        </w:numPr>
        <w:ind w:firstLineChars="0"/>
        <w:rPr>
          <w:rFonts w:ascii="仿宋_GB2312" w:eastAsia="仿宋_GB2312"/>
          <w:sz w:val="28"/>
          <w:szCs w:val="28"/>
          <w:highlight w:val="none"/>
        </w:rPr>
      </w:pPr>
      <w:r>
        <w:rPr>
          <w:rFonts w:hint="eastAsia" w:ascii="仿宋_GB2312" w:eastAsia="仿宋_GB2312"/>
          <w:sz w:val="28"/>
          <w:szCs w:val="28"/>
          <w:highlight w:val="none"/>
          <w:lang w:val="en-US" w:eastAsia="zh-Hans"/>
        </w:rPr>
        <w:t>所有模块可以放在钉钉PC端工作台。</w:t>
      </w:r>
    </w:p>
    <w:p>
      <w:pPr>
        <w:pStyle w:val="17"/>
        <w:widowControl/>
        <w:numPr>
          <w:ilvl w:val="0"/>
          <w:numId w:val="6"/>
        </w:numPr>
        <w:ind w:firstLineChars="0"/>
        <w:rPr>
          <w:rFonts w:ascii="仿宋_GB2312" w:eastAsia="仿宋_GB2312"/>
          <w:sz w:val="28"/>
          <w:szCs w:val="28"/>
          <w:highlight w:val="none"/>
        </w:rPr>
      </w:pPr>
      <w:r>
        <w:rPr>
          <w:rFonts w:hint="eastAsia" w:ascii="仿宋_GB2312" w:eastAsia="仿宋_GB2312"/>
          <w:sz w:val="28"/>
          <w:szCs w:val="28"/>
          <w:highlight w:val="none"/>
          <w:lang w:val="en-US" w:eastAsia="zh-Hans"/>
        </w:rPr>
        <w:t>系统消息可在钉钉PC端提醒。</w:t>
      </w:r>
    </w:p>
    <w:p>
      <w:pPr>
        <w:pStyle w:val="17"/>
        <w:widowControl/>
        <w:numPr>
          <w:ilvl w:val="0"/>
          <w:numId w:val="6"/>
        </w:numPr>
        <w:ind w:firstLineChars="0"/>
        <w:rPr>
          <w:rFonts w:ascii="仿宋_GB2312" w:eastAsia="仿宋_GB2312"/>
          <w:sz w:val="28"/>
          <w:szCs w:val="28"/>
          <w:highlight w:val="none"/>
        </w:rPr>
      </w:pPr>
      <w:r>
        <w:rPr>
          <w:rFonts w:hint="eastAsia" w:ascii="仿宋_GB2312" w:hAnsi="宋体" w:eastAsia="仿宋_GB2312"/>
          <w:sz w:val="28"/>
          <w:szCs w:val="28"/>
          <w:highlight w:val="none"/>
          <w:lang w:val="en-US" w:eastAsia="zh-Hans"/>
        </w:rPr>
        <w:t>点击系统流程节点，直接与对应节点人员发起钉钉聊天</w:t>
      </w:r>
      <w:r>
        <w:rPr>
          <w:rFonts w:hint="eastAsia" w:ascii="仿宋_GB2312" w:hAnsi="宋体" w:eastAsia="仿宋_GB2312"/>
          <w:sz w:val="28"/>
          <w:szCs w:val="28"/>
          <w:highlight w:val="none"/>
        </w:rPr>
        <w:t>。</w:t>
      </w:r>
    </w:p>
    <w:p>
      <w:pPr>
        <w:pStyle w:val="2"/>
        <w:rPr>
          <w:rFonts w:hint="eastAsia"/>
          <w:highlight w:val="none"/>
        </w:rPr>
      </w:pPr>
    </w:p>
    <w:p>
      <w:pPr>
        <w:pStyle w:val="5"/>
        <w:bidi w:val="0"/>
        <w:rPr>
          <w:rFonts w:hint="eastAsia" w:cs="Times New Roman"/>
          <w:highlight w:val="none"/>
        </w:rPr>
      </w:pPr>
      <w:r>
        <w:rPr>
          <w:rFonts w:hint="eastAsia" w:ascii="宋体" w:hAnsi="宋体" w:eastAsia="宋体" w:cs="宋体"/>
          <w:highlight w:val="none"/>
          <w:lang w:val="en-US" w:eastAsia="zh-Hans"/>
        </w:rPr>
        <w:t>※</w:t>
      </w:r>
      <w:r>
        <w:rPr>
          <w:rFonts w:hint="eastAsia" w:cs="Times New Roman"/>
          <w:highlight w:val="none"/>
          <w:lang w:val="en-US" w:eastAsia="zh-Hans"/>
        </w:rPr>
        <w:t>低代码平台</w:t>
      </w:r>
      <w:bookmarkEnd w:id="0"/>
    </w:p>
    <w:p>
      <w:pPr>
        <w:bidi w:val="0"/>
        <w:ind w:firstLine="420" w:firstLineChars="0"/>
        <w:rPr>
          <w:rFonts w:hint="eastAsia" w:ascii="仿宋_GB2312" w:hAnsi="宋体" w:eastAsia="仿宋_GB2312" w:cs="Times New Roman"/>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w:t>
      </w:r>
      <w:r>
        <w:rPr>
          <w:rFonts w:hint="eastAsia" w:ascii="仿宋_GB2312" w:hAnsi="宋体" w:eastAsia="仿宋_GB2312" w:cs="Times New Roman"/>
          <w:kern w:val="2"/>
          <w:sz w:val="28"/>
          <w:szCs w:val="28"/>
          <w:highlight w:val="none"/>
          <w:lang w:val="en-US" w:eastAsia="zh-CN" w:bidi="ar-SA"/>
        </w:rPr>
        <w:t>代码平台是“在线的、轻量的、可视的、零代码”的在线应用生成平台。低代码平台为系统管理员或业务使用者，提供了快速构建PC端、移动化一体化应用的在线工具，通过可视化的表单设计、流程设计、图表设计，无需懂代码即可帮助企业轻松快速构建专属应用。</w:t>
      </w:r>
    </w:p>
    <w:p>
      <w:pPr>
        <w:pStyle w:val="17"/>
        <w:widowControl/>
        <w:numPr>
          <w:ilvl w:val="0"/>
          <w:numId w:val="6"/>
        </w:numPr>
        <w:ind w:firstLineChars="0"/>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表单设计：</w:t>
      </w:r>
      <w:r>
        <w:rPr>
          <w:rFonts w:hint="eastAsia" w:ascii="仿宋_GB2312" w:hAnsi="宋体" w:eastAsia="仿宋_GB2312"/>
          <w:sz w:val="28"/>
          <w:szCs w:val="28"/>
          <w:highlight w:val="none"/>
          <w:lang w:val="en-US" w:eastAsia="zh-Hans"/>
        </w:rPr>
        <w:t>支持</w:t>
      </w:r>
      <w:r>
        <w:rPr>
          <w:rFonts w:hint="eastAsia" w:ascii="仿宋_GB2312" w:hAnsi="宋体" w:eastAsia="仿宋_GB2312"/>
          <w:sz w:val="28"/>
          <w:szCs w:val="28"/>
          <w:highlight w:val="none"/>
          <w:lang w:val="en-US" w:eastAsia="zh-CN"/>
        </w:rPr>
        <w:t>流程表单和无流程表单两种类型，提供表单和多表单两种模式，根据业务需求设计表单模板，完成之后，前端可录入数据。</w:t>
      </w:r>
    </w:p>
    <w:p>
      <w:pPr>
        <w:pStyle w:val="17"/>
        <w:widowControl/>
        <w:numPr>
          <w:ilvl w:val="0"/>
          <w:numId w:val="6"/>
        </w:numPr>
        <w:ind w:firstLineChars="0"/>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业务关系：业务关系</w:t>
      </w:r>
      <w:r>
        <w:rPr>
          <w:rFonts w:hint="eastAsia" w:ascii="仿宋_GB2312" w:hAnsi="宋体" w:eastAsia="仿宋_GB2312"/>
          <w:sz w:val="28"/>
          <w:szCs w:val="28"/>
          <w:highlight w:val="none"/>
          <w:lang w:val="en-US" w:eastAsia="zh-Hans"/>
        </w:rPr>
        <w:t>需</w:t>
      </w:r>
      <w:r>
        <w:rPr>
          <w:rFonts w:hint="eastAsia" w:ascii="仿宋_GB2312" w:hAnsi="宋体" w:eastAsia="仿宋_GB2312"/>
          <w:sz w:val="28"/>
          <w:szCs w:val="28"/>
          <w:highlight w:val="none"/>
          <w:lang w:val="en-US" w:eastAsia="zh-CN"/>
        </w:rPr>
        <w:t>支持关系设置，业务触发和业务操作等。关系设置，业务建模内部，设置业务关联（即不同表单之间数据的读取）关系；业务触发，触发包括不同表单之间的数据写入、流程新建和消息推送等；业务操作，业务的编辑、删除、新建、查看、保存等各种操作按钮可进行配置。</w:t>
      </w:r>
    </w:p>
    <w:p>
      <w:pPr>
        <w:pStyle w:val="17"/>
        <w:widowControl/>
        <w:numPr>
          <w:ilvl w:val="0"/>
          <w:numId w:val="6"/>
        </w:numPr>
        <w:ind w:firstLineChars="0"/>
        <w:rPr>
          <w:rFonts w:hint="eastAsia" w:ascii="仿宋_GB2312" w:hAnsi="宋体" w:eastAsia="仿宋_GB2312"/>
          <w:sz w:val="28"/>
          <w:szCs w:val="28"/>
          <w:highlight w:val="none"/>
          <w:lang w:val="en-US" w:eastAsia="zh-CN"/>
        </w:rPr>
      </w:pPr>
      <w:r>
        <w:rPr>
          <w:rFonts w:hint="eastAsia" w:ascii="仿宋_GB2312" w:hAnsi="宋体" w:eastAsia="仿宋_GB2312"/>
          <w:sz w:val="28"/>
          <w:szCs w:val="28"/>
          <w:highlight w:val="none"/>
          <w:lang w:val="en-US" w:eastAsia="zh-CN"/>
        </w:rPr>
        <w:t>视图设计：视图设计目前支持列表视图、查看视图、portlet视图的设计列表视图，前端该业务表单页面列表展现样式配置，采用所见即所得的方式，业务需求字段快速配置完成，可高效预览列表展示效果；查看视图，通过业务表单创建的主文档点击列表视图的记录，可向用户展现的详情页；portlet视图，即系统门户配置，可快速高效选择门户展现样式，完成门户视图展示，设计完成之后，用户就可从门户首页快速选择到当前应用版块。</w:t>
      </w:r>
    </w:p>
    <w:p>
      <w:pPr>
        <w:pStyle w:val="4"/>
        <w:bidi w:val="0"/>
        <w:rPr>
          <w:rFonts w:ascii="仿宋_GB2312" w:eastAsia="仿宋_GB2312"/>
          <w:szCs w:val="28"/>
          <w:highlight w:val="none"/>
        </w:rPr>
      </w:pPr>
      <w:r>
        <w:rPr>
          <w:rFonts w:hint="eastAsia" w:ascii="仿宋_GB2312" w:eastAsia="仿宋_GB2312"/>
          <w:szCs w:val="28"/>
          <w:highlight w:val="none"/>
        </w:rPr>
        <w:t>项目实施及培训要求</w:t>
      </w:r>
    </w:p>
    <w:p>
      <w:pPr>
        <w:pStyle w:val="5"/>
        <w:bidi w:val="0"/>
        <w:rPr>
          <w:highlight w:val="none"/>
        </w:rPr>
      </w:pPr>
      <w:r>
        <w:rPr>
          <w:rFonts w:hint="eastAsia"/>
          <w:highlight w:val="none"/>
        </w:rPr>
        <w:t>实施要求</w:t>
      </w:r>
    </w:p>
    <w:p>
      <w:pPr>
        <w:widowControl/>
        <w:ind w:firstLine="562" w:firstLineChars="200"/>
        <w:rPr>
          <w:rFonts w:ascii="仿宋_GB2312" w:hAnsi="宋体" w:eastAsia="仿宋_GB2312"/>
          <w:sz w:val="28"/>
          <w:szCs w:val="28"/>
          <w:highlight w:val="none"/>
        </w:rPr>
      </w:pPr>
      <w:r>
        <w:rPr>
          <w:rFonts w:hint="eastAsia" w:ascii="仿宋_GB2312" w:hAnsi="宋体" w:eastAsia="仿宋_GB2312"/>
          <w:b/>
          <w:sz w:val="28"/>
          <w:szCs w:val="28"/>
          <w:highlight w:val="none"/>
        </w:rPr>
        <w:t>本项目要求合同签订后</w:t>
      </w:r>
      <w:r>
        <w:rPr>
          <w:rFonts w:hint="eastAsia" w:ascii="仿宋_GB2312" w:hAnsi="宋体" w:eastAsia="仿宋_GB2312"/>
          <w:b/>
          <w:sz w:val="28"/>
          <w:szCs w:val="28"/>
          <w:highlight w:val="none"/>
          <w:lang w:val="en-US" w:eastAsia="zh-CN"/>
        </w:rPr>
        <w:t>60</w:t>
      </w:r>
      <w:r>
        <w:rPr>
          <w:rFonts w:hint="eastAsia" w:ascii="仿宋_GB2312" w:hAnsi="宋体" w:eastAsia="仿宋_GB2312"/>
          <w:b/>
          <w:sz w:val="28"/>
          <w:szCs w:val="28"/>
          <w:highlight w:val="none"/>
        </w:rPr>
        <w:t>工作日内完成。</w:t>
      </w:r>
      <w:r>
        <w:rPr>
          <w:rFonts w:hint="eastAsia" w:ascii="仿宋_GB2312" w:hAnsi="宋体" w:eastAsia="仿宋_GB2312"/>
          <w:sz w:val="28"/>
          <w:szCs w:val="28"/>
          <w:highlight w:val="none"/>
        </w:rPr>
        <w:t>为保证项目按时按质顺利进行，中标人应建立专门的项目开发组和管理组，由专人负责。提供详细的项目实施时间表（以天为单位）和各阶段各方人员安排及相关的工作内容；提出完整、合理、可行的项目管理计划，其中包括关于项目进度控制、质量控制、风险控制、合同管理、文档管理以及与本项目相关的协调工作等的详细描述。</w:t>
      </w:r>
    </w:p>
    <w:p>
      <w:pPr>
        <w:widowControl/>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项目实施中必须根据甲方需求进行开发设计、实施，以满足甲方部门间信息共享的需求。</w:t>
      </w:r>
    </w:p>
    <w:p>
      <w:pPr>
        <w:pStyle w:val="5"/>
        <w:bidi w:val="0"/>
        <w:rPr>
          <w:highlight w:val="none"/>
        </w:rPr>
      </w:pPr>
      <w:r>
        <w:rPr>
          <w:rFonts w:hint="eastAsia"/>
          <w:highlight w:val="none"/>
        </w:rPr>
        <w:t>培训要求</w:t>
      </w:r>
    </w:p>
    <w:p>
      <w:pPr>
        <w:pStyle w:val="2"/>
        <w:tabs>
          <w:tab w:val="left" w:pos="306"/>
        </w:tabs>
        <w:ind w:firstLine="560"/>
        <w:rPr>
          <w:rFonts w:ascii="仿宋_GB2312" w:hAnsi="宋体" w:eastAsia="仿宋_GB2312"/>
          <w:sz w:val="28"/>
          <w:szCs w:val="28"/>
          <w:highlight w:val="none"/>
        </w:rPr>
      </w:pPr>
      <w:r>
        <w:rPr>
          <w:rFonts w:hint="eastAsia" w:ascii="仿宋_GB2312" w:hAnsi="宋体" w:eastAsia="仿宋_GB2312"/>
          <w:sz w:val="28"/>
          <w:szCs w:val="28"/>
          <w:highlight w:val="none"/>
        </w:rPr>
        <w:t>本项目中标人负责对甲方人员提供技术培训，包括操作人员培训和管理维护人员培训。投标人应在投标文件中提出培训计划，计划包括培训类别、培训项目、人数、时间、地点及培训方式等详细内容，达到使相关人员熟练使用系统的目的。培训前，中标人需编制成完善的培训材料。</w:t>
      </w:r>
    </w:p>
    <w:p>
      <w:pPr>
        <w:pStyle w:val="4"/>
        <w:bidi w:val="0"/>
        <w:rPr>
          <w:rFonts w:ascii="仿宋_GB2312" w:eastAsia="仿宋_GB2312"/>
          <w:szCs w:val="28"/>
          <w:highlight w:val="none"/>
        </w:rPr>
      </w:pPr>
      <w:r>
        <w:rPr>
          <w:rFonts w:hint="eastAsia" w:cs="Times New Roman"/>
          <w:highlight w:val="none"/>
          <w:lang w:val="en-US" w:eastAsia="zh-Hans"/>
        </w:rPr>
        <w:t>项目</w:t>
      </w:r>
      <w:r>
        <w:rPr>
          <w:rFonts w:hint="eastAsia" w:cs="Times New Roman"/>
          <w:highlight w:val="none"/>
        </w:rPr>
        <w:t>验收</w:t>
      </w:r>
    </w:p>
    <w:p>
      <w:pPr>
        <w:pStyle w:val="2"/>
        <w:tabs>
          <w:tab w:val="left" w:pos="306"/>
        </w:tabs>
        <w:ind w:firstLine="560"/>
        <w:rPr>
          <w:rFonts w:ascii="仿宋_GB2312" w:hAnsi="宋体" w:eastAsia="仿宋_GB2312"/>
          <w:sz w:val="28"/>
          <w:szCs w:val="28"/>
          <w:highlight w:val="none"/>
        </w:rPr>
      </w:pPr>
      <w:r>
        <w:rPr>
          <w:rFonts w:hint="eastAsia" w:ascii="仿宋_GB2312" w:hAnsi="宋体" w:eastAsia="仿宋_GB2312"/>
          <w:sz w:val="28"/>
          <w:szCs w:val="28"/>
          <w:highlight w:val="none"/>
        </w:rPr>
        <w:t>本项目的验收分初验和终验两个阶段，根据采购人的项目实施进度要求，系统完成开发部署，整体上线后进行项目初验，并进入试运行阶段，试运行期满达到招标要求后进行终验。中标人要提供详尽的项目验收方案，包括验收组织、验收内容、验收标准、验收报告等。</w:t>
      </w:r>
    </w:p>
    <w:p>
      <w:pPr>
        <w:pStyle w:val="4"/>
        <w:bidi w:val="0"/>
        <w:rPr>
          <w:rFonts w:ascii="仿宋_GB2312" w:eastAsia="仿宋_GB2312"/>
          <w:szCs w:val="28"/>
          <w:highlight w:val="none"/>
        </w:rPr>
      </w:pPr>
      <w:r>
        <w:rPr>
          <w:rFonts w:hint="eastAsia" w:cs="Times New Roman"/>
          <w:highlight w:val="none"/>
        </w:rPr>
        <w:t>售后服务</w:t>
      </w:r>
    </w:p>
    <w:p>
      <w:pPr>
        <w:pStyle w:val="2"/>
        <w:tabs>
          <w:tab w:val="left" w:pos="306"/>
        </w:tabs>
        <w:ind w:firstLine="560"/>
        <w:rPr>
          <w:rFonts w:ascii="仿宋_GB2312" w:hAnsi="宋体" w:eastAsia="仿宋_GB2312"/>
          <w:sz w:val="28"/>
          <w:szCs w:val="28"/>
          <w:highlight w:val="none"/>
        </w:rPr>
      </w:pPr>
      <w:r>
        <w:rPr>
          <w:rFonts w:hint="eastAsia" w:ascii="仿宋_GB2312" w:hAnsi="宋体" w:eastAsia="仿宋_GB2312"/>
          <w:sz w:val="28"/>
          <w:szCs w:val="28"/>
          <w:highlight w:val="none"/>
        </w:rPr>
        <w:t>项目通过验收之日起，投标人必须提供至少一年的原厂免费维护、升级服务，若有升级版本须及时通知用户，是否升级由用户决定；免费服务期结束后，投标人应提出升级、维护服务方案，并对服务内容、费用、方式、范围（产品、技术、模块）等方面进行承诺，另行签订服务合同。</w:t>
      </w:r>
    </w:p>
    <w:p>
      <w:pPr>
        <w:pStyle w:val="2"/>
        <w:tabs>
          <w:tab w:val="left" w:pos="306"/>
        </w:tabs>
        <w:ind w:firstLine="560"/>
        <w:rPr>
          <w:rFonts w:hint="eastAsia"/>
          <w:highlight w:val="none"/>
          <w:lang w:val="en-US" w:eastAsia="zh-Hans"/>
        </w:rPr>
      </w:pPr>
      <w:r>
        <w:rPr>
          <w:rFonts w:hint="eastAsia" w:ascii="仿宋_GB2312" w:hAnsi="宋体" w:eastAsia="仿宋_GB2312"/>
          <w:sz w:val="28"/>
          <w:szCs w:val="28"/>
          <w:highlight w:val="none"/>
        </w:rPr>
        <w:t>投标人保证有专门的客户服务机构和人员，能够提供7*24小时电话服务响应；对于必须派人现场解决的问题，保证在收到现场服务通知后，6小时内到达现场。</w:t>
      </w:r>
    </w:p>
    <w:sectPr>
      <w:pgSz w:w="11906" w:h="16838"/>
      <w:pgMar w:top="1361" w:right="1286"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ejaVu Sans">
    <w:altName w:val="Times New Roman"/>
    <w:panose1 w:val="02020603050405020304"/>
    <w:charset w:val="00"/>
    <w:family w:val="roman"/>
    <w:pitch w:val="default"/>
    <w:sig w:usb0="00000000" w:usb1="00000000" w:usb2="00000008" w:usb3="00000000" w:csb0="000001F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062DD"/>
    <w:multiLevelType w:val="multilevel"/>
    <w:tmpl w:val="0E9062DD"/>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19615952"/>
    <w:multiLevelType w:val="multilevel"/>
    <w:tmpl w:val="19615952"/>
    <w:lvl w:ilvl="0" w:tentative="0">
      <w:start w:val="1"/>
      <w:numFmt w:val="decimal"/>
      <w:pStyle w:val="16"/>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2468754D"/>
    <w:multiLevelType w:val="multilevel"/>
    <w:tmpl w:val="2468754D"/>
    <w:lvl w:ilvl="0" w:tentative="0">
      <w:start w:val="1"/>
      <w:numFmt w:val="lowerLetter"/>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3DFD543F"/>
    <w:multiLevelType w:val="multilevel"/>
    <w:tmpl w:val="3DFD543F"/>
    <w:lvl w:ilvl="0" w:tentative="0">
      <w:start w:val="0"/>
      <w:numFmt w:val="bullet"/>
      <w:lvlText w:val="-"/>
      <w:lvlJc w:val="left"/>
      <w:pPr>
        <w:ind w:left="420" w:hanging="420"/>
      </w:pPr>
      <w:rPr>
        <w:rFonts w:hint="default" w:ascii="Arial" w:hAnsi="Arial" w:eastAsia="华文楷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20EF6EF"/>
    <w:multiLevelType w:val="multilevel"/>
    <w:tmpl w:val="620EF6EF"/>
    <w:lvl w:ilvl="0" w:tentative="0">
      <w:start w:val="1"/>
      <w:numFmt w:val="chineseCounting"/>
      <w:pStyle w:val="3"/>
      <w:suff w:val="nothing"/>
      <w:lvlText w:val="第%1章 "/>
      <w:lvlJc w:val="left"/>
      <w:pPr>
        <w:ind w:left="432" w:hanging="432"/>
      </w:pPr>
      <w:rPr>
        <w:rFonts w:hint="eastAsia"/>
      </w:rPr>
    </w:lvl>
    <w:lvl w:ilvl="1" w:tentative="0">
      <w:start w:val="1"/>
      <w:numFmt w:val="decimal"/>
      <w:pStyle w:val="4"/>
      <w:isLgl/>
      <w:lvlText w:val="%1.%2."/>
      <w:lvlJc w:val="left"/>
      <w:pPr>
        <w:ind w:left="575" w:hanging="575"/>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abstractNum w:abstractNumId="5">
    <w:nsid w:val="73265A9C"/>
    <w:multiLevelType w:val="multilevel"/>
    <w:tmpl w:val="73265A9C"/>
    <w:lvl w:ilvl="0" w:tentative="0">
      <w:start w:val="3525"/>
      <w:numFmt w:val="bullet"/>
      <w:lvlText w:val="–"/>
      <w:lvlJc w:val="left"/>
      <w:pPr>
        <w:ind w:left="980" w:hanging="420"/>
      </w:pPr>
      <w:rPr>
        <w:rFonts w:hint="default" w:ascii="Arial" w:hAnsi="Arial"/>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8A6BE"/>
    <w:rsid w:val="18117040"/>
    <w:rsid w:val="3E77B493"/>
    <w:rsid w:val="3EF8A6BE"/>
    <w:rsid w:val="49923036"/>
    <w:rsid w:val="5DBF27E4"/>
    <w:rsid w:val="689F0C4B"/>
    <w:rsid w:val="6D4C1832"/>
    <w:rsid w:val="DBAD0015"/>
    <w:rsid w:val="EFF798B8"/>
    <w:rsid w:val="F6FFD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4">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DejaVu Sans" w:hAnsi="DejaVu Sans" w:eastAsia="方正黑体_GBK"/>
      <w:b/>
      <w:sz w:val="32"/>
    </w:rPr>
  </w:style>
  <w:style w:type="paragraph" w:styleId="5">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720" w:firstLine="0" w:firstLineChars="0"/>
      <w:outlineLvl w:val="2"/>
    </w:pPr>
    <w:rPr>
      <w:rFonts w:eastAsia="黑体" w:asciiTheme="minorAscii" w:hAnsiTheme="minorAscii"/>
      <w:b/>
      <w:sz w:val="32"/>
    </w:rPr>
  </w:style>
  <w:style w:type="paragraph" w:styleId="6">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DejaVu Sans" w:hAnsi="DejaVu Sans" w:eastAsia="方正黑体_GBK"/>
      <w:b/>
      <w:sz w:val="28"/>
    </w:rPr>
  </w:style>
  <w:style w:type="paragraph" w:styleId="7">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DejaVu Sans" w:hAnsi="DejaVu Sans" w:eastAsia="方正黑体_GBK"/>
      <w:b/>
      <w:sz w:val="24"/>
    </w:rPr>
  </w:style>
  <w:style w:type="paragraph" w:styleId="9">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DejaVu Sans" w:hAnsi="DejaVu Sans" w:eastAsia="方正黑体_GBK"/>
      <w:sz w:val="24"/>
    </w:rPr>
  </w:style>
  <w:style w:type="paragraph" w:styleId="11">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DejaVu Sans" w:hAnsi="DejaVu Sans" w:eastAsia="方正黑体_GBK"/>
      <w:sz w:val="21"/>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无间隔1"/>
    <w:qFormat/>
    <w:uiPriority w:val="99"/>
    <w:rPr>
      <w:rFonts w:ascii="Times New Roman" w:hAnsi="Times New Roman" w:eastAsia="宋体" w:cs="Times New Roman"/>
      <w:sz w:val="22"/>
      <w:szCs w:val="22"/>
      <w:lang w:val="en-US" w:eastAsia="zh-CN" w:bidi="ar-SA"/>
    </w:rPr>
  </w:style>
  <w:style w:type="paragraph" w:customStyle="1" w:styleId="16">
    <w:name w:val="样式 标题 1 +"/>
    <w:basedOn w:val="3"/>
    <w:qFormat/>
    <w:uiPriority w:val="0"/>
    <w:pPr>
      <w:numPr>
        <w:ilvl w:val="0"/>
        <w:numId w:val="2"/>
      </w:numPr>
      <w:spacing w:before="0" w:after="0" w:line="360" w:lineRule="auto"/>
    </w:pPr>
    <w:rPr>
      <w:rFonts w:ascii="Calibri" w:hAnsi="Calibri"/>
      <w:kern w:val="2"/>
      <w:sz w:val="28"/>
    </w:rPr>
  </w:style>
  <w:style w:type="paragraph" w:customStyle="1" w:styleId="17">
    <w:name w:val="List Paragraph"/>
    <w:basedOn w:val="1"/>
    <w:qFormat/>
    <w:uiPriority w:val="34"/>
    <w:pPr>
      <w:ind w:firstLine="420" w:firstLineChars="200"/>
    </w:pPr>
  </w:style>
  <w:style w:type="paragraph" w:customStyle="1" w:styleId="18">
    <w:name w:val="（一）正文标题"/>
    <w:basedOn w:val="5"/>
    <w:qFormat/>
    <w:uiPriority w:val="0"/>
    <w:pPr>
      <w:keepNext w:val="0"/>
      <w:keepLines w:val="0"/>
      <w:numPr>
        <w:ilvl w:val="0"/>
        <w:numId w:val="0"/>
      </w:numPr>
      <w:tabs>
        <w:tab w:val="left" w:pos="993"/>
        <w:tab w:val="left" w:pos="1134"/>
        <w:tab w:val="left" w:pos="1276"/>
        <w:tab w:val="left" w:pos="1418"/>
      </w:tabs>
      <w:wordWrap w:val="0"/>
      <w:ind w:firstLine="200" w:firstLineChars="200"/>
    </w:pPr>
    <w:rPr>
      <w:rFonts w:ascii="仿宋_GB2312" w:hAnsi="Arial" w:eastAsia="楷体"/>
      <w:szCs w:val="28"/>
      <w:lang w:val="en-US" w:eastAsia="zh-CN"/>
    </w:rPr>
  </w:style>
  <w:style w:type="paragraph" w:customStyle="1" w:styleId="19">
    <w:name w:val="1."/>
    <w:qFormat/>
    <w:uiPriority w:val="0"/>
    <w:pPr>
      <w:widowControl w:val="0"/>
      <w:tabs>
        <w:tab w:val="left" w:pos="851"/>
        <w:tab w:val="left" w:pos="1418"/>
      </w:tabs>
      <w:wordWrap w:val="0"/>
      <w:ind w:firstLine="200" w:firstLineChars="200"/>
      <w:outlineLvl w:val="3"/>
    </w:pPr>
    <w:rPr>
      <w:rFonts w:ascii="仿宋_GB2312" w:hAnsi="Times New Roman" w:eastAsia="仿宋_GB2312" w:cs="Times New Roman"/>
      <w:bCs/>
      <w:kern w:val="2"/>
      <w:sz w:val="28"/>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2022-03-31T07:55:00Z</dcterms:created>
  <dc:creator>seazhao</dc:creator>
  <cp:lastModifiedBy>木子李</cp:lastModifiedBy>
  <cp:lastPrinted>2022-04-25T06:40:40Z</cp:lastPrinted>
  <dcterms:modified xsi:type="dcterms:W3CDTF">2022-04-25T06:40:56Z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B603F94D075C40BC984ADDD5A4BC6541</vt:lpwstr>
  </property>
</Properties>
</file>