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val="0"/>
        <w:bidi w:val="0"/>
        <w:adjustRightInd/>
        <w:snapToGrid/>
        <w:spacing w:line="360" w:lineRule="auto"/>
        <w:ind w:left="0"/>
        <w:textAlignment w:val="auto"/>
        <w:rPr>
          <w:rFonts w:hint="default" w:asciiTheme="majorEastAsia" w:hAnsiTheme="majorEastAsia" w:eastAsiaTheme="majorEastAsia"/>
          <w:b/>
          <w:spacing w:val="0"/>
          <w:sz w:val="28"/>
          <w:szCs w:val="28"/>
          <w:lang w:val="en-US" w:eastAsia="zh-CN"/>
        </w:rPr>
      </w:pPr>
      <w:r>
        <w:rPr>
          <w:rFonts w:hint="eastAsia" w:asciiTheme="majorEastAsia" w:hAnsiTheme="majorEastAsia" w:eastAsiaTheme="majorEastAsia"/>
          <w:b/>
          <w:spacing w:val="0"/>
          <w:sz w:val="28"/>
          <w:szCs w:val="28"/>
          <w:lang w:val="en-US" w:eastAsia="zh-CN"/>
        </w:rPr>
        <w:t>附件3.技术要求</w:t>
      </w:r>
    </w:p>
    <w:p>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rPr>
          <w:rFonts w:hint="eastAsia" w:asciiTheme="majorEastAsia" w:hAnsiTheme="majorEastAsia" w:eastAsiaTheme="majorEastAsia"/>
          <w:b/>
          <w:spacing w:val="0"/>
          <w:sz w:val="28"/>
          <w:szCs w:val="28"/>
        </w:rPr>
      </w:pPr>
      <w:r>
        <w:rPr>
          <w:rFonts w:hint="eastAsia" w:asciiTheme="majorEastAsia" w:hAnsiTheme="majorEastAsia" w:eastAsiaTheme="majorEastAsia"/>
          <w:b/>
          <w:spacing w:val="0"/>
          <w:sz w:val="28"/>
          <w:szCs w:val="28"/>
          <w:lang w:val="en-US" w:eastAsia="zh-CN"/>
        </w:rPr>
        <w:t>技术</w:t>
      </w:r>
      <w:r>
        <w:rPr>
          <w:rFonts w:hint="eastAsia" w:asciiTheme="majorEastAsia" w:hAnsiTheme="majorEastAsia" w:eastAsiaTheme="majorEastAsia"/>
          <w:b/>
          <w:spacing w:val="0"/>
          <w:sz w:val="28"/>
          <w:szCs w:val="28"/>
        </w:rPr>
        <w:t>要求</w:t>
      </w:r>
    </w:p>
    <w:p>
      <w:pPr>
        <w:pStyle w:val="2"/>
        <w:keepNext w:val="0"/>
        <w:keepLines w:val="0"/>
        <w:pageBreakBefore w:val="0"/>
        <w:widowControl w:val="0"/>
        <w:kinsoku/>
        <w:overflowPunct/>
        <w:topLinePunct w:val="0"/>
        <w:autoSpaceDE w:val="0"/>
        <w:autoSpaceDN w:val="0"/>
        <w:bidi w:val="0"/>
        <w:adjustRightInd/>
        <w:snapToGrid/>
        <w:spacing w:line="360" w:lineRule="auto"/>
        <w:ind w:left="0"/>
        <w:textAlignment w:val="auto"/>
      </w:pPr>
    </w:p>
    <w:p>
      <w:pPr>
        <w:keepNext w:val="0"/>
        <w:keepLines w:val="0"/>
        <w:pageBreakBefore w:val="0"/>
        <w:widowControl w:val="0"/>
        <w:numPr>
          <w:ilvl w:val="0"/>
          <w:numId w:val="1"/>
        </w:numPr>
        <w:kinsoku/>
        <w:overflowPunct/>
        <w:topLinePunct w:val="0"/>
        <w:autoSpaceDE w:val="0"/>
        <w:autoSpaceDN w:val="0"/>
        <w:bidi w:val="0"/>
        <w:adjustRightInd/>
        <w:snapToGrid/>
        <w:spacing w:line="360" w:lineRule="auto"/>
        <w:ind w:left="0"/>
        <w:textAlignment w:val="auto"/>
        <w:rPr>
          <w:rFonts w:asciiTheme="minorEastAsia" w:hAnsiTheme="minorEastAsia" w:eastAsiaTheme="minorEastAsia"/>
          <w:b/>
          <w:spacing w:val="0"/>
          <w:sz w:val="24"/>
          <w:szCs w:val="24"/>
        </w:rPr>
      </w:pPr>
      <w:r>
        <w:rPr>
          <w:rFonts w:asciiTheme="minorEastAsia" w:hAnsiTheme="minorEastAsia" w:eastAsiaTheme="minorEastAsia"/>
          <w:b/>
          <w:spacing w:val="0"/>
          <w:sz w:val="24"/>
          <w:szCs w:val="24"/>
        </w:rPr>
        <w:t>项目概况及总体要求</w:t>
      </w:r>
      <w:bookmarkStart w:id="0" w:name="_Toc90755934"/>
    </w:p>
    <w:p>
      <w:pPr>
        <w:keepNext w:val="0"/>
        <w:keepLines w:val="0"/>
        <w:pageBreakBefore w:val="0"/>
        <w:widowControl w:val="0"/>
        <w:numPr>
          <w:ilvl w:val="0"/>
          <w:numId w:val="0"/>
        </w:numPr>
        <w:kinsoku/>
        <w:overflowPunct/>
        <w:topLinePunct w:val="0"/>
        <w:autoSpaceDE w:val="0"/>
        <w:autoSpaceDN w:val="0"/>
        <w:bidi w:val="0"/>
        <w:adjustRightInd/>
        <w:snapToGrid/>
        <w:spacing w:line="360" w:lineRule="auto"/>
        <w:ind w:left="0" w:firstLine="480" w:firstLineChars="200"/>
        <w:textAlignment w:val="auto"/>
        <w:rPr>
          <w:rFonts w:hint="eastAsia" w:cs="宋体" w:asciiTheme="minorEastAsia" w:hAnsiTheme="minorEastAsia" w:eastAsiaTheme="minorEastAsia"/>
          <w:b w:val="0"/>
          <w:bCs w:val="0"/>
          <w:spacing w:val="0"/>
          <w:sz w:val="24"/>
          <w:szCs w:val="24"/>
        </w:rPr>
      </w:pPr>
      <w:r>
        <w:rPr>
          <w:rFonts w:hint="eastAsia" w:cs="宋体" w:asciiTheme="minorEastAsia" w:hAnsiTheme="minorEastAsia" w:eastAsiaTheme="minorEastAsia"/>
          <w:b w:val="0"/>
          <w:bCs w:val="0"/>
          <w:spacing w:val="0"/>
          <w:sz w:val="24"/>
          <w:szCs w:val="24"/>
        </w:rPr>
        <w:t>本次钢绞线采购涉及的项目是内蒙古路桥集团有限责任公司承建的</w:t>
      </w:r>
      <w:r>
        <w:rPr>
          <w:rFonts w:cs="宋体" w:asciiTheme="minorEastAsia" w:hAnsiTheme="minorEastAsia" w:eastAsiaTheme="minorEastAsia"/>
          <w:b w:val="0"/>
          <w:bCs w:val="0"/>
          <w:spacing w:val="0"/>
          <w:sz w:val="24"/>
          <w:szCs w:val="24"/>
        </w:rPr>
        <w:t>S43机场高速公路项目</w:t>
      </w:r>
      <w:r>
        <w:rPr>
          <w:rFonts w:hint="eastAsia" w:cs="宋体" w:asciiTheme="minorEastAsia" w:hAnsiTheme="minorEastAsia" w:eastAsiaTheme="minorEastAsia"/>
          <w:b w:val="0"/>
          <w:bCs w:val="0"/>
          <w:spacing w:val="0"/>
          <w:sz w:val="24"/>
          <w:szCs w:val="24"/>
        </w:rPr>
        <w:t>，具体概况如下：</w:t>
      </w:r>
      <w:bookmarkEnd w:id="0"/>
    </w:p>
    <w:p>
      <w:pPr>
        <w:keepNext w:val="0"/>
        <w:keepLines w:val="0"/>
        <w:pageBreakBefore w:val="0"/>
        <w:widowControl w:val="0"/>
        <w:numPr>
          <w:ilvl w:val="0"/>
          <w:numId w:val="2"/>
        </w:numPr>
        <w:kinsoku/>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spacing w:val="0"/>
          <w:sz w:val="24"/>
          <w:szCs w:val="24"/>
        </w:rPr>
      </w:pPr>
      <w:r>
        <w:rPr>
          <w:rFonts w:asciiTheme="minorEastAsia" w:hAnsiTheme="minorEastAsia" w:eastAsiaTheme="minorEastAsia"/>
          <w:spacing w:val="0"/>
          <w:sz w:val="24"/>
          <w:szCs w:val="24"/>
        </w:rPr>
        <w:t>S43机场高速公路项目</w:t>
      </w:r>
      <w:r>
        <w:rPr>
          <w:rFonts w:hint="eastAsia" w:asciiTheme="minorEastAsia" w:hAnsiTheme="minorEastAsia" w:eastAsiaTheme="minorEastAsia"/>
          <w:spacing w:val="0"/>
          <w:sz w:val="24"/>
          <w:szCs w:val="24"/>
        </w:rPr>
        <w:t>：S43呼和浩特机场高速公路是呼和浩特市区通往新机场、和林格尔新区的重要公路通道，也是自治区重点公路建设项目，该项目于2017年6月27日经自治区发改委内发改基础字〔2017〕776号批复工可研报告，主线全长29.7公里，采用双向八车道高速公路标准建设，总投资概算96.8亿元。2018年3月，呼和浩特市人民政府采用公开招标方式确定内蒙古高等级公路建设开发有限责任公司和内蒙古路桥集团有限责任公司联合体为项目社会投资人。</w:t>
      </w:r>
    </w:p>
    <w:p>
      <w:pPr>
        <w:keepNext w:val="0"/>
        <w:keepLines w:val="0"/>
        <w:pageBreakBefore w:val="0"/>
        <w:widowControl w:val="0"/>
        <w:numPr>
          <w:ilvl w:val="0"/>
          <w:numId w:val="2"/>
        </w:numPr>
        <w:kinsoku/>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省道311线武川至杨树坝公路项目：省道311线武川至杨树坝段一级</w:t>
      </w:r>
      <w:r>
        <w:rPr>
          <w:rFonts w:hint="eastAsia" w:asciiTheme="minorEastAsia" w:hAnsiTheme="minorEastAsia" w:eastAsiaTheme="minorEastAsia"/>
          <w:spacing w:val="0"/>
          <w:sz w:val="24"/>
          <w:szCs w:val="24"/>
          <w:lang w:val="en-US" w:eastAsia="zh-CN"/>
        </w:rPr>
        <w:t>公路</w:t>
      </w:r>
      <w:r>
        <w:rPr>
          <w:rFonts w:hint="eastAsia" w:asciiTheme="minorEastAsia" w:hAnsiTheme="minorEastAsia" w:eastAsiaTheme="minorEastAsia"/>
          <w:spacing w:val="0"/>
          <w:sz w:val="24"/>
          <w:szCs w:val="24"/>
        </w:rPr>
        <w:t>继国道110之后又一条东西横向通道，是自治区省道网规划重要组成部分。项目主线起讫桩号K0+000-K19+000，设计速度80km/h，双向4车道，整体式路基宽度25.5m，汽车荷载等级为公路-Ⅰ级标准。其中含武川南枢纽互通立交一处，位于武川县南侧，互通桩号MR-K1+165-MRK0+860,其形式为双喇叭互通，设计有环形匝道，实现G209、S104及武川县市政道路之间的交通转换。武川西互通与张正恒沟西侧连接线相接。</w:t>
      </w:r>
    </w:p>
    <w:p>
      <w:pPr>
        <w:keepNext w:val="0"/>
        <w:keepLines w:val="0"/>
        <w:pageBreakBefore w:val="0"/>
        <w:widowControl w:val="0"/>
        <w:numPr>
          <w:ilvl w:val="0"/>
          <w:numId w:val="2"/>
        </w:numPr>
        <w:kinsoku/>
        <w:overflowPunct/>
        <w:topLinePunct w:val="0"/>
        <w:autoSpaceDE w:val="0"/>
        <w:autoSpaceDN w:val="0"/>
        <w:bidi w:val="0"/>
        <w:adjustRightInd/>
        <w:snapToGrid/>
        <w:spacing w:line="360" w:lineRule="auto"/>
        <w:ind w:left="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S29呼和浩特至凉城高速公路项目：S29呼和浩特至凉城高速公路第二合同段全长14.743km；采用高速公路标准设计，设计行车速度100km/h；第二合同段起点位于赛罕区金河镇格此老村境内，途经黄河少镇、新脑包村、朱亥村、老丈夭村，终点与已建成的呼凉丰一级公路顺接。项目路线横跨X004、S102两条主要干道，位于黄河少镇2km处设互通1处。</w:t>
      </w:r>
    </w:p>
    <w:p>
      <w:pPr>
        <w:pStyle w:val="2"/>
        <w:keepNext w:val="0"/>
        <w:keepLines w:val="0"/>
        <w:pageBreakBefore w:val="0"/>
        <w:widowControl w:val="0"/>
        <w:numPr>
          <w:ilvl w:val="0"/>
          <w:numId w:val="2"/>
        </w:numPr>
        <w:kinsoku/>
        <w:overflowPunct/>
        <w:topLinePunct w:val="0"/>
        <w:autoSpaceDE w:val="0"/>
        <w:autoSpaceDN w:val="0"/>
        <w:bidi w:val="0"/>
        <w:adjustRightInd/>
        <w:snapToGrid/>
        <w:spacing w:line="360" w:lineRule="auto"/>
        <w:ind w:left="0" w:leftChars="0" w:firstLine="480" w:firstLineChars="200"/>
        <w:textAlignment w:val="auto"/>
        <w:rPr>
          <w:rFonts w:hint="eastAsia" w:cs="宋体" w:asciiTheme="minorEastAsia" w:hAnsiTheme="minorEastAsia" w:eastAsiaTheme="minorEastAsia"/>
          <w:spacing w:val="0"/>
          <w:sz w:val="24"/>
          <w:szCs w:val="24"/>
          <w:lang w:val="zh-CN" w:eastAsia="zh-CN" w:bidi="zh-CN"/>
        </w:rPr>
      </w:pPr>
      <w:r>
        <w:rPr>
          <w:rFonts w:hint="eastAsia" w:cs="宋体" w:asciiTheme="minorEastAsia" w:hAnsiTheme="minorEastAsia" w:eastAsiaTheme="minorEastAsia"/>
          <w:spacing w:val="0"/>
          <w:sz w:val="24"/>
          <w:szCs w:val="24"/>
          <w:lang w:val="zh-CN" w:eastAsia="zh-CN" w:bidi="zh-CN"/>
        </w:rPr>
        <w:t>安业至公主埂段AGZCB-2标：本项目为</w:t>
      </w:r>
      <w:r>
        <w:rPr>
          <w:rFonts w:hint="eastAsia" w:cs="宋体" w:asciiTheme="minorEastAsia" w:hAnsiTheme="minorEastAsia" w:eastAsiaTheme="minorEastAsia"/>
          <w:spacing w:val="0"/>
          <w:sz w:val="24"/>
          <w:szCs w:val="24"/>
          <w:lang w:val="en-US" w:eastAsia="zh-CN" w:bidi="zh-CN"/>
        </w:rPr>
        <w:t>一级路改高速公路</w:t>
      </w:r>
      <w:r>
        <w:rPr>
          <w:rFonts w:hint="eastAsia" w:cs="宋体" w:asciiTheme="minorEastAsia" w:hAnsiTheme="minorEastAsia" w:eastAsiaTheme="minorEastAsia"/>
          <w:spacing w:val="0"/>
          <w:sz w:val="24"/>
          <w:szCs w:val="24"/>
          <w:lang w:val="zh-CN" w:eastAsia="zh-CN" w:bidi="zh-CN"/>
        </w:rPr>
        <w:t>改建项目，本标段主线起点桩号：K2</w:t>
      </w:r>
      <w:r>
        <w:rPr>
          <w:rFonts w:hint="eastAsia" w:cs="宋体" w:asciiTheme="minorEastAsia" w:hAnsiTheme="minorEastAsia" w:eastAsiaTheme="minorEastAsia"/>
          <w:spacing w:val="0"/>
          <w:sz w:val="24"/>
          <w:szCs w:val="24"/>
          <w:lang w:val="en-US" w:eastAsia="zh-CN" w:bidi="zh-CN"/>
        </w:rPr>
        <w:t>10</w:t>
      </w:r>
      <w:r>
        <w:rPr>
          <w:rFonts w:hint="eastAsia" w:cs="宋体" w:asciiTheme="minorEastAsia" w:hAnsiTheme="minorEastAsia" w:eastAsiaTheme="minorEastAsia"/>
          <w:spacing w:val="0"/>
          <w:sz w:val="24"/>
          <w:szCs w:val="24"/>
          <w:lang w:val="zh-CN" w:eastAsia="zh-CN" w:bidi="zh-CN"/>
        </w:rPr>
        <w:t>+000，终点桩号：K245+867全长</w:t>
      </w:r>
      <w:r>
        <w:rPr>
          <w:rFonts w:hint="eastAsia" w:cs="宋体" w:asciiTheme="minorEastAsia" w:hAnsiTheme="minorEastAsia" w:eastAsiaTheme="minorEastAsia"/>
          <w:spacing w:val="0"/>
          <w:sz w:val="24"/>
          <w:szCs w:val="24"/>
          <w:lang w:val="en-US" w:eastAsia="zh-CN" w:bidi="zh-CN"/>
        </w:rPr>
        <w:t>35.867Km；</w:t>
      </w:r>
      <w:r>
        <w:rPr>
          <w:rFonts w:hint="eastAsia" w:cs="宋体" w:asciiTheme="minorEastAsia" w:hAnsiTheme="minorEastAsia" w:eastAsiaTheme="minorEastAsia"/>
          <w:spacing w:val="0"/>
          <w:sz w:val="24"/>
          <w:szCs w:val="24"/>
          <w:lang w:val="zh-CN" w:eastAsia="zh-CN" w:bidi="zh-CN"/>
        </w:rPr>
        <w:t>辅道起点桩号FK</w:t>
      </w:r>
      <w:r>
        <w:rPr>
          <w:rFonts w:hint="eastAsia" w:cs="宋体" w:asciiTheme="minorEastAsia" w:hAnsiTheme="minorEastAsia" w:eastAsiaTheme="minorEastAsia"/>
          <w:spacing w:val="0"/>
          <w:sz w:val="24"/>
          <w:szCs w:val="24"/>
          <w:lang w:val="en-US" w:eastAsia="zh-CN" w:bidi="zh-CN"/>
        </w:rPr>
        <w:t>33</w:t>
      </w:r>
      <w:r>
        <w:rPr>
          <w:rFonts w:hint="eastAsia" w:cs="宋体" w:asciiTheme="minorEastAsia" w:hAnsiTheme="minorEastAsia" w:eastAsiaTheme="minorEastAsia"/>
          <w:spacing w:val="0"/>
          <w:sz w:val="24"/>
          <w:szCs w:val="24"/>
          <w:lang w:val="zh-CN" w:eastAsia="zh-CN" w:bidi="zh-CN"/>
        </w:rPr>
        <w:t>+000，终点桩号：FK71+384，全长</w:t>
      </w:r>
      <w:r>
        <w:rPr>
          <w:rFonts w:hint="eastAsia" w:cs="宋体" w:asciiTheme="minorEastAsia" w:hAnsiTheme="minorEastAsia" w:eastAsiaTheme="minorEastAsia"/>
          <w:spacing w:val="0"/>
          <w:sz w:val="24"/>
          <w:szCs w:val="24"/>
          <w:lang w:val="en-US" w:eastAsia="zh-CN" w:bidi="zh-CN"/>
        </w:rPr>
        <w:t>38.37Km。全线</w:t>
      </w:r>
      <w:r>
        <w:rPr>
          <w:rFonts w:hint="eastAsia" w:cs="宋体" w:asciiTheme="minorEastAsia" w:hAnsiTheme="minorEastAsia" w:eastAsiaTheme="minorEastAsia"/>
          <w:spacing w:val="0"/>
          <w:sz w:val="24"/>
          <w:szCs w:val="24"/>
          <w:lang w:val="zh-CN" w:eastAsia="zh-CN" w:bidi="zh-CN"/>
        </w:rPr>
        <w:t>设宝力根陶海互通</w:t>
      </w:r>
      <w:r>
        <w:rPr>
          <w:rFonts w:hint="eastAsia" w:cs="宋体" w:asciiTheme="minorEastAsia" w:hAnsiTheme="minorEastAsia" w:eastAsiaTheme="minorEastAsia"/>
          <w:spacing w:val="0"/>
          <w:sz w:val="24"/>
          <w:szCs w:val="24"/>
          <w:lang w:val="en-US" w:eastAsia="zh-CN" w:bidi="zh-CN"/>
        </w:rPr>
        <w:t>1处；</w:t>
      </w:r>
      <w:r>
        <w:rPr>
          <w:rFonts w:hint="eastAsia" w:cs="宋体" w:asciiTheme="minorEastAsia" w:hAnsiTheme="minorEastAsia" w:eastAsiaTheme="minorEastAsia"/>
          <w:spacing w:val="0"/>
          <w:sz w:val="24"/>
          <w:szCs w:val="24"/>
          <w:lang w:val="zh-CN" w:eastAsia="zh-CN" w:bidi="zh-CN"/>
        </w:rPr>
        <w:t>宝力根陶海服务区</w:t>
      </w:r>
      <w:r>
        <w:rPr>
          <w:rFonts w:hint="eastAsia" w:cs="宋体" w:asciiTheme="minorEastAsia" w:hAnsiTheme="minorEastAsia" w:eastAsiaTheme="minorEastAsia"/>
          <w:spacing w:val="0"/>
          <w:sz w:val="24"/>
          <w:szCs w:val="24"/>
          <w:lang w:val="en-US" w:eastAsia="zh-CN" w:bidi="zh-CN"/>
        </w:rPr>
        <w:t>1处</w:t>
      </w:r>
      <w:r>
        <w:rPr>
          <w:rFonts w:hint="eastAsia" w:cs="宋体" w:asciiTheme="minorEastAsia" w:hAnsiTheme="minorEastAsia" w:eastAsiaTheme="minorEastAsia"/>
          <w:spacing w:val="0"/>
          <w:sz w:val="24"/>
          <w:szCs w:val="24"/>
          <w:lang w:val="zh-CN" w:eastAsia="zh-CN" w:bidi="zh-CN"/>
        </w:rPr>
        <w:t>；房建设施有：宝力根陶海互通收费站和宝力根陶海服务区（养护工区）。</w:t>
      </w:r>
    </w:p>
    <w:p>
      <w:pPr>
        <w:pStyle w:val="2"/>
        <w:keepNext w:val="0"/>
        <w:keepLines w:val="0"/>
        <w:pageBreakBefore w:val="0"/>
        <w:widowControl w:val="0"/>
        <w:numPr>
          <w:ilvl w:val="0"/>
          <w:numId w:val="0"/>
        </w:numPr>
        <w:kinsoku/>
        <w:overflowPunct/>
        <w:topLinePunct w:val="0"/>
        <w:autoSpaceDE w:val="0"/>
        <w:autoSpaceDN w:val="0"/>
        <w:bidi w:val="0"/>
        <w:adjustRightInd/>
        <w:snapToGrid/>
        <w:spacing w:line="360" w:lineRule="auto"/>
        <w:textAlignment w:val="auto"/>
        <w:rPr>
          <w:rFonts w:hint="default" w:cs="宋体" w:asciiTheme="minorEastAsia" w:hAnsiTheme="minorEastAsia" w:eastAsiaTheme="minorEastAsia"/>
          <w:spacing w:val="0"/>
          <w:sz w:val="24"/>
          <w:szCs w:val="24"/>
          <w:lang w:val="en-US" w:eastAsia="zh-CN" w:bidi="zh-CN"/>
        </w:rPr>
      </w:pPr>
    </w:p>
    <w:p>
      <w:pPr>
        <w:pStyle w:val="2"/>
        <w:keepNext w:val="0"/>
        <w:keepLines w:val="0"/>
        <w:pageBreakBefore w:val="0"/>
        <w:widowControl w:val="0"/>
        <w:numPr>
          <w:ilvl w:val="0"/>
          <w:numId w:val="0"/>
        </w:numPr>
        <w:kinsoku/>
        <w:overflowPunct/>
        <w:topLinePunct w:val="0"/>
        <w:autoSpaceDE w:val="0"/>
        <w:autoSpaceDN w:val="0"/>
        <w:bidi w:val="0"/>
        <w:adjustRightInd/>
        <w:snapToGrid/>
        <w:spacing w:line="360" w:lineRule="auto"/>
        <w:textAlignment w:val="auto"/>
        <w:rPr>
          <w:rFonts w:hint="default" w:cs="宋体" w:asciiTheme="minorEastAsia" w:hAnsiTheme="minorEastAsia" w:eastAsiaTheme="minorEastAsia"/>
          <w:spacing w:val="0"/>
          <w:sz w:val="24"/>
          <w:szCs w:val="24"/>
          <w:lang w:val="en-US" w:eastAsia="zh-CN" w:bidi="zh-CN"/>
        </w:rPr>
      </w:pPr>
    </w:p>
    <w:p>
      <w:pPr>
        <w:keepNext w:val="0"/>
        <w:keepLines w:val="0"/>
        <w:pageBreakBefore w:val="0"/>
        <w:widowControl w:val="0"/>
        <w:numPr>
          <w:ilvl w:val="0"/>
          <w:numId w:val="1"/>
        </w:numPr>
        <w:kinsoku/>
        <w:overflowPunct/>
        <w:topLinePunct w:val="0"/>
        <w:autoSpaceDE w:val="0"/>
        <w:autoSpaceDN w:val="0"/>
        <w:bidi w:val="0"/>
        <w:adjustRightInd/>
        <w:snapToGrid/>
        <w:spacing w:line="360" w:lineRule="auto"/>
        <w:ind w:left="0"/>
        <w:textAlignment w:val="auto"/>
        <w:rPr>
          <w:rFonts w:asciiTheme="minorEastAsia" w:hAnsiTheme="minorEastAsia" w:eastAsiaTheme="minorEastAsia"/>
          <w:b/>
          <w:spacing w:val="0"/>
          <w:sz w:val="24"/>
          <w:szCs w:val="24"/>
        </w:rPr>
      </w:pPr>
      <w:r>
        <w:rPr>
          <w:rFonts w:asciiTheme="minorEastAsia" w:hAnsiTheme="minorEastAsia" w:eastAsiaTheme="minorEastAsia"/>
          <w:b/>
          <w:spacing w:val="0"/>
          <w:sz w:val="24"/>
          <w:szCs w:val="24"/>
        </w:rPr>
        <w:t>材料</w:t>
      </w:r>
      <w:r>
        <w:rPr>
          <w:rFonts w:hint="eastAsia" w:asciiTheme="minorEastAsia" w:hAnsiTheme="minorEastAsia" w:eastAsiaTheme="minorEastAsia"/>
          <w:b/>
          <w:color w:val="auto"/>
          <w:spacing w:val="0"/>
          <w:sz w:val="24"/>
          <w:szCs w:val="24"/>
          <w:lang w:val="en-US" w:eastAsia="zh-CN"/>
        </w:rPr>
        <w:t>采购</w:t>
      </w:r>
      <w:r>
        <w:rPr>
          <w:rFonts w:asciiTheme="minorEastAsia" w:hAnsiTheme="minorEastAsia" w:eastAsiaTheme="minorEastAsia"/>
          <w:b/>
          <w:spacing w:val="0"/>
          <w:sz w:val="24"/>
          <w:szCs w:val="24"/>
        </w:rPr>
        <w:t>一览表</w:t>
      </w:r>
    </w:p>
    <w:tbl>
      <w:tblPr>
        <w:tblStyle w:val="5"/>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78"/>
        <w:gridCol w:w="1088"/>
        <w:gridCol w:w="900"/>
        <w:gridCol w:w="2594"/>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4" w:type="dxa"/>
            <w:vAlign w:val="center"/>
          </w:tcPr>
          <w:p>
            <w:pPr>
              <w:pStyle w:val="8"/>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合同</w:t>
            </w:r>
          </w:p>
          <w:p>
            <w:pPr>
              <w:pStyle w:val="8"/>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包号</w:t>
            </w:r>
          </w:p>
        </w:tc>
        <w:tc>
          <w:tcPr>
            <w:tcW w:w="1878" w:type="dxa"/>
            <w:vAlign w:val="center"/>
          </w:tcPr>
          <w:p>
            <w:pPr>
              <w:pStyle w:val="8"/>
              <w:ind w:firstLine="210" w:firstLineChars="10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项 目</w:t>
            </w:r>
          </w:p>
        </w:tc>
        <w:tc>
          <w:tcPr>
            <w:tcW w:w="1088" w:type="dxa"/>
            <w:vAlign w:val="center"/>
          </w:tcPr>
          <w:p>
            <w:pPr>
              <w:pStyle w:val="8"/>
              <w:jc w:val="center"/>
              <w:rPr>
                <w:rFonts w:hint="eastAsia" w:ascii="华文仿宋" w:hAnsi="华文仿宋" w:eastAsia="华文仿宋" w:cs="华文仿宋"/>
                <w:sz w:val="21"/>
                <w:szCs w:val="21"/>
                <w:lang w:val="zh-CN" w:eastAsia="zh-CN" w:bidi="zh-CN"/>
              </w:rPr>
            </w:pPr>
            <w:r>
              <w:rPr>
                <w:rFonts w:hint="eastAsia" w:ascii="华文仿宋" w:hAnsi="华文仿宋" w:eastAsia="华文仿宋" w:cs="华文仿宋"/>
                <w:sz w:val="21"/>
                <w:szCs w:val="21"/>
              </w:rPr>
              <w:t>数量（吨）</w:t>
            </w:r>
          </w:p>
        </w:tc>
        <w:tc>
          <w:tcPr>
            <w:tcW w:w="900" w:type="dxa"/>
            <w:vAlign w:val="center"/>
          </w:tcPr>
          <w:p>
            <w:pPr>
              <w:pStyle w:val="8"/>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小计</w:t>
            </w:r>
          </w:p>
        </w:tc>
        <w:tc>
          <w:tcPr>
            <w:tcW w:w="2594" w:type="dxa"/>
            <w:vAlign w:val="center"/>
          </w:tcPr>
          <w:p>
            <w:pPr>
              <w:pStyle w:val="8"/>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交货地点</w:t>
            </w:r>
          </w:p>
        </w:tc>
        <w:tc>
          <w:tcPr>
            <w:tcW w:w="1913" w:type="dxa"/>
            <w:vAlign w:val="center"/>
          </w:tcPr>
          <w:p>
            <w:pPr>
              <w:pStyle w:val="8"/>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预计供货时间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4" w:type="dxa"/>
            <w:vMerge w:val="restart"/>
            <w:vAlign w:val="center"/>
          </w:tcPr>
          <w:p>
            <w:pPr>
              <w:pStyle w:val="8"/>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GJX1</w:t>
            </w:r>
          </w:p>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S43机场高速公路</w:t>
            </w:r>
          </w:p>
          <w:p>
            <w:pPr>
              <w:pStyle w:val="8"/>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第一项目部</w:t>
            </w:r>
          </w:p>
        </w:tc>
        <w:tc>
          <w:tcPr>
            <w:tcW w:w="1088" w:type="dxa"/>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1165</w:t>
            </w:r>
          </w:p>
        </w:tc>
        <w:tc>
          <w:tcPr>
            <w:tcW w:w="900" w:type="dxa"/>
            <w:vMerge w:val="restart"/>
            <w:vAlign w:val="center"/>
          </w:tcPr>
          <w:p>
            <w:pPr>
              <w:pStyle w:val="8"/>
              <w:jc w:val="center"/>
              <w:rPr>
                <w:rFonts w:hint="default"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14362</w:t>
            </w:r>
          </w:p>
        </w:tc>
        <w:tc>
          <w:tcPr>
            <w:tcW w:w="2594" w:type="dxa"/>
            <w:vAlign w:val="center"/>
          </w:tcPr>
          <w:p>
            <w:pPr>
              <w:pStyle w:val="8"/>
              <w:jc w:val="center"/>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呼和浩特市S43机场高速公路</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第一</w:t>
            </w:r>
            <w:r>
              <w:rPr>
                <w:rFonts w:hint="eastAsia" w:ascii="华文仿宋" w:hAnsi="华文仿宋" w:eastAsia="华文仿宋" w:cs="华文仿宋"/>
                <w:color w:val="000000" w:themeColor="text1"/>
                <w:sz w:val="21"/>
                <w:szCs w:val="21"/>
                <w14:textFill>
                  <w14:solidFill>
                    <w14:schemeClr w14:val="tx1"/>
                  </w14:solidFill>
                </w14:textFill>
              </w:rPr>
              <w:t>项目部</w:t>
            </w:r>
          </w:p>
        </w:tc>
        <w:tc>
          <w:tcPr>
            <w:tcW w:w="1913" w:type="dxa"/>
            <w:vMerge w:val="restart"/>
            <w:vAlign w:val="center"/>
          </w:tcPr>
          <w:p>
            <w:pPr>
              <w:pStyle w:val="8"/>
              <w:jc w:val="center"/>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2022年</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4</w:t>
            </w:r>
            <w:r>
              <w:rPr>
                <w:rFonts w:hint="eastAsia" w:ascii="华文仿宋" w:hAnsi="华文仿宋" w:eastAsia="华文仿宋" w:cs="华文仿宋"/>
                <w:color w:val="000000" w:themeColor="text1"/>
                <w:sz w:val="21"/>
                <w:szCs w:val="21"/>
                <w14:textFill>
                  <w14:solidFill>
                    <w14:schemeClr w14:val="tx1"/>
                  </w14:solidFill>
                </w14:textFill>
              </w:rPr>
              <w:t>月</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30</w:t>
            </w:r>
            <w:r>
              <w:rPr>
                <w:rFonts w:hint="eastAsia" w:ascii="华文仿宋" w:hAnsi="华文仿宋" w:eastAsia="华文仿宋" w:cs="华文仿宋"/>
                <w:color w:val="000000" w:themeColor="text1"/>
                <w:sz w:val="21"/>
                <w:szCs w:val="21"/>
                <w14:textFill>
                  <w14:solidFill>
                    <w14:schemeClr w14:val="tx1"/>
                  </w14:solidFill>
                </w14:textFill>
              </w:rPr>
              <w:t>日至2022年12月31日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S43机场高速公路</w:t>
            </w:r>
          </w:p>
          <w:p>
            <w:pPr>
              <w:pStyle w:val="8"/>
              <w:jc w:val="center"/>
              <w:rPr>
                <w:rFonts w:hint="eastAsia" w:ascii="华文仿宋" w:hAnsi="华文仿宋" w:eastAsia="华文仿宋" w:cs="华文仿宋"/>
                <w:sz w:val="21"/>
                <w:szCs w:val="21"/>
                <w:lang w:val="en-US" w:eastAsia="zh-CN" w:bidi="zh-CN"/>
              </w:rPr>
            </w:pPr>
            <w:r>
              <w:rPr>
                <w:rFonts w:hint="eastAsia" w:ascii="华文仿宋" w:hAnsi="华文仿宋" w:eastAsia="华文仿宋" w:cs="华文仿宋"/>
                <w:sz w:val="21"/>
                <w:szCs w:val="21"/>
                <w:lang w:val="en-US" w:eastAsia="zh-CN"/>
              </w:rPr>
              <w:t>第二项目部</w:t>
            </w:r>
          </w:p>
        </w:tc>
        <w:tc>
          <w:tcPr>
            <w:tcW w:w="1088"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t>2938</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呼和浩特市S43机场高速公路</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第二</w:t>
            </w:r>
            <w:r>
              <w:rPr>
                <w:rFonts w:hint="eastAsia" w:ascii="华文仿宋" w:hAnsi="华文仿宋" w:eastAsia="华文仿宋" w:cs="华文仿宋"/>
                <w:color w:val="000000" w:themeColor="text1"/>
                <w:sz w:val="21"/>
                <w:szCs w:val="21"/>
                <w14:textFill>
                  <w14:solidFill>
                    <w14:schemeClr w14:val="tx1"/>
                  </w14:solidFill>
                </w14:textFill>
              </w:rPr>
              <w:t>项目部</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lang w:val="zh-CN" w:eastAsia="zh-CN" w:bidi="zh-CN"/>
              </w:rPr>
            </w:pPr>
            <w:r>
              <w:rPr>
                <w:rFonts w:hint="eastAsia" w:ascii="华文仿宋" w:hAnsi="华文仿宋" w:eastAsia="华文仿宋" w:cs="华文仿宋"/>
                <w:sz w:val="21"/>
                <w:szCs w:val="21"/>
              </w:rPr>
              <w:t>省道311线</w:t>
            </w:r>
            <w:r>
              <w:rPr>
                <w:rFonts w:hint="eastAsia" w:ascii="华文仿宋" w:hAnsi="华文仿宋" w:eastAsia="华文仿宋" w:cs="华文仿宋"/>
                <w:sz w:val="21"/>
                <w:szCs w:val="21"/>
                <w:lang w:val="en-US" w:eastAsia="zh-CN"/>
              </w:rPr>
              <w:t>武川至杨树坝公路</w:t>
            </w:r>
            <w:r>
              <w:rPr>
                <w:rFonts w:hint="eastAsia" w:ascii="华文仿宋" w:hAnsi="华文仿宋" w:eastAsia="华文仿宋" w:cs="华文仿宋"/>
                <w:sz w:val="21"/>
                <w:szCs w:val="21"/>
                <w:lang w:eastAsia="zh-CN"/>
              </w:rPr>
              <w:t>二标</w:t>
            </w:r>
          </w:p>
        </w:tc>
        <w:tc>
          <w:tcPr>
            <w:tcW w:w="1088"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200</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呼和浩特市武川县WYSG-01合同段项目部</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lang w:val="zh-CN" w:eastAsia="zh-CN" w:bidi="zh-CN"/>
              </w:rPr>
            </w:pPr>
            <w:r>
              <w:rPr>
                <w:rFonts w:hint="eastAsia" w:ascii="华文仿宋" w:hAnsi="华文仿宋" w:eastAsia="华文仿宋" w:cs="华文仿宋"/>
                <w:sz w:val="21"/>
                <w:szCs w:val="21"/>
              </w:rPr>
              <w:t>S29呼凉线</w:t>
            </w:r>
            <w:r>
              <w:rPr>
                <w:rFonts w:hint="eastAsia" w:ascii="华文仿宋" w:hAnsi="华文仿宋" w:eastAsia="华文仿宋" w:cs="华文仿宋"/>
                <w:sz w:val="21"/>
                <w:szCs w:val="21"/>
                <w:lang w:val="en-US" w:eastAsia="zh-CN"/>
              </w:rPr>
              <w:t>呼和浩特至凉城高速公路二标</w:t>
            </w:r>
          </w:p>
        </w:tc>
        <w:tc>
          <w:tcPr>
            <w:tcW w:w="1088"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300</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乌兰察布境内左卫夭村S29呼凉项目</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部</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lang w:val="zh-CN" w:eastAsia="zh-CN" w:bidi="zh-CN"/>
              </w:rPr>
            </w:pPr>
            <w:r>
              <w:rPr>
                <w:rFonts w:hint="eastAsia" w:ascii="华文仿宋" w:hAnsi="华文仿宋" w:eastAsia="华文仿宋" w:cs="华文仿宋"/>
                <w:sz w:val="21"/>
                <w:szCs w:val="21"/>
              </w:rPr>
              <w:t>安业至公主埂段AGZCB-2标</w:t>
            </w:r>
          </w:p>
        </w:tc>
        <w:tc>
          <w:tcPr>
            <w:tcW w:w="1088"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200</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内蒙古锡盟白旗南60KM二标项目部</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S43机场高速公路</w:t>
            </w:r>
          </w:p>
          <w:p>
            <w:pPr>
              <w:pStyle w:val="8"/>
              <w:jc w:val="center"/>
              <w:rPr>
                <w:rFonts w:hint="eastAsia" w:ascii="华文仿宋" w:hAnsi="华文仿宋" w:eastAsia="华文仿宋" w:cs="华文仿宋"/>
                <w:sz w:val="21"/>
                <w:szCs w:val="21"/>
                <w:lang w:val="en-US" w:eastAsia="zh-CN" w:bidi="zh-CN"/>
              </w:rPr>
            </w:pPr>
            <w:r>
              <w:rPr>
                <w:rFonts w:hint="eastAsia" w:ascii="华文仿宋" w:hAnsi="华文仿宋" w:eastAsia="华文仿宋" w:cs="华文仿宋"/>
                <w:sz w:val="21"/>
                <w:szCs w:val="21"/>
                <w:lang w:val="en-US" w:eastAsia="zh-CN"/>
              </w:rPr>
              <w:t>第三项目部</w:t>
            </w:r>
          </w:p>
        </w:tc>
        <w:tc>
          <w:tcPr>
            <w:tcW w:w="1088" w:type="dxa"/>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1428</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呼和浩特市S43机场高速公路</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第三</w:t>
            </w:r>
            <w:r>
              <w:rPr>
                <w:rFonts w:hint="eastAsia" w:ascii="华文仿宋" w:hAnsi="华文仿宋" w:eastAsia="华文仿宋" w:cs="华文仿宋"/>
                <w:color w:val="000000" w:themeColor="text1"/>
                <w:sz w:val="21"/>
                <w:szCs w:val="21"/>
                <w14:textFill>
                  <w14:solidFill>
                    <w14:schemeClr w14:val="tx1"/>
                  </w14:solidFill>
                </w14:textFill>
              </w:rPr>
              <w:t>项目部</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S43机场高速公路</w:t>
            </w:r>
          </w:p>
          <w:p>
            <w:pPr>
              <w:pStyle w:val="8"/>
              <w:jc w:val="center"/>
              <w:rPr>
                <w:rFonts w:hint="eastAsia" w:ascii="华文仿宋" w:hAnsi="华文仿宋" w:eastAsia="华文仿宋" w:cs="华文仿宋"/>
                <w:sz w:val="21"/>
                <w:szCs w:val="21"/>
                <w:lang w:val="en-US" w:eastAsia="zh-CN" w:bidi="zh-CN"/>
              </w:rPr>
            </w:pPr>
            <w:r>
              <w:rPr>
                <w:rFonts w:hint="eastAsia" w:ascii="华文仿宋" w:hAnsi="华文仿宋" w:eastAsia="华文仿宋" w:cs="华文仿宋"/>
                <w:sz w:val="21"/>
                <w:szCs w:val="21"/>
                <w:lang w:val="en-US" w:eastAsia="zh-CN"/>
              </w:rPr>
              <w:t>第三项目部预制厂</w:t>
            </w:r>
          </w:p>
        </w:tc>
        <w:tc>
          <w:tcPr>
            <w:tcW w:w="1088" w:type="dxa"/>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3385</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呼和浩特市S43机场高速公路</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第三</w:t>
            </w:r>
            <w:r>
              <w:rPr>
                <w:rFonts w:hint="eastAsia" w:ascii="华文仿宋" w:hAnsi="华文仿宋" w:eastAsia="华文仿宋" w:cs="华文仿宋"/>
                <w:color w:val="000000" w:themeColor="text1"/>
                <w:sz w:val="21"/>
                <w:szCs w:val="21"/>
                <w14:textFill>
                  <w14:solidFill>
                    <w14:schemeClr w14:val="tx1"/>
                  </w14:solidFill>
                </w14:textFill>
              </w:rPr>
              <w:t>项目部</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预制厂</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24" w:type="dxa"/>
            <w:vMerge w:val="continue"/>
            <w:vAlign w:val="center"/>
          </w:tcPr>
          <w:p>
            <w:pPr>
              <w:pStyle w:val="8"/>
              <w:jc w:val="center"/>
              <w:rPr>
                <w:rFonts w:hint="eastAsia" w:ascii="华文仿宋" w:hAnsi="华文仿宋" w:eastAsia="华文仿宋" w:cs="华文仿宋"/>
                <w:sz w:val="21"/>
                <w:szCs w:val="21"/>
                <w:lang w:val="en-US" w:eastAsia="zh-CN"/>
              </w:rPr>
            </w:pPr>
          </w:p>
        </w:tc>
        <w:tc>
          <w:tcPr>
            <w:tcW w:w="1878" w:type="dxa"/>
            <w:vAlign w:val="center"/>
          </w:tcPr>
          <w:p>
            <w:pPr>
              <w:pStyle w:val="8"/>
              <w:jc w:val="center"/>
              <w:rPr>
                <w:rFonts w:hint="eastAsia" w:ascii="华文仿宋" w:hAnsi="华文仿宋" w:eastAsia="华文仿宋" w:cs="华文仿宋"/>
                <w:sz w:val="21"/>
                <w:szCs w:val="21"/>
                <w:lang w:val="en-US" w:eastAsia="zh-CN" w:bidi="zh-CN"/>
              </w:rPr>
            </w:pPr>
            <w:r>
              <w:rPr>
                <w:rFonts w:hint="eastAsia" w:ascii="华文仿宋" w:hAnsi="华文仿宋" w:eastAsia="华文仿宋" w:cs="华文仿宋"/>
                <w:sz w:val="21"/>
                <w:szCs w:val="21"/>
              </w:rPr>
              <w:t>S43机场高速公路</w:t>
            </w:r>
            <w:r>
              <w:rPr>
                <w:rFonts w:hint="eastAsia" w:ascii="华文仿宋" w:hAnsi="华文仿宋" w:eastAsia="华文仿宋" w:cs="华文仿宋"/>
                <w:sz w:val="21"/>
                <w:szCs w:val="21"/>
                <w:lang w:val="en-US" w:eastAsia="zh-CN"/>
              </w:rPr>
              <w:t>第四项目部</w:t>
            </w:r>
          </w:p>
        </w:tc>
        <w:tc>
          <w:tcPr>
            <w:tcW w:w="1088" w:type="dxa"/>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4746</w:t>
            </w:r>
          </w:p>
        </w:tc>
        <w:tc>
          <w:tcPr>
            <w:tcW w:w="900" w:type="dxa"/>
            <w:vMerge w:val="continue"/>
            <w:vAlign w:val="center"/>
          </w:tcPr>
          <w:p>
            <w:pPr>
              <w:pStyle w:val="8"/>
              <w:jc w:val="center"/>
              <w:rPr>
                <w:rFonts w:hint="eastAsia" w:ascii="华文仿宋" w:hAnsi="华文仿宋" w:eastAsia="华文仿宋" w:cs="华文仿宋"/>
                <w:color w:val="000000" w:themeColor="text1"/>
                <w:sz w:val="21"/>
                <w:szCs w:val="21"/>
                <w:lang w:val="en-US" w:eastAsia="zh-CN" w:bidi="zh-CN"/>
                <w14:textFill>
                  <w14:solidFill>
                    <w14:schemeClr w14:val="tx1"/>
                  </w14:solidFill>
                </w14:textFill>
              </w:rPr>
            </w:pPr>
          </w:p>
        </w:tc>
        <w:tc>
          <w:tcPr>
            <w:tcW w:w="2594" w:type="dxa"/>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呼和浩特市S43新机场高速公路</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第四</w:t>
            </w:r>
            <w:r>
              <w:rPr>
                <w:rFonts w:hint="eastAsia" w:ascii="华文仿宋" w:hAnsi="华文仿宋" w:eastAsia="华文仿宋" w:cs="华文仿宋"/>
                <w:color w:val="000000" w:themeColor="text1"/>
                <w:sz w:val="21"/>
                <w:szCs w:val="21"/>
                <w14:textFill>
                  <w14:solidFill>
                    <w14:schemeClr w14:val="tx1"/>
                  </w14:solidFill>
                </w14:textFill>
              </w:rPr>
              <w:t>项目部</w:t>
            </w:r>
          </w:p>
        </w:tc>
        <w:tc>
          <w:tcPr>
            <w:tcW w:w="1913" w:type="dxa"/>
            <w:vMerge w:val="continue"/>
            <w:vAlign w:val="center"/>
          </w:tcPr>
          <w:p>
            <w:pPr>
              <w:pStyle w:val="8"/>
              <w:jc w:val="center"/>
              <w:rPr>
                <w:rFonts w:hint="eastAsia" w:ascii="华文仿宋" w:hAnsi="华文仿宋" w:eastAsia="华文仿宋" w:cs="华文仿宋"/>
                <w:color w:val="000000" w:themeColor="text1"/>
                <w:sz w:val="21"/>
                <w:szCs w:val="21"/>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24" w:type="dxa"/>
            <w:vAlign w:val="center"/>
          </w:tcPr>
          <w:p>
            <w:pPr>
              <w:pStyle w:val="8"/>
              <w:rPr>
                <w:rFonts w:hint="eastAsia" w:ascii="华文仿宋" w:hAnsi="华文仿宋" w:eastAsia="华文仿宋" w:cs="华文仿宋"/>
                <w:sz w:val="21"/>
                <w:szCs w:val="21"/>
              </w:rPr>
            </w:pPr>
          </w:p>
        </w:tc>
        <w:tc>
          <w:tcPr>
            <w:tcW w:w="8373" w:type="dxa"/>
            <w:gridSpan w:val="5"/>
            <w:vAlign w:val="center"/>
          </w:tcPr>
          <w:p>
            <w:pPr>
              <w:pStyle w:val="8"/>
              <w:jc w:val="left"/>
              <w:rPr>
                <w:rFonts w:hint="eastAsia"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注：①预应力钢绞线：采用抗拉强度标准值fpk=1860Mpa,公称直径d=15.2mmr 低松弛高强度钢绞线，其力学性能指标应符合《预应力混凝用钢绞线》（GB/T5224-2014）的规定及本招标文件中技术要求</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w:t>
            </w:r>
          </w:p>
          <w:p>
            <w:pPr>
              <w:pStyle w:val="8"/>
              <w:ind w:firstLine="420" w:firstLineChars="200"/>
              <w:jc w:val="left"/>
              <w:rPr>
                <w:rFonts w:hint="eastAsia" w:ascii="华文仿宋" w:hAnsi="华文仿宋" w:eastAsia="华文仿宋" w:cs="华文仿宋"/>
                <w:sz w:val="21"/>
                <w:szCs w:val="21"/>
              </w:rPr>
            </w:pPr>
            <w:r>
              <w:rPr>
                <w:rFonts w:hint="eastAsia" w:ascii="华文仿宋" w:hAnsi="华文仿宋" w:eastAsia="华文仿宋" w:cs="华文仿宋"/>
                <w:color w:val="000000" w:themeColor="text1"/>
                <w:sz w:val="21"/>
                <w:szCs w:val="21"/>
                <w14:textFill>
                  <w14:solidFill>
                    <w14:schemeClr w14:val="tx1"/>
                  </w14:solidFill>
                </w14:textFill>
              </w:rPr>
              <w:t>②采购数量为计划数量，最终结算以实际用量为准。</w:t>
            </w:r>
          </w:p>
        </w:tc>
      </w:tr>
    </w:tbl>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2" w:firstLineChars="200"/>
        <w:textAlignment w:val="auto"/>
        <w:rPr>
          <w:rFonts w:asciiTheme="minorEastAsia" w:hAnsiTheme="minorEastAsia" w:eastAsiaTheme="minorEastAsia"/>
          <w:b/>
          <w:spacing w:val="0"/>
          <w:sz w:val="24"/>
          <w:szCs w:val="24"/>
        </w:rPr>
      </w:pPr>
      <w:r>
        <w:rPr>
          <w:rFonts w:hint="eastAsia" w:asciiTheme="minorEastAsia" w:hAnsiTheme="minorEastAsia" w:eastAsiaTheme="minorEastAsia"/>
          <w:b/>
          <w:spacing w:val="0"/>
          <w:sz w:val="24"/>
          <w:szCs w:val="24"/>
        </w:rPr>
        <w:t>注：表中列明的交货地点只作为</w:t>
      </w:r>
      <w:r>
        <w:rPr>
          <w:rFonts w:hint="eastAsia" w:asciiTheme="minorEastAsia" w:hAnsiTheme="minorEastAsia" w:eastAsiaTheme="minorEastAsia"/>
          <w:b/>
          <w:spacing w:val="0"/>
          <w:sz w:val="24"/>
          <w:szCs w:val="24"/>
          <w:lang w:val="en-US" w:eastAsia="zh-CN"/>
        </w:rPr>
        <w:t>报价</w:t>
      </w:r>
      <w:r>
        <w:rPr>
          <w:rFonts w:hint="eastAsia" w:asciiTheme="minorEastAsia" w:hAnsiTheme="minorEastAsia" w:eastAsiaTheme="minorEastAsia"/>
          <w:b/>
          <w:spacing w:val="0"/>
          <w:sz w:val="24"/>
          <w:szCs w:val="24"/>
        </w:rPr>
        <w:t>的共同基础。在合同执行过程中，运输里程</w:t>
      </w:r>
      <w:r>
        <w:rPr>
          <w:rFonts w:hint="eastAsia" w:asciiTheme="minorEastAsia" w:hAnsiTheme="minorEastAsia" w:eastAsiaTheme="minorEastAsia"/>
          <w:b/>
          <w:spacing w:val="0"/>
          <w:sz w:val="24"/>
          <w:szCs w:val="24"/>
          <w:lang w:val="en-US"/>
        </w:rPr>
        <w:t>不</w:t>
      </w:r>
      <w:r>
        <w:rPr>
          <w:rFonts w:hint="eastAsia" w:asciiTheme="minorEastAsia" w:hAnsiTheme="minorEastAsia" w:eastAsiaTheme="minorEastAsia"/>
          <w:b/>
          <w:spacing w:val="0"/>
          <w:sz w:val="24"/>
          <w:szCs w:val="24"/>
        </w:rPr>
        <w:t>调整。</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textAlignment w:val="auto"/>
        <w:rPr>
          <w:rFonts w:asciiTheme="minorEastAsia" w:hAnsiTheme="minorEastAsia" w:eastAsiaTheme="minorEastAsia"/>
          <w:b/>
          <w:bCs w:val="0"/>
          <w:spacing w:val="0"/>
          <w:sz w:val="24"/>
          <w:szCs w:val="24"/>
        </w:rPr>
      </w:pPr>
      <w:r>
        <w:rPr>
          <w:rFonts w:asciiTheme="minorEastAsia" w:hAnsiTheme="minorEastAsia" w:eastAsiaTheme="minorEastAsia"/>
          <w:b/>
          <w:bCs w:val="0"/>
          <w:spacing w:val="0"/>
          <w:sz w:val="24"/>
          <w:szCs w:val="24"/>
        </w:rPr>
        <w:t>三、质量标准</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本次采购材料要求：</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（1）按</w:t>
      </w:r>
      <w:r>
        <w:rPr>
          <w:rFonts w:hint="eastAsia" w:asciiTheme="minorEastAsia" w:hAnsiTheme="minorEastAsia" w:eastAsiaTheme="minorEastAsia"/>
          <w:spacing w:val="0"/>
          <w:sz w:val="24"/>
          <w:szCs w:val="24"/>
          <w:lang w:eastAsia="zh-CN"/>
        </w:rPr>
        <w:t>采购人</w:t>
      </w:r>
      <w:r>
        <w:rPr>
          <w:rFonts w:hint="eastAsia" w:asciiTheme="minorEastAsia" w:hAnsiTheme="minorEastAsia" w:eastAsiaTheme="minorEastAsia"/>
          <w:spacing w:val="0"/>
          <w:sz w:val="24"/>
          <w:szCs w:val="24"/>
        </w:rPr>
        <w:t>施工规定的设计要求与规格。</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（2）高强度、低松驰钢绞线，力学指标符合（GB/T 5224－2014）的规定；</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（3）抗拉强度标准值：1860MPa ；</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（4）公称直径：15.2㎜；</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（5）公称直径允许偏差：执行GB/T5224－2014标准；</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（6）交货检查规则：执行GB/T17505的规定；</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（7）检查验收按GB/T5224－2014标准执行。</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（8）计重交货：包装、标志、质量证明书按GB/T 5224－2014标准执行</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textAlignment w:val="auto"/>
        <w:rPr>
          <w:rFonts w:asciiTheme="minorEastAsia" w:hAnsiTheme="minorEastAsia" w:eastAsiaTheme="minorEastAsia"/>
          <w:b/>
          <w:bCs/>
          <w:spacing w:val="0"/>
          <w:sz w:val="24"/>
          <w:szCs w:val="24"/>
        </w:rPr>
      </w:pPr>
      <w:r>
        <w:rPr>
          <w:rFonts w:asciiTheme="minorEastAsia" w:hAnsiTheme="minorEastAsia" w:eastAsiaTheme="minorEastAsia"/>
          <w:b/>
          <w:bCs/>
          <w:spacing w:val="0"/>
          <w:sz w:val="24"/>
          <w:szCs w:val="24"/>
        </w:rPr>
        <w:t>四、验收标准</w:t>
      </w:r>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（1）每批次钢材都应附</w:t>
      </w:r>
      <w:r>
        <w:rPr>
          <w:rFonts w:hint="eastAsia" w:asciiTheme="minorEastAsia" w:hAnsiTheme="minorEastAsia" w:eastAsiaTheme="minorEastAsia"/>
          <w:spacing w:val="0"/>
          <w:sz w:val="24"/>
          <w:szCs w:val="24"/>
          <w:lang w:eastAsia="zh-CN"/>
        </w:rPr>
        <w:t>供应商</w:t>
      </w:r>
      <w:r>
        <w:rPr>
          <w:rFonts w:hint="eastAsia" w:asciiTheme="minorEastAsia" w:hAnsiTheme="minorEastAsia" w:eastAsiaTheme="minorEastAsia"/>
          <w:spacing w:val="0"/>
          <w:sz w:val="24"/>
          <w:szCs w:val="24"/>
        </w:rPr>
        <w:t>的出库质量检验报告，同时说明厂批次、数量、装运日期。</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0" w:rightChars="0" w:firstLine="480" w:firstLineChars="200"/>
        <w:textAlignment w:val="auto"/>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（2）批量检验</w:t>
      </w:r>
      <w:r>
        <w:rPr>
          <w:rFonts w:hint="eastAsia" w:asciiTheme="minorEastAsia" w:hAnsiTheme="minorEastAsia" w:eastAsiaTheme="minorEastAsia"/>
          <w:spacing w:val="0"/>
          <w:sz w:val="24"/>
          <w:szCs w:val="24"/>
          <w:lang w:eastAsia="zh-CN"/>
        </w:rPr>
        <w:t>。</w:t>
      </w:r>
      <w:r>
        <w:rPr>
          <w:rFonts w:hint="eastAsia" w:asciiTheme="minorEastAsia" w:hAnsiTheme="minorEastAsia" w:eastAsiaTheme="minorEastAsia"/>
          <w:spacing w:val="0"/>
          <w:sz w:val="24"/>
          <w:szCs w:val="24"/>
          <w:lang w:val="en-US" w:eastAsia="zh-CN"/>
        </w:rPr>
        <w:t>如供应</w:t>
      </w:r>
      <w:r>
        <w:rPr>
          <w:rFonts w:hint="eastAsia" w:asciiTheme="minorEastAsia" w:hAnsiTheme="minorEastAsia" w:eastAsiaTheme="minorEastAsia"/>
          <w:spacing w:val="0"/>
          <w:sz w:val="24"/>
          <w:szCs w:val="24"/>
        </w:rPr>
        <w:t>不合格</w:t>
      </w:r>
      <w:r>
        <w:rPr>
          <w:rFonts w:hint="eastAsia" w:asciiTheme="minorEastAsia" w:hAnsiTheme="minorEastAsia" w:eastAsiaTheme="minorEastAsia"/>
          <w:spacing w:val="0"/>
          <w:sz w:val="24"/>
          <w:szCs w:val="24"/>
          <w:lang w:val="en-US" w:eastAsia="zh-CN"/>
        </w:rPr>
        <w:t>产品</w:t>
      </w:r>
      <w:r>
        <w:rPr>
          <w:rFonts w:hint="eastAsia" w:asciiTheme="minorEastAsia" w:hAnsiTheme="minorEastAsia" w:eastAsiaTheme="minorEastAsia"/>
          <w:spacing w:val="0"/>
          <w:sz w:val="24"/>
          <w:szCs w:val="24"/>
        </w:rPr>
        <w:t>，</w:t>
      </w:r>
      <w:r>
        <w:rPr>
          <w:rFonts w:hint="eastAsia" w:asciiTheme="minorEastAsia" w:hAnsiTheme="minorEastAsia" w:eastAsiaTheme="minorEastAsia"/>
          <w:spacing w:val="0"/>
          <w:sz w:val="24"/>
          <w:szCs w:val="24"/>
          <w:lang w:eastAsia="zh-CN"/>
        </w:rPr>
        <w:t>采购人</w:t>
      </w:r>
      <w:r>
        <w:rPr>
          <w:rFonts w:hint="eastAsia" w:asciiTheme="minorEastAsia" w:hAnsiTheme="minorEastAsia" w:eastAsiaTheme="minorEastAsia"/>
          <w:spacing w:val="0"/>
          <w:sz w:val="24"/>
          <w:szCs w:val="24"/>
        </w:rPr>
        <w:t>应迅速通知</w:t>
      </w:r>
      <w:r>
        <w:rPr>
          <w:rFonts w:hint="eastAsia" w:asciiTheme="minorEastAsia" w:hAnsiTheme="minorEastAsia" w:eastAsiaTheme="minorEastAsia"/>
          <w:spacing w:val="0"/>
          <w:sz w:val="24"/>
          <w:szCs w:val="24"/>
          <w:lang w:eastAsia="zh-CN"/>
        </w:rPr>
        <w:t>供应商</w:t>
      </w:r>
      <w:r>
        <w:rPr>
          <w:rFonts w:hint="eastAsia" w:asciiTheme="minorEastAsia" w:hAnsiTheme="minorEastAsia" w:eastAsiaTheme="minorEastAsia"/>
          <w:spacing w:val="0"/>
          <w:sz w:val="24"/>
          <w:szCs w:val="24"/>
        </w:rPr>
        <w:t>说明缺陷的性质及现象，并将钢材返回</w:t>
      </w:r>
      <w:r>
        <w:rPr>
          <w:rFonts w:hint="eastAsia" w:asciiTheme="minorEastAsia" w:hAnsiTheme="minorEastAsia" w:eastAsiaTheme="minorEastAsia"/>
          <w:spacing w:val="0"/>
          <w:sz w:val="24"/>
          <w:szCs w:val="24"/>
          <w:lang w:eastAsia="zh-CN"/>
        </w:rPr>
        <w:t>供应商</w:t>
      </w:r>
      <w:r>
        <w:rPr>
          <w:rFonts w:hint="eastAsia" w:asciiTheme="minorEastAsia" w:hAnsiTheme="minorEastAsia" w:eastAsiaTheme="minorEastAsia"/>
          <w:spacing w:val="0"/>
          <w:sz w:val="24"/>
          <w:szCs w:val="24"/>
        </w:rPr>
        <w:t>，</w:t>
      </w:r>
      <w:r>
        <w:rPr>
          <w:rFonts w:hint="eastAsia" w:asciiTheme="minorEastAsia" w:hAnsiTheme="minorEastAsia" w:eastAsiaTheme="minorEastAsia"/>
          <w:spacing w:val="0"/>
          <w:sz w:val="24"/>
          <w:szCs w:val="24"/>
          <w:lang w:eastAsia="zh-CN"/>
        </w:rPr>
        <w:t>供应商</w:t>
      </w:r>
      <w:r>
        <w:rPr>
          <w:rFonts w:hint="eastAsia" w:asciiTheme="minorEastAsia" w:hAnsiTheme="minorEastAsia" w:eastAsiaTheme="minorEastAsia"/>
          <w:spacing w:val="0"/>
          <w:sz w:val="24"/>
          <w:szCs w:val="24"/>
        </w:rPr>
        <w:t>应更换被拒绝的钢材并承担由此引起的一切损失和费用。</w:t>
      </w:r>
      <w:bookmarkStart w:id="1" w:name="_GoBack"/>
      <w:bookmarkEnd w:id="1"/>
    </w:p>
    <w:p>
      <w:pPr>
        <w:keepNext w:val="0"/>
        <w:keepLines w:val="0"/>
        <w:pageBreakBefore w:val="0"/>
        <w:widowControl w:val="0"/>
        <w:kinsoku/>
        <w:wordWrap/>
        <w:overflowPunct/>
        <w:topLinePunct w:val="0"/>
        <w:autoSpaceDE w:val="0"/>
        <w:autoSpaceDN w:val="0"/>
        <w:bidi w:val="0"/>
        <w:adjustRightInd/>
        <w:snapToGrid/>
        <w:spacing w:line="360" w:lineRule="auto"/>
        <w:ind w:left="0" w:right="0" w:rightChars="0"/>
        <w:textAlignment w:val="auto"/>
        <w:rPr>
          <w:spacing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89870B"/>
    <w:multiLevelType w:val="singleLevel"/>
    <w:tmpl w:val="F389870B"/>
    <w:lvl w:ilvl="0" w:tentative="0">
      <w:start w:val="1"/>
      <w:numFmt w:val="chineseCounting"/>
      <w:suff w:val="nothing"/>
      <w:lvlText w:val="%1、"/>
      <w:lvlJc w:val="left"/>
      <w:rPr>
        <w:rFonts w:hint="eastAsia"/>
      </w:rPr>
    </w:lvl>
  </w:abstractNum>
  <w:abstractNum w:abstractNumId="1">
    <w:nsid w:val="17C4ED71"/>
    <w:multiLevelType w:val="singleLevel"/>
    <w:tmpl w:val="17C4ED7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32ADC"/>
    <w:rsid w:val="038A1E69"/>
    <w:rsid w:val="054C6613"/>
    <w:rsid w:val="09A825C7"/>
    <w:rsid w:val="1117749C"/>
    <w:rsid w:val="169407DF"/>
    <w:rsid w:val="1D3F3F3C"/>
    <w:rsid w:val="24357F01"/>
    <w:rsid w:val="276C4964"/>
    <w:rsid w:val="37FB707E"/>
    <w:rsid w:val="3A3420B6"/>
    <w:rsid w:val="5878200E"/>
    <w:rsid w:val="7963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annotation text"/>
    <w:basedOn w:val="1"/>
    <w:qFormat/>
    <w:uiPriority w:val="0"/>
    <w:pPr>
      <w:jc w:val="left"/>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21"/>
    <w:basedOn w:val="1"/>
    <w:qFormat/>
    <w:uiPriority w:val="1"/>
    <w:pPr>
      <w:ind w:left="801" w:hanging="401"/>
      <w:outlineLvl w:val="2"/>
    </w:pPr>
    <w:rPr>
      <w:rFonts w:ascii="Microsoft JhengHei" w:hAnsi="Microsoft JhengHei" w:eastAsia="Microsoft JhengHei" w:cs="Microsoft JhengHei"/>
      <w:b/>
      <w:bCs/>
      <w:sz w:val="32"/>
      <w:szCs w:val="32"/>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1334</Words>
  <Characters>1607</Characters>
  <Lines>0</Lines>
  <Paragraphs>0</Paragraphs>
  <TotalTime>1</TotalTime>
  <ScaleCrop>false</ScaleCrop>
  <LinksUpToDate>false</LinksUpToDate>
  <CharactersWithSpaces>1616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2022-04-21T14:19:00Z</dcterms:created>
  <dc:creator>NTKO</dc:creator>
  <cp:lastModifiedBy>关宇恒</cp:lastModifiedBy>
  <dcterms:modified xsi:type="dcterms:W3CDTF">2022-04-25T12:10:12Z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mmondata">
    <vt:lpwstr>eyJoZGlkIjoiMTRjNGU2MjMzNzcwMDkwY2JkZTRjZTM1NTA1ZjIwYTIifQ==</vt:lpwstr>
  </property>
  <property fmtid="{D5CDD505-2E9C-101B-9397-08002B2CF9AE}" pid="4" name="ICV">
    <vt:lpwstr>0C3D2BCE440645AB8207E7E1500C7F65</vt:lpwstr>
  </property>
</Properties>
</file>