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w:t>
      </w:r>
      <w:r>
        <w:rPr>
          <w:rFonts w:hint="eastAsia" w:ascii="微软雅黑" w:hAnsi="微软雅黑" w:eastAsia="微软雅黑"/>
          <w:color w:val="000000" w:themeColor="text1"/>
          <w:lang w:val="en-US" w:eastAsia="zh-CN"/>
          <w14:textFill>
            <w14:solidFill>
              <w14:schemeClr w14:val="tx1"/>
            </w14:solidFill>
          </w14:textFill>
        </w:rPr>
        <w:t>具备有效营业执照</w:t>
      </w:r>
      <w:r>
        <w:rPr>
          <w:rFonts w:hint="eastAsia" w:ascii="微软雅黑" w:hAnsi="微软雅黑" w:eastAsia="微软雅黑"/>
          <w:color w:val="000000" w:themeColor="text1"/>
          <w14:textFill>
            <w14:solidFill>
              <w14:schemeClr w14:val="tx1"/>
            </w14:solidFill>
          </w14:textFill>
        </w:rPr>
        <w:t>（提供中华人民共和国境内行政管理部门登记的主体资格证书（包括但不限于营业执照、事业单位法人证书、社会团体法人登记证书等））；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厂家授权代理商或经销商均可参与竞价，产品必须保证正规厂家生产；（供应商为代理商或经销商的，须具备拟投产品的有效授权）；</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四、维修保养承诺：</w:t>
      </w:r>
      <w:r>
        <w:rPr>
          <w:rFonts w:hint="eastAsia" w:ascii="微软雅黑" w:hAnsi="微软雅黑" w:eastAsia="微软雅黑"/>
          <w:color w:val="000000" w:themeColor="text1"/>
          <w:highlight w:val="yellow"/>
          <w:lang w:val="en-US" w:eastAsia="zh-CN"/>
          <w14:textFill>
            <w14:solidFill>
              <w14:schemeClr w14:val="tx1"/>
            </w14:solidFill>
          </w14:textFill>
        </w:rPr>
        <w:t>承诺按照国家规定包修期和三包有效期范围的规定进行车辆维修及保养（提供承诺书）；</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五、其他；</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w:t>
      </w:r>
      <w:bookmarkStart w:id="0" w:name="_GoBack"/>
      <w:bookmarkEnd w:id="0"/>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按要求填写完整（如有）</w:t>
      </w:r>
      <w:r>
        <w:rPr>
          <w:rFonts w:hint="eastAsia" w:ascii="微软雅黑" w:hAnsi="微软雅黑" w:eastAsia="微软雅黑"/>
          <w:color w:val="000000" w:themeColor="text1"/>
          <w:lang w:eastAsia="zh-CN"/>
          <w14:textFill>
            <w14:solidFill>
              <w14:schemeClr w14:val="tx1"/>
            </w14:solidFill>
          </w14:textFill>
        </w:rPr>
        <w:t>。</w:t>
      </w:r>
    </w:p>
    <w:tbl>
      <w:tblPr>
        <w:tblStyle w:val="13"/>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972"/>
        <w:gridCol w:w="2880"/>
        <w:gridCol w:w="972"/>
        <w:gridCol w:w="972"/>
        <w:gridCol w:w="1044"/>
        <w:gridCol w:w="972"/>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单价报价最高限价（元）</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总价报价（元）（单价报价*数量）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878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11"/>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1、不按此分项报价表报价或缺项、漏项的属于无效报价；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C9765FD"/>
    <w:rsid w:val="4D8D4D74"/>
    <w:rsid w:val="59A21062"/>
    <w:rsid w:val="5DC673A8"/>
    <w:rsid w:val="6C49048A"/>
    <w:rsid w:val="7775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2022-04-29T10:34:47Z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