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97146" w14:textId="77777777" w:rsidR="00472DF9" w:rsidRDefault="00472DF9">
      <w:pPr>
        <w:pStyle w:val="a5"/>
        <w:widowControl/>
        <w:spacing w:before="40" w:line="300" w:lineRule="atLeast"/>
        <w:rPr>
          <w:rFonts w:ascii="微软雅黑" w:eastAsia="微软雅黑" w:hAnsi="微软雅黑" w:cs="微软雅黑"/>
          <w:color w:val="000000"/>
          <w:sz w:val="21"/>
          <w:szCs w:val="21"/>
        </w:rPr>
      </w:pPr>
    </w:p>
    <w:p w14:paraId="246B8072" w14:textId="77777777" w:rsidR="00472DF9" w:rsidRDefault="00B87F78">
      <w:pPr>
        <w:pStyle w:val="a5"/>
        <w:widowControl/>
        <w:spacing w:before="40" w:line="300" w:lineRule="atLeast"/>
        <w:ind w:firstLine="520"/>
        <w:jc w:val="center"/>
        <w:rPr>
          <w:sz w:val="48"/>
          <w:szCs w:val="48"/>
        </w:rPr>
      </w:pPr>
      <w:r>
        <w:rPr>
          <w:rFonts w:ascii="微软雅黑" w:eastAsia="微软雅黑" w:hAnsi="微软雅黑" w:cs="微软雅黑"/>
          <w:color w:val="000000"/>
          <w:sz w:val="48"/>
          <w:szCs w:val="48"/>
        </w:rPr>
        <w:t>延寿农商银行委托拍卖瑕疵声明</w:t>
      </w:r>
    </w:p>
    <w:p w14:paraId="4B2B4C1D" w14:textId="77777777" w:rsidR="00472DF9" w:rsidRDefault="00B87F78">
      <w:pPr>
        <w:pStyle w:val="a5"/>
        <w:widowControl/>
        <w:spacing w:before="40" w:line="600" w:lineRule="auto"/>
        <w:ind w:firstLine="522"/>
        <w:jc w:val="left"/>
        <w:rPr>
          <w:sz w:val="32"/>
          <w:szCs w:val="32"/>
        </w:rPr>
      </w:pPr>
      <w:r>
        <w:rPr>
          <w:rFonts w:ascii="微软雅黑" w:eastAsia="微软雅黑" w:hAnsi="微软雅黑" w:cs="微软雅黑" w:hint="eastAsia"/>
          <w:color w:val="323133"/>
          <w:sz w:val="32"/>
          <w:szCs w:val="32"/>
        </w:rPr>
        <w:t>一、一般性声明</w:t>
      </w:r>
    </w:p>
    <w:p w14:paraId="5713BEF0" w14:textId="77777777" w:rsidR="00472DF9" w:rsidRDefault="00B87F78">
      <w:pPr>
        <w:pStyle w:val="a5"/>
        <w:widowControl/>
        <w:spacing w:before="40" w:line="600" w:lineRule="auto"/>
        <w:ind w:firstLine="522"/>
        <w:rPr>
          <w:rFonts w:ascii="微软雅黑" w:eastAsia="微软雅黑" w:hAnsi="微软雅黑" w:cs="微软雅黑"/>
          <w:sz w:val="30"/>
          <w:szCs w:val="30"/>
        </w:rPr>
      </w:pPr>
      <w:r>
        <w:rPr>
          <w:rFonts w:ascii="微软雅黑" w:eastAsia="微软雅黑" w:hAnsi="微软雅黑" w:cs="微软雅黑" w:hint="eastAsia"/>
          <w:color w:val="323133"/>
          <w:sz w:val="30"/>
          <w:szCs w:val="30"/>
        </w:rPr>
        <w:t>1、转让标的为不良资产，存在或可能存在瑕疵或缺陷，在性质上存在着部分或全部不能回收和无法实现收益的风险。</w:t>
      </w:r>
    </w:p>
    <w:p w14:paraId="2B90E531" w14:textId="77777777" w:rsidR="00472DF9" w:rsidRDefault="00B87F78">
      <w:pPr>
        <w:pStyle w:val="a5"/>
        <w:widowControl/>
        <w:spacing w:before="40" w:line="600" w:lineRule="auto"/>
        <w:ind w:firstLine="522"/>
        <w:rPr>
          <w:rFonts w:ascii="微软雅黑" w:eastAsia="微软雅黑" w:hAnsi="微软雅黑" w:cs="微软雅黑"/>
          <w:sz w:val="30"/>
          <w:szCs w:val="30"/>
        </w:rPr>
      </w:pPr>
      <w:r>
        <w:rPr>
          <w:rFonts w:ascii="微软雅黑" w:eastAsia="微软雅黑" w:hAnsi="微软雅黑" w:cs="微软雅黑" w:hint="eastAsia"/>
          <w:color w:val="323133"/>
          <w:sz w:val="30"/>
          <w:szCs w:val="30"/>
        </w:rPr>
        <w:t>2、拍卖标的为整体、净价拍卖。竞买人一经参与本次拍卖， 即视为其已经在充分了解此不良资产风险的基础上，愿意按整体、净价竞买此不良资产。</w:t>
      </w:r>
    </w:p>
    <w:p w14:paraId="70B540C5" w14:textId="77777777" w:rsidR="00472DF9" w:rsidRDefault="00B87F78">
      <w:pPr>
        <w:pStyle w:val="a5"/>
        <w:widowControl/>
        <w:spacing w:before="40" w:line="600" w:lineRule="auto"/>
        <w:ind w:firstLine="522"/>
        <w:rPr>
          <w:rFonts w:ascii="微软雅黑" w:eastAsia="微软雅黑" w:hAnsi="微软雅黑" w:cs="微软雅黑"/>
          <w:sz w:val="30"/>
          <w:szCs w:val="30"/>
        </w:rPr>
      </w:pPr>
      <w:r>
        <w:rPr>
          <w:rFonts w:ascii="微软雅黑" w:eastAsia="微软雅黑" w:hAnsi="微软雅黑" w:cs="微软雅黑" w:hint="eastAsia"/>
          <w:color w:val="323133"/>
          <w:sz w:val="30"/>
          <w:szCs w:val="30"/>
        </w:rPr>
        <w:t>3、在竞价拍卖前，拍卖人已向竟买人提供拍卖标的项目文 件、资料，此为竞买成交后拍卖人所能向买受人移交的转让标的 的全部文件、资料。买受人无权要求拍卖人在上述文件之外提供 其他文件、资料，拍卖人也无义务向买受人提供上述文件、资料 之外的文件、资料等。</w:t>
      </w:r>
    </w:p>
    <w:p w14:paraId="7482B9B4" w14:textId="77777777" w:rsidR="00472DF9" w:rsidRDefault="00B87F78">
      <w:pPr>
        <w:pStyle w:val="a5"/>
        <w:widowControl/>
        <w:spacing w:before="40" w:line="600" w:lineRule="auto"/>
        <w:ind w:firstLine="522"/>
        <w:rPr>
          <w:rFonts w:ascii="微软雅黑" w:eastAsia="微软雅黑" w:hAnsi="微软雅黑" w:cs="微软雅黑"/>
          <w:color w:val="181919"/>
          <w:sz w:val="30"/>
          <w:szCs w:val="30"/>
        </w:rPr>
      </w:pPr>
      <w:r>
        <w:rPr>
          <w:rFonts w:ascii="微软雅黑" w:eastAsia="微软雅黑" w:hAnsi="微软雅黑" w:cs="微软雅黑" w:hint="eastAsia"/>
          <w:color w:val="323133"/>
          <w:sz w:val="30"/>
          <w:szCs w:val="30"/>
        </w:rPr>
        <w:t>4、竞买人应依据委托人在拍卖前向竞买人提供的转让标的项目文件、资料，自行、独立、审慎地对拍卖标的进行分析和判断风险，自主决定参加本次拍卖竞价转让活动，并自愿独立承担参与本次拍卖竞价交易的风险。</w:t>
      </w:r>
    </w:p>
    <w:p w14:paraId="561B1D35" w14:textId="77777777" w:rsidR="00472DF9" w:rsidRDefault="00B87F78">
      <w:pPr>
        <w:pStyle w:val="a5"/>
        <w:widowControl/>
        <w:spacing w:before="40" w:line="600" w:lineRule="auto"/>
        <w:ind w:firstLineChars="200" w:firstLine="600"/>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lastRenderedPageBreak/>
        <w:t>5、竞买人一经参与竞买，即视为其已经完全接受并知悉拍卖标的所有风险、瑕疵，表明是竞买人在独立判断拍卖标的事实、 法律上的有效性和商业价值后的自主交易，其愿意独自承担因其判断失误而可能遭受的一切损失或风险。</w:t>
      </w:r>
    </w:p>
    <w:p w14:paraId="693C6CF8"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6、竞买人一经参与本次拍卖竞价转让，无论拍卖竞价转让标的项下是否存在能够追究委托人及其前手权利人任何法律责任的权利，在本次竞买成交后，均视为买受人同意自拍卖竞价转让标的交付日起自动且全部放弃该等权利，买受人不得以任何方式向委托人及其前手权利人主张本条项下已放弃的全部权利，或要求前手权利人或委托人承担与此有关的任何法律责任。</w:t>
      </w:r>
    </w:p>
    <w:p w14:paraId="4E2D4374"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7、竞买人一经参与本次拍卖竞价转让，则其即放弃以重大误解、显失公平或其他任何理由主张变更、撤销、解除本次拍卖竞价转让或减损本次竞买效力的其他任何权利，竞买人不得以任何理由向委托人主张经济补偿或要求委托人承担任何法律责任。</w:t>
      </w:r>
    </w:p>
    <w:p w14:paraId="39819F6B"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8、在本次竞买成交后，买受人应严格按照国家相关法律、法规、政策的规定，主张和行使标的资产项下的任何权利。</w:t>
      </w:r>
    </w:p>
    <w:p w14:paraId="3CCDA363"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lastRenderedPageBreak/>
        <w:t>9、本次拍卖竞价转让的标的，存在或可能存在因计算误差、 不同统计口径、资产实际减损、未按规定核销和折旧等，从而导 致买受人实际接收的不良资产质量、数量等与本次竞买文件表述 资料清单中所列不完全一致的情形。竞买人一经参与本次拍卖竞 价转让，即视为竞买人已被告知并完全了解本次拍卖竞价转让标 的的一切情况。</w:t>
      </w:r>
    </w:p>
    <w:p w14:paraId="3801ECCD"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10、在参加拍卖竞价前，竞买人已明确无误地知悉并完全了 解上述揭示风险和竞拍条件，自愿承担由上述风险造成的一切损 失或预期利益的不获得。</w:t>
      </w:r>
    </w:p>
    <w:p w14:paraId="3CE6342A"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11、参与本次拍卖竞价转让的竞拍前，竞买人有必要对全部 拍卖文件进行审慎、全面的阅读并对有关资产进行实地考察，已 经完全了解并接受拍卖标的的所有瑕疵、风险、缺陷及委托人所 提出的特别约定条件等，竟买人有必要并审慎决定竞买意向。</w:t>
      </w:r>
    </w:p>
    <w:p w14:paraId="666BF1DE" w14:textId="77777777" w:rsidR="00472DF9" w:rsidRDefault="00B87F78">
      <w:pPr>
        <w:pStyle w:val="a5"/>
        <w:widowControl/>
        <w:spacing w:before="40" w:line="600" w:lineRule="auto"/>
        <w:ind w:firstLine="522"/>
        <w:rPr>
          <w:rFonts w:ascii="微软雅黑" w:eastAsia="微软雅黑" w:hAnsi="微软雅黑" w:cs="微软雅黑"/>
          <w:color w:val="2B2B5B"/>
          <w:sz w:val="30"/>
          <w:szCs w:val="30"/>
        </w:rPr>
      </w:pPr>
      <w:r>
        <w:rPr>
          <w:rFonts w:ascii="微软雅黑" w:eastAsia="微软雅黑" w:hAnsi="微软雅黑" w:cs="微软雅黑" w:hint="eastAsia"/>
          <w:color w:val="323133"/>
          <w:sz w:val="30"/>
          <w:szCs w:val="30"/>
        </w:rPr>
        <w:t>12.委托人不保证转让标的所对应的相关债务人(含担保债务 人)、义务人名称及名称变更后的准确性，也不保证转让标的的表现形式仍是原有资产形态。</w:t>
      </w:r>
    </w:p>
    <w:p w14:paraId="562ABDD8"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二、特别声明</w:t>
      </w:r>
    </w:p>
    <w:p w14:paraId="40C1EC66"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lastRenderedPageBreak/>
        <w:t>1、本行所拍卖的标的以现状拍卖，存在部分标的未办理土地使用证和部分标的为集体土地，实际情况以拍卖公告为准;</w:t>
      </w:r>
    </w:p>
    <w:p w14:paraId="6A96D23B"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highlight w:val="yellow"/>
        </w:rPr>
      </w:pPr>
      <w:r>
        <w:rPr>
          <w:rFonts w:ascii="微软雅黑" w:eastAsia="微软雅黑" w:hAnsi="微软雅黑" w:cs="微软雅黑" w:hint="eastAsia"/>
          <w:color w:val="323133"/>
          <w:sz w:val="30"/>
          <w:szCs w:val="30"/>
        </w:rPr>
        <w:t>2、本行拍卖的标的可能存在欠费，所欠费用（包括已知的和未知的）均由买受人自行查实并承担。</w:t>
      </w:r>
    </w:p>
    <w:p w14:paraId="370BFEB8"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3、买受人须自行办理产权过户及土地使用手续，委托人、拍卖人协助提供现有的相关手续。由于文件存在不完整、原件缺失或内容冲突等相关情况而导致的不能过户的后果由买受人承担;</w:t>
      </w:r>
    </w:p>
    <w:p w14:paraId="6237B827"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highlight w:val="yellow"/>
        </w:rPr>
      </w:pPr>
      <w:r>
        <w:rPr>
          <w:rFonts w:ascii="微软雅黑" w:eastAsia="微软雅黑" w:hAnsi="微软雅黑" w:cs="微软雅黑" w:hint="eastAsia"/>
          <w:color w:val="323133"/>
          <w:sz w:val="30"/>
          <w:szCs w:val="30"/>
        </w:rPr>
        <w:t>4、竞买人应在竞买成交后三个月内办理两次更名过户手续，</w:t>
      </w:r>
      <w:r>
        <w:rPr>
          <w:rFonts w:ascii="微软雅黑" w:eastAsia="微软雅黑" w:hAnsi="微软雅黑" w:cs="微软雅黑" w:hint="eastAsia"/>
          <w:color w:val="323133"/>
          <w:sz w:val="30"/>
          <w:szCs w:val="30"/>
          <w:highlight w:val="yellow"/>
        </w:rPr>
        <w:t>委托方及竞买人双方依法各自承担更名过户的相关税费。其中由原产权人过户到委托方产生的税费由委托方承担，再由委托方过户到竞买人名下产生的税费由竞买人承担。</w:t>
      </w:r>
    </w:p>
    <w:p w14:paraId="0EA08BCF" w14:textId="77777777" w:rsidR="00472DF9" w:rsidRDefault="00B87F78">
      <w:pPr>
        <w:pStyle w:val="a5"/>
        <w:widowControl/>
        <w:spacing w:before="40" w:line="600" w:lineRule="auto"/>
        <w:ind w:firstLine="522"/>
        <w:rPr>
          <w:rFonts w:ascii="微软雅黑" w:eastAsia="微软雅黑" w:hAnsi="微软雅黑" w:cs="微软雅黑"/>
          <w:color w:val="0B181E"/>
          <w:sz w:val="30"/>
          <w:szCs w:val="30"/>
        </w:rPr>
      </w:pPr>
      <w:r>
        <w:rPr>
          <w:rFonts w:ascii="微软雅黑" w:eastAsia="微软雅黑" w:hAnsi="微软雅黑" w:cs="微软雅黑" w:hint="eastAsia"/>
          <w:color w:val="323133"/>
          <w:sz w:val="30"/>
          <w:szCs w:val="30"/>
        </w:rPr>
        <w:t>5、竞买人在三个月内没有办理过户手续或者没有缴纳上述 全部税费，引起一切后果由竞买人承担。</w:t>
      </w:r>
    </w:p>
    <w:p w14:paraId="40203D4B"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0B181E"/>
          <w:sz w:val="30"/>
          <w:szCs w:val="30"/>
        </w:rPr>
        <w:t xml:space="preserve">6、竞买人在阅读本竞买须知及瑕疵声明，并在拍卖成交确 认书签字认可后，即表明竞买人已完全了解本次拍卖竞价转让标 的的瑕疵情况，拍卖人已履行瑕疵告知义务，竞买人因参加竞买 </w:t>
      </w:r>
      <w:r>
        <w:rPr>
          <w:rFonts w:ascii="微软雅黑" w:eastAsia="微软雅黑" w:hAnsi="微软雅黑" w:cs="微软雅黑" w:hint="eastAsia"/>
          <w:color w:val="0B181E"/>
          <w:sz w:val="30"/>
          <w:szCs w:val="30"/>
        </w:rPr>
        <w:lastRenderedPageBreak/>
        <w:t>所产生的一切经济、法律责任由竞买人自行承担，与拍卖人、委 托方无关;</w:t>
      </w:r>
    </w:p>
    <w:p w14:paraId="2FDC4FD2"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1B181E"/>
          <w:sz w:val="30"/>
          <w:szCs w:val="30"/>
        </w:rPr>
        <w:t>7、如涉及国有企业资产拍卖，那么金融监管机构工作人员、政法干警、国有企业债务人管理层以及参与资产处置工作的律师、会计师、评估师等中介机构人员不得购买资产;</w:t>
      </w:r>
    </w:p>
    <w:p w14:paraId="31EF0282"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1B181E"/>
          <w:sz w:val="30"/>
          <w:szCs w:val="30"/>
        </w:rPr>
        <w:t>8、本竞买须知及瑕疵声明与拍卖成交确认书、拍卖公告、拍卖规则等文件具有相同的法律效力，是拍卖活动的重要组成部分。</w:t>
      </w:r>
    </w:p>
    <w:p w14:paraId="393FF930"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1B181E"/>
          <w:sz w:val="30"/>
          <w:szCs w:val="30"/>
        </w:rPr>
        <w:t>9、此声明适用于延寿农商银行2022年度所有委托第三方公司拍卖的标的物。</w:t>
      </w:r>
    </w:p>
    <w:p w14:paraId="6647769C" w14:textId="77777777" w:rsidR="00472DF9" w:rsidRDefault="00472DF9">
      <w:pPr>
        <w:pStyle w:val="a5"/>
        <w:widowControl/>
        <w:spacing w:before="40" w:line="300" w:lineRule="atLeast"/>
        <w:ind w:firstLineChars="1346" w:firstLine="4038"/>
        <w:jc w:val="left"/>
        <w:rPr>
          <w:rFonts w:ascii="微软雅黑" w:eastAsia="微软雅黑" w:hAnsi="微软雅黑" w:cs="微软雅黑"/>
          <w:color w:val="010007"/>
          <w:sz w:val="30"/>
          <w:szCs w:val="30"/>
        </w:rPr>
      </w:pPr>
    </w:p>
    <w:p w14:paraId="5E9E2625" w14:textId="77777777" w:rsidR="00472DF9" w:rsidRDefault="00B87F78" w:rsidP="00BD5893">
      <w:pPr>
        <w:pStyle w:val="a5"/>
        <w:widowControl/>
        <w:spacing w:before="40" w:line="300" w:lineRule="atLeast"/>
        <w:ind w:firstLineChars="700" w:firstLine="2100"/>
        <w:jc w:val="right"/>
        <w:rPr>
          <w:rFonts w:ascii="微软雅黑" w:eastAsia="微软雅黑" w:hAnsi="微软雅黑" w:cs="微软雅黑"/>
          <w:color w:val="1B181E"/>
          <w:sz w:val="30"/>
          <w:szCs w:val="30"/>
        </w:rPr>
      </w:pPr>
      <w:r>
        <w:rPr>
          <w:rFonts w:ascii="微软雅黑" w:eastAsia="微软雅黑" w:hAnsi="微软雅黑" w:cs="微软雅黑" w:hint="eastAsia"/>
          <w:color w:val="1B181E"/>
          <w:sz w:val="30"/>
          <w:szCs w:val="30"/>
        </w:rPr>
        <w:t xml:space="preserve">黑龙江延寿农村商业银行股份有限公司 </w:t>
      </w:r>
    </w:p>
    <w:p w14:paraId="742A53B9" w14:textId="0AB51A81" w:rsidR="00472DF9" w:rsidRDefault="00B87F78" w:rsidP="00BD5893">
      <w:pPr>
        <w:pStyle w:val="a5"/>
        <w:widowControl/>
        <w:spacing w:before="40" w:line="300" w:lineRule="atLeast"/>
        <w:ind w:right="1200" w:firstLineChars="1100" w:firstLine="3300"/>
        <w:jc w:val="right"/>
      </w:pPr>
      <w:r>
        <w:rPr>
          <w:rFonts w:ascii="微软雅黑" w:eastAsia="微软雅黑" w:hAnsi="微软雅黑" w:cs="微软雅黑" w:hint="eastAsia"/>
          <w:color w:val="010007"/>
          <w:sz w:val="30"/>
          <w:szCs w:val="30"/>
        </w:rPr>
        <w:t>2022年0</w:t>
      </w:r>
      <w:r w:rsidR="00D76CA7">
        <w:rPr>
          <w:rFonts w:ascii="微软雅黑" w:eastAsia="微软雅黑" w:hAnsi="微软雅黑" w:cs="微软雅黑"/>
          <w:color w:val="010007"/>
          <w:sz w:val="30"/>
          <w:szCs w:val="30"/>
        </w:rPr>
        <w:t>7</w:t>
      </w:r>
      <w:r>
        <w:rPr>
          <w:rFonts w:ascii="微软雅黑" w:eastAsia="微软雅黑" w:hAnsi="微软雅黑" w:cs="微软雅黑" w:hint="eastAsia"/>
          <w:color w:val="010007"/>
          <w:sz w:val="30"/>
          <w:szCs w:val="30"/>
        </w:rPr>
        <w:t>月</w:t>
      </w:r>
      <w:r w:rsidR="00D76CA7">
        <w:rPr>
          <w:rFonts w:ascii="微软雅黑" w:eastAsia="微软雅黑" w:hAnsi="微软雅黑" w:cs="微软雅黑"/>
          <w:color w:val="010007"/>
          <w:sz w:val="30"/>
          <w:szCs w:val="30"/>
        </w:rPr>
        <w:t>1</w:t>
      </w:r>
      <w:r w:rsidR="0052785D">
        <w:rPr>
          <w:rFonts w:ascii="微软雅黑" w:eastAsia="微软雅黑" w:hAnsi="微软雅黑" w:cs="微软雅黑"/>
          <w:color w:val="010007"/>
          <w:sz w:val="30"/>
          <w:szCs w:val="30"/>
        </w:rPr>
        <w:t>9</w:t>
      </w:r>
      <w:r>
        <w:rPr>
          <w:rFonts w:ascii="微软雅黑" w:eastAsia="微软雅黑" w:hAnsi="微软雅黑" w:cs="微软雅黑" w:hint="eastAsia"/>
          <w:color w:val="010007"/>
          <w:sz w:val="30"/>
          <w:szCs w:val="30"/>
        </w:rPr>
        <w:t>日</w:t>
      </w:r>
    </w:p>
    <w:p w14:paraId="16DACAD5" w14:textId="77777777" w:rsidR="00472DF9" w:rsidRDefault="00472DF9"/>
    <w:sectPr w:rsidR="00472DF9">
      <w:footerReference w:type="default" r:id="rId7"/>
      <w:pgSz w:w="11906" w:h="16838"/>
      <w:pgMar w:top="1440" w:right="1800" w:bottom="1440" w:left="1800" w:header="851" w:footer="119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244CA" w14:textId="77777777" w:rsidR="00C53789" w:rsidRDefault="00C53789">
      <w:r>
        <w:separator/>
      </w:r>
    </w:p>
  </w:endnote>
  <w:endnote w:type="continuationSeparator" w:id="0">
    <w:p w14:paraId="0AC063A8" w14:textId="77777777" w:rsidR="00C53789" w:rsidRDefault="00C53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0AFB" w14:textId="77777777" w:rsidR="00472DF9" w:rsidRDefault="00831713">
    <w:pPr>
      <w:pStyle w:val="a3"/>
    </w:pPr>
    <w:r>
      <w:pict w14:anchorId="77479AB3">
        <v:rect id="文本框 1" o:spid="_x0000_s3073" style="position:absolute;margin-left:0;margin-top:0;width:2in;height:2in;z-index:251657728;mso-wrap-style:none;mso-position-horizontal:center;mso-position-horizontal-relative:margin;mso-width-relative:page;mso-height-relative:page" o:preferrelative="t" filled="f" stroked="f">
          <v:textbox style="mso-fit-shape-to-text:t" inset="0,0,0,0">
            <w:txbxContent>
              <w:p w14:paraId="1106CAB4" w14:textId="77777777" w:rsidR="00472DF9" w:rsidRDefault="00B87F78">
                <w:pPr>
                  <w:pStyle w:val="a3"/>
                </w:pPr>
                <w:r>
                  <w:fldChar w:fldCharType="begin"/>
                </w:r>
                <w:r>
                  <w:instrText xml:space="preserve"> PAGE  \* MERGEFORMAT </w:instrText>
                </w:r>
                <w:r>
                  <w:fldChar w:fldCharType="separate"/>
                </w:r>
                <w:r>
                  <w:t>1</w:t>
                </w:r>
                <w:r>
                  <w:fldChar w:fldCharType="end"/>
                </w:r>
                <w:r>
                  <w:t xml:space="preserve"> / </w:t>
                </w:r>
                <w:r w:rsidR="00831713">
                  <w:fldChar w:fldCharType="begin"/>
                </w:r>
                <w:r w:rsidR="00831713">
                  <w:instrText xml:space="preserve"> NUMPAGES  \* MERGEFORMAT </w:instrText>
                </w:r>
                <w:r w:rsidR="00831713">
                  <w:fldChar w:fldCharType="separate"/>
                </w:r>
                <w:r>
                  <w:t>5</w:t>
                </w:r>
                <w:r w:rsidR="00831713">
                  <w:fldChar w:fldCharType="end"/>
                </w: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05BED" w14:textId="77777777" w:rsidR="00C53789" w:rsidRDefault="00C53789">
      <w:r>
        <w:separator/>
      </w:r>
    </w:p>
  </w:footnote>
  <w:footnote w:type="continuationSeparator" w:id="0">
    <w:p w14:paraId="79ECA9A4" w14:textId="77777777" w:rsidR="00C53789" w:rsidRDefault="00C537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bordersDoNotSurroundHeader/>
  <w:bordersDoNotSurroundFooter/>
  <w:doNotTrackMoves/>
  <w:defaultTabStop w:val="420"/>
  <w:drawingGridVerticalSpacing w:val="156"/>
  <w:noPunctuationKerning/>
  <w:characterSpacingControl w:val="compressPunctuation"/>
  <w:hdrShapeDefaults>
    <o:shapedefaults v:ext="edit" spidmax="3075"/>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2DF9"/>
    <w:rsid w:val="00472DF9"/>
    <w:rsid w:val="0052785D"/>
    <w:rsid w:val="006B25BC"/>
    <w:rsid w:val="007359FF"/>
    <w:rsid w:val="00831713"/>
    <w:rsid w:val="00B87F78"/>
    <w:rsid w:val="00BD5893"/>
    <w:rsid w:val="00C53789"/>
    <w:rsid w:val="00D76CA7"/>
    <w:rsid w:val="0A150303"/>
    <w:rsid w:val="304E24D9"/>
    <w:rsid w:val="69B36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70F37AE0"/>
  <w15:docId w15:val="{C1296C0E-E17A-42FD-AF52-D4A1273D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99"/>
    <w:lsdException w:name="Table Theme" w:uiPriority="99"/>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延寿农商银行委托拍卖瑕疵声明</dc:title>
  <dc:creator>Administrator</dc:creator>
  <cp:lastModifiedBy>cherry 沈</cp:lastModifiedBy>
  <cp:revision>7</cp:revision>
  <cp:lastPrinted>2022-03-22T03:13:00Z</cp:lastPrinted>
  <dcterms:created xsi:type="dcterms:W3CDTF">2021-04-07T01:27:00Z</dcterms:created>
  <dcterms:modified xsi:type="dcterms:W3CDTF">2022-07-17T03:59:00Z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FD925DA80D004ABAB1C881245E9116E4</vt:lpwstr>
  </property>
</Properties>
</file>