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95"/>
        </w:tabs>
        <w:spacing w:line="480" w:lineRule="atLeast"/>
        <w:ind w:right="-85" w:firstLine="885" w:firstLineChars="245"/>
        <w:jc w:val="center"/>
        <w:outlineLvl w:val="0"/>
        <w:rPr>
          <w:rFonts w:ascii="宋体" w:hAnsi="宋体" w:eastAsia="宋体"/>
          <w:b/>
          <w:spacing w:val="0"/>
          <w:sz w:val="36"/>
        </w:rPr>
      </w:pPr>
      <w:bookmarkStart w:id="0" w:name="_Toc452504498"/>
      <w:r>
        <w:rPr>
          <w:rFonts w:hint="eastAsia" w:ascii="宋体" w:hAnsi="宋体" w:eastAsia="宋体"/>
          <w:b/>
          <w:spacing w:val="0"/>
          <w:sz w:val="36"/>
          <w:lang w:val="en-US" w:eastAsia="zh-CN"/>
        </w:rPr>
        <w:t>投光灯</w:t>
      </w:r>
      <w:r>
        <w:rPr>
          <w:rFonts w:hint="eastAsia" w:ascii="宋体" w:hAnsi="宋体" w:eastAsia="宋体"/>
          <w:b/>
          <w:spacing w:val="0"/>
          <w:sz w:val="36"/>
        </w:rPr>
        <w:t>技术要求</w:t>
      </w:r>
    </w:p>
    <w:p>
      <w:pPr>
        <w:spacing w:line="360" w:lineRule="auto"/>
        <w:rPr>
          <w:rFonts w:hint="eastAsia" w:ascii="Times New Roman" w:hAnsi="Times New Roman" w:eastAsia="宋体" w:cs="Times New Roman"/>
          <w:b/>
          <w:bCs/>
          <w:color w:val="000000"/>
          <w:spacing w:val="0"/>
          <w:kern w:val="2"/>
          <w:sz w:val="28"/>
          <w:szCs w:val="28"/>
          <w:lang w:val="en-US" w:eastAsia="zh-CN" w:bidi="ar-SA"/>
        </w:rPr>
      </w:pPr>
      <w:bookmarkStart w:id="1" w:name="_Toc3203"/>
      <w:bookmarkStart w:id="2" w:name="_Toc3563"/>
      <w:bookmarkStart w:id="3" w:name="_Toc18268"/>
      <w:bookmarkStart w:id="4" w:name="_Toc4082"/>
      <w:bookmarkStart w:id="5" w:name="_Toc18780"/>
      <w:bookmarkStart w:id="6" w:name="_Toc20021"/>
      <w:bookmarkStart w:id="7" w:name="_Toc15368"/>
      <w:bookmarkStart w:id="8" w:name="_Toc16809"/>
      <w:r>
        <w:rPr>
          <w:rFonts w:hint="eastAsia" w:ascii="Times New Roman" w:hAnsi="Times New Roman" w:eastAsia="宋体" w:cs="Times New Roman"/>
          <w:b/>
          <w:bCs/>
          <w:color w:val="000000"/>
          <w:spacing w:val="0"/>
          <w:kern w:val="2"/>
          <w:sz w:val="28"/>
          <w:szCs w:val="28"/>
          <w:lang w:val="en-US" w:eastAsia="zh-CN" w:bidi="ar-SA"/>
        </w:rPr>
        <w:t>一、招标内容</w:t>
      </w:r>
      <w:bookmarkEnd w:id="1"/>
      <w:bookmarkEnd w:id="2"/>
      <w:bookmarkEnd w:id="3"/>
      <w:bookmarkEnd w:id="4"/>
      <w:bookmarkEnd w:id="5"/>
      <w:bookmarkEnd w:id="6"/>
      <w:bookmarkEnd w:id="7"/>
      <w:bookmarkEnd w:id="8"/>
    </w:p>
    <w:tbl>
      <w:tblPr>
        <w:tblStyle w:val="14"/>
        <w:tblpPr w:leftFromText="180" w:rightFromText="180" w:vertAnchor="text" w:horzAnchor="page" w:tblpX="2232" w:tblpY="65"/>
        <w:tblOverlap w:val="never"/>
        <w:tblW w:w="6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2185"/>
        <w:gridCol w:w="1613"/>
        <w:gridCol w:w="1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exact"/>
        </w:trPr>
        <w:tc>
          <w:tcPr>
            <w:tcW w:w="716" w:type="dxa"/>
            <w:noWrap w:val="0"/>
            <w:vAlign w:val="center"/>
          </w:tcPr>
          <w:p>
            <w:pPr>
              <w:jc w:val="center"/>
              <w:rPr>
                <w:rFonts w:ascii="宋体" w:hAnsi="宋体"/>
                <w:sz w:val="24"/>
              </w:rPr>
            </w:pPr>
            <w:r>
              <w:rPr>
                <w:rFonts w:hint="eastAsia" w:ascii="宋体" w:hAnsi="宋体"/>
                <w:sz w:val="24"/>
              </w:rPr>
              <w:t>序号</w:t>
            </w:r>
          </w:p>
        </w:tc>
        <w:tc>
          <w:tcPr>
            <w:tcW w:w="2185" w:type="dxa"/>
            <w:noWrap w:val="0"/>
            <w:vAlign w:val="center"/>
          </w:tcPr>
          <w:p>
            <w:pPr>
              <w:jc w:val="center"/>
              <w:rPr>
                <w:rFonts w:hint="default" w:ascii="宋体" w:hAnsi="宋体"/>
                <w:sz w:val="24"/>
                <w:lang w:val="en-US"/>
              </w:rPr>
            </w:pPr>
            <w:r>
              <w:rPr>
                <w:rFonts w:hint="eastAsia" w:ascii="宋体" w:hAnsi="宋体"/>
                <w:sz w:val="24"/>
                <w:lang w:val="en-US" w:eastAsia="zh-CN"/>
              </w:rPr>
              <w:t>灯具名称</w:t>
            </w:r>
          </w:p>
        </w:tc>
        <w:tc>
          <w:tcPr>
            <w:tcW w:w="1613" w:type="dxa"/>
            <w:noWrap w:val="0"/>
            <w:vAlign w:val="center"/>
          </w:tcPr>
          <w:p>
            <w:pPr>
              <w:jc w:val="center"/>
              <w:rPr>
                <w:rFonts w:hint="eastAsia" w:ascii="宋体" w:hAnsi="宋体" w:eastAsia="楷体_GB2312"/>
                <w:sz w:val="24"/>
                <w:lang w:val="en-US" w:eastAsia="zh-CN"/>
              </w:rPr>
            </w:pPr>
            <w:r>
              <w:rPr>
                <w:rFonts w:hint="eastAsia" w:ascii="宋体" w:hAnsi="宋体"/>
                <w:sz w:val="24"/>
                <w:lang w:val="en-US" w:eastAsia="zh-CN"/>
              </w:rPr>
              <w:t>功率（W）</w:t>
            </w:r>
          </w:p>
        </w:tc>
        <w:tc>
          <w:tcPr>
            <w:tcW w:w="1887" w:type="dxa"/>
            <w:noWrap w:val="0"/>
            <w:vAlign w:val="center"/>
          </w:tcPr>
          <w:p>
            <w:pPr>
              <w:jc w:val="center"/>
              <w:rPr>
                <w:rFonts w:hint="eastAsia" w:ascii="宋体" w:hAnsi="宋体"/>
                <w:sz w:val="24"/>
              </w:rPr>
            </w:pPr>
            <w:r>
              <w:rPr>
                <w:rFonts w:hint="eastAsia" w:ascii="宋体" w:hAnsi="宋体"/>
                <w:sz w:val="24"/>
              </w:rPr>
              <w:t>数量（套）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exact"/>
        </w:trPr>
        <w:tc>
          <w:tcPr>
            <w:tcW w:w="716" w:type="dxa"/>
            <w:noWrap w:val="0"/>
            <w:vAlign w:val="center"/>
          </w:tcPr>
          <w:p>
            <w:pPr>
              <w:jc w:val="center"/>
              <w:rPr>
                <w:rFonts w:ascii="宋体" w:hAnsi="宋体"/>
                <w:sz w:val="24"/>
              </w:rPr>
            </w:pPr>
            <w:r>
              <w:rPr>
                <w:rFonts w:hint="eastAsia" w:ascii="宋体" w:hAnsi="宋体"/>
                <w:sz w:val="24"/>
              </w:rPr>
              <w:t>1</w:t>
            </w:r>
          </w:p>
        </w:tc>
        <w:tc>
          <w:tcPr>
            <w:tcW w:w="2185" w:type="dxa"/>
            <w:noWrap w:val="0"/>
            <w:vAlign w:val="center"/>
          </w:tcPr>
          <w:p>
            <w:pPr>
              <w:jc w:val="center"/>
              <w:rPr>
                <w:rFonts w:hint="eastAsia" w:ascii="宋体" w:hAnsi="宋体"/>
                <w:sz w:val="24"/>
              </w:rPr>
            </w:pPr>
            <w:r>
              <w:rPr>
                <w:rFonts w:hint="eastAsia" w:ascii="宋体" w:hAnsi="宋体"/>
                <w:sz w:val="24"/>
                <w:lang w:val="en-US" w:eastAsia="zh-CN"/>
              </w:rPr>
              <w:t xml:space="preserve">150W </w:t>
            </w:r>
            <w:r>
              <w:rPr>
                <w:rFonts w:hint="eastAsia" w:ascii="宋体" w:hAnsi="宋体"/>
                <w:sz w:val="24"/>
              </w:rPr>
              <w:t>LED</w:t>
            </w:r>
            <w:r>
              <w:rPr>
                <w:rFonts w:hint="eastAsia" w:ascii="宋体" w:hAnsi="宋体"/>
                <w:sz w:val="24"/>
                <w:lang w:val="en-US" w:eastAsia="zh-CN"/>
              </w:rPr>
              <w:t>投光灯具</w:t>
            </w:r>
          </w:p>
        </w:tc>
        <w:tc>
          <w:tcPr>
            <w:tcW w:w="1613" w:type="dxa"/>
            <w:noWrap w:val="0"/>
            <w:vAlign w:val="center"/>
          </w:tcPr>
          <w:p>
            <w:pPr>
              <w:jc w:val="center"/>
              <w:rPr>
                <w:rFonts w:hint="default" w:ascii="宋体" w:hAnsi="宋体" w:eastAsia="楷体_GB2312"/>
                <w:sz w:val="24"/>
                <w:lang w:val="en-US" w:eastAsia="zh-CN"/>
              </w:rPr>
            </w:pPr>
            <w:r>
              <w:rPr>
                <w:rFonts w:hint="eastAsia" w:ascii="宋体" w:hAnsi="宋体"/>
                <w:sz w:val="24"/>
                <w:lang w:val="en-US" w:eastAsia="zh-CN"/>
              </w:rPr>
              <w:t>150</w:t>
            </w:r>
          </w:p>
        </w:tc>
        <w:tc>
          <w:tcPr>
            <w:tcW w:w="1887" w:type="dxa"/>
            <w:noWrap w:val="0"/>
            <w:vAlign w:val="center"/>
          </w:tcPr>
          <w:p>
            <w:pPr>
              <w:jc w:val="center"/>
              <w:rPr>
                <w:rFonts w:hint="default" w:ascii="宋体" w:hAnsi="宋体" w:eastAsia="楷体_GB2312"/>
                <w:sz w:val="24"/>
                <w:lang w:val="en-US" w:eastAsia="zh-CN"/>
              </w:rPr>
            </w:pPr>
            <w:r>
              <w:rPr>
                <w:rFonts w:hint="eastAsia" w:ascii="宋体" w:hAnsi="宋体"/>
                <w:sz w:val="24"/>
                <w:lang w:val="en-US" w:eastAsia="zh-CN"/>
              </w:rPr>
              <w:t>30</w:t>
            </w:r>
          </w:p>
        </w:tc>
      </w:tr>
      <w:bookmarkEnd w:id="0"/>
    </w:tbl>
    <w:p>
      <w:pPr>
        <w:tabs>
          <w:tab w:val="left" w:pos="0"/>
        </w:tabs>
        <w:spacing w:line="400" w:lineRule="exact"/>
        <w:ind w:right="-85" w:firstLine="422" w:firstLineChars="200"/>
        <w:outlineLvl w:val="1"/>
        <w:rPr>
          <w:rFonts w:hint="eastAsia" w:ascii="宋体" w:hAnsi="宋体" w:eastAsia="宋体"/>
          <w:b/>
          <w:bCs/>
          <w:spacing w:val="0"/>
          <w:sz w:val="21"/>
          <w:szCs w:val="21"/>
        </w:rPr>
      </w:pPr>
      <w:bookmarkStart w:id="9" w:name="_Toc452504500"/>
    </w:p>
    <w:p>
      <w:pPr>
        <w:tabs>
          <w:tab w:val="left" w:pos="0"/>
        </w:tabs>
        <w:spacing w:line="400" w:lineRule="exact"/>
        <w:ind w:right="-85" w:firstLine="422" w:firstLineChars="200"/>
        <w:outlineLvl w:val="1"/>
        <w:rPr>
          <w:rFonts w:hint="eastAsia" w:ascii="宋体" w:hAnsi="宋体" w:eastAsia="宋体"/>
          <w:b/>
          <w:bCs/>
          <w:spacing w:val="0"/>
          <w:sz w:val="21"/>
          <w:szCs w:val="21"/>
          <w:lang w:val="en-US" w:eastAsia="zh-CN"/>
        </w:rPr>
      </w:pPr>
    </w:p>
    <w:p>
      <w:pPr>
        <w:spacing w:line="360" w:lineRule="auto"/>
        <w:rPr>
          <w:rFonts w:hint="eastAsia" w:ascii="Times New Roman" w:hAnsi="Times New Roman" w:eastAsia="宋体" w:cs="Times New Roman"/>
          <w:b/>
          <w:bCs/>
          <w:color w:val="000000"/>
          <w:spacing w:val="0"/>
          <w:kern w:val="2"/>
          <w:sz w:val="28"/>
          <w:szCs w:val="28"/>
          <w:lang w:val="en-US" w:eastAsia="zh-CN" w:bidi="ar-SA"/>
        </w:rPr>
      </w:pPr>
    </w:p>
    <w:p>
      <w:pPr>
        <w:spacing w:line="360" w:lineRule="auto"/>
        <w:rPr>
          <w:rFonts w:hint="eastAsia" w:ascii="Times New Roman" w:hAnsi="Times New Roman" w:eastAsia="宋体" w:cs="Times New Roman"/>
          <w:b/>
          <w:bCs/>
          <w:color w:val="000000"/>
          <w:spacing w:val="0"/>
          <w:kern w:val="2"/>
          <w:sz w:val="28"/>
          <w:szCs w:val="28"/>
          <w:lang w:val="en-US" w:eastAsia="zh-CN" w:bidi="ar-SA"/>
        </w:rPr>
      </w:pPr>
      <w:bookmarkStart w:id="10" w:name="_GoBack"/>
      <w:r>
        <w:rPr>
          <w:rFonts w:hint="eastAsia" w:ascii="Times New Roman" w:hAnsi="Times New Roman" w:eastAsia="宋体" w:cs="Times New Roman"/>
          <w:b/>
          <w:bCs/>
          <w:color w:val="000000"/>
          <w:spacing w:val="0"/>
          <w:kern w:val="2"/>
          <w:sz w:val="28"/>
          <w:szCs w:val="28"/>
          <w:lang w:val="en-US" w:eastAsia="zh-CN" w:bidi="ar-SA"/>
        </w:rPr>
        <w:t>二、</w:t>
      </w:r>
      <w:bookmarkEnd w:id="9"/>
      <w:r>
        <w:rPr>
          <w:rFonts w:hint="eastAsia" w:ascii="Times New Roman" w:hAnsi="Times New Roman" w:eastAsia="宋体" w:cs="Times New Roman"/>
          <w:b/>
          <w:bCs/>
          <w:color w:val="000000"/>
          <w:spacing w:val="0"/>
          <w:kern w:val="2"/>
          <w:sz w:val="28"/>
          <w:szCs w:val="28"/>
          <w:lang w:val="en-US" w:eastAsia="zh-CN" w:bidi="ar-SA"/>
        </w:rPr>
        <w:t>投光灯主要技术参数</w:t>
      </w:r>
    </w:p>
    <w:bookmarkEnd w:id="10"/>
    <w:p>
      <w:pPr>
        <w:tabs>
          <w:tab w:val="left" w:pos="426"/>
        </w:tabs>
        <w:autoSpaceDE w:val="0"/>
        <w:autoSpaceDN w:val="0"/>
        <w:adjustRightInd w:val="0"/>
        <w:spacing w:line="380" w:lineRule="exact"/>
        <w:ind w:right="-644" w:rightChars="-230" w:firstLine="422" w:firstLineChars="200"/>
        <w:jc w:val="left"/>
        <w:rPr>
          <w:rFonts w:ascii="宋体" w:hAnsi="宋体" w:eastAsia="宋体"/>
          <w:b/>
          <w:spacing w:val="0"/>
          <w:sz w:val="21"/>
          <w:szCs w:val="21"/>
        </w:rPr>
      </w:pPr>
      <w:r>
        <w:rPr>
          <w:rFonts w:hint="eastAsia" w:ascii="宋体" w:hAnsi="宋体" w:eastAsia="宋体"/>
          <w:b/>
          <w:spacing w:val="0"/>
          <w:sz w:val="21"/>
          <w:szCs w:val="21"/>
        </w:rPr>
        <w:t>(一)照明设施的制造、检查、试验、验收须遵守下列标准：</w:t>
      </w:r>
    </w:p>
    <w:p>
      <w:pPr>
        <w:tabs>
          <w:tab w:val="left" w:pos="426"/>
        </w:tabs>
        <w:spacing w:line="380" w:lineRule="exact"/>
        <w:ind w:left="423" w:leftChars="151" w:firstLine="420" w:firstLineChars="200"/>
        <w:rPr>
          <w:rFonts w:ascii="宋体" w:hAnsi="宋体" w:eastAsia="宋体"/>
          <w:spacing w:val="0"/>
          <w:sz w:val="21"/>
          <w:szCs w:val="21"/>
        </w:rPr>
      </w:pPr>
      <w:r>
        <w:rPr>
          <w:rFonts w:hint="eastAsia" w:ascii="宋体" w:hAnsi="宋体" w:eastAsia="宋体"/>
          <w:spacing w:val="0"/>
          <w:sz w:val="21"/>
          <w:szCs w:val="21"/>
        </w:rPr>
        <w:t>IEC——国际电工技术委员会标准；</w:t>
      </w:r>
    </w:p>
    <w:p>
      <w:pPr>
        <w:tabs>
          <w:tab w:val="left" w:pos="426"/>
        </w:tabs>
        <w:spacing w:line="380" w:lineRule="exact"/>
        <w:ind w:left="423" w:leftChars="151" w:firstLine="420" w:firstLineChars="200"/>
        <w:rPr>
          <w:rFonts w:ascii="宋体" w:hAnsi="宋体" w:eastAsia="宋体"/>
          <w:spacing w:val="0"/>
          <w:sz w:val="21"/>
          <w:szCs w:val="21"/>
        </w:rPr>
      </w:pPr>
      <w:r>
        <w:rPr>
          <w:rFonts w:hint="eastAsia" w:ascii="宋体" w:hAnsi="宋体" w:eastAsia="宋体"/>
          <w:spacing w:val="0"/>
          <w:sz w:val="21"/>
          <w:szCs w:val="21"/>
        </w:rPr>
        <w:t>GB——中华人民共和国国家标准；</w:t>
      </w:r>
    </w:p>
    <w:p>
      <w:pPr>
        <w:tabs>
          <w:tab w:val="left" w:pos="426"/>
        </w:tabs>
        <w:spacing w:line="380" w:lineRule="exact"/>
        <w:ind w:left="423" w:leftChars="151" w:firstLine="420" w:firstLineChars="200"/>
        <w:rPr>
          <w:rFonts w:ascii="宋体" w:hAnsi="宋体" w:eastAsia="宋体"/>
          <w:spacing w:val="0"/>
          <w:sz w:val="21"/>
          <w:szCs w:val="21"/>
        </w:rPr>
      </w:pPr>
      <w:r>
        <w:rPr>
          <w:rFonts w:hint="eastAsia" w:ascii="宋体" w:hAnsi="宋体" w:eastAsia="宋体"/>
          <w:spacing w:val="0"/>
          <w:sz w:val="21"/>
          <w:szCs w:val="21"/>
        </w:rPr>
        <w:t>供货项目相应的中华人民共和国行业标准。</w:t>
      </w:r>
    </w:p>
    <w:p>
      <w:pPr>
        <w:tabs>
          <w:tab w:val="left" w:pos="426"/>
        </w:tabs>
        <w:spacing w:line="380" w:lineRule="exact"/>
        <w:ind w:firstLine="420" w:firstLineChars="200"/>
        <w:rPr>
          <w:rFonts w:ascii="宋体" w:hAnsi="宋体" w:eastAsia="宋体"/>
          <w:spacing w:val="0"/>
          <w:sz w:val="21"/>
          <w:szCs w:val="21"/>
        </w:rPr>
      </w:pPr>
      <w:r>
        <w:rPr>
          <w:rFonts w:hint="eastAsia" w:ascii="宋体" w:hAnsi="宋体" w:eastAsia="宋体"/>
          <w:spacing w:val="0"/>
          <w:sz w:val="21"/>
          <w:szCs w:val="21"/>
        </w:rPr>
        <w:t>如需采用其它已在国际上被广泛接受的标准，且与IEC标准相当,经招标方认可后可以使用。GB或IEC标准中要求引用的其它相关标准视为延伸标准，也须执行。列入国家3C认证产品目录里的产品,必须获得3C认证,并有认证标识。</w:t>
      </w:r>
    </w:p>
    <w:p>
      <w:pPr>
        <w:tabs>
          <w:tab w:val="left" w:pos="426"/>
        </w:tabs>
        <w:spacing w:line="380" w:lineRule="exact"/>
        <w:ind w:firstLine="420" w:firstLineChars="200"/>
        <w:rPr>
          <w:rFonts w:ascii="宋体" w:hAnsi="宋体" w:eastAsia="宋体"/>
          <w:spacing w:val="0"/>
          <w:sz w:val="21"/>
          <w:szCs w:val="21"/>
        </w:rPr>
      </w:pPr>
      <w:r>
        <w:rPr>
          <w:rFonts w:hint="eastAsia" w:ascii="宋体" w:hAnsi="宋体" w:eastAsia="宋体"/>
          <w:spacing w:val="0"/>
          <w:sz w:val="21"/>
          <w:szCs w:val="21"/>
        </w:rPr>
        <w:t>设备应遵循以下最新版的国家标准及有关行业标准（国标末列部分参照IEC标准），但不限于此：</w:t>
      </w:r>
    </w:p>
    <w:p>
      <w:pPr>
        <w:spacing w:line="360" w:lineRule="exact"/>
        <w:ind w:right="-98" w:rightChars="-35" w:firstLine="315" w:firstLineChars="150"/>
        <w:jc w:val="left"/>
        <w:rPr>
          <w:rFonts w:ascii="宋体" w:hAnsi="宋体" w:eastAsia="宋体"/>
          <w:spacing w:val="0"/>
          <w:kern w:val="18"/>
          <w:sz w:val="21"/>
          <w:szCs w:val="21"/>
        </w:rPr>
      </w:pPr>
      <w:r>
        <w:rPr>
          <w:rFonts w:hint="eastAsia" w:ascii="宋体" w:hAnsi="宋体" w:eastAsia="宋体"/>
          <w:spacing w:val="0"/>
          <w:sz w:val="21"/>
          <w:szCs w:val="21"/>
          <w:lang w:val="en-US" w:eastAsia="zh-CN"/>
        </w:rPr>
        <w:t>1</w:t>
      </w:r>
      <w:r>
        <w:rPr>
          <w:rFonts w:hint="eastAsia" w:ascii="宋体" w:hAnsi="宋体" w:eastAsia="宋体"/>
          <w:spacing w:val="0"/>
          <w:kern w:val="18"/>
          <w:sz w:val="21"/>
          <w:szCs w:val="21"/>
        </w:rPr>
        <w:t>、CJJ45-2015《城市道路照明设计规范》</w:t>
      </w:r>
    </w:p>
    <w:p>
      <w:pPr>
        <w:spacing w:line="360" w:lineRule="exact"/>
        <w:ind w:right="-98" w:rightChars="-35" w:firstLine="315" w:firstLineChars="150"/>
        <w:jc w:val="left"/>
        <w:rPr>
          <w:rFonts w:ascii="宋体" w:hAnsi="宋体" w:eastAsia="宋体"/>
          <w:spacing w:val="0"/>
          <w:kern w:val="18"/>
          <w:sz w:val="21"/>
          <w:szCs w:val="21"/>
        </w:rPr>
      </w:pPr>
      <w:r>
        <w:rPr>
          <w:rFonts w:hint="eastAsia" w:ascii="宋体" w:hAnsi="宋体" w:eastAsia="宋体"/>
          <w:spacing w:val="0"/>
          <w:kern w:val="18"/>
          <w:sz w:val="21"/>
          <w:szCs w:val="21"/>
          <w:lang w:val="en-US" w:eastAsia="zh-CN"/>
        </w:rPr>
        <w:t>2</w:t>
      </w:r>
      <w:r>
        <w:rPr>
          <w:rFonts w:hint="eastAsia" w:ascii="宋体" w:hAnsi="宋体" w:eastAsia="宋体"/>
          <w:spacing w:val="0"/>
          <w:kern w:val="18"/>
          <w:sz w:val="21"/>
          <w:szCs w:val="21"/>
        </w:rPr>
        <w:t>、QBT3741-1999《灯具电镀、化学覆盖层 》</w:t>
      </w:r>
    </w:p>
    <w:p>
      <w:pPr>
        <w:spacing w:line="360" w:lineRule="exact"/>
        <w:ind w:left="421" w:leftChars="113" w:right="-98" w:rightChars="-35" w:hanging="105" w:hangingChars="50"/>
        <w:jc w:val="left"/>
        <w:rPr>
          <w:rFonts w:ascii="宋体" w:hAnsi="宋体" w:eastAsia="宋体"/>
          <w:spacing w:val="0"/>
          <w:kern w:val="18"/>
          <w:sz w:val="21"/>
          <w:szCs w:val="21"/>
        </w:rPr>
      </w:pPr>
      <w:r>
        <w:rPr>
          <w:rFonts w:hint="eastAsia" w:ascii="宋体" w:hAnsi="宋体" w:eastAsia="宋体" w:cs="仿宋"/>
          <w:bCs/>
          <w:spacing w:val="0"/>
          <w:kern w:val="18"/>
          <w:sz w:val="21"/>
          <w:szCs w:val="24"/>
          <w:lang w:val="en-US" w:eastAsia="zh-CN"/>
        </w:rPr>
        <w:t>3</w:t>
      </w:r>
      <w:r>
        <w:rPr>
          <w:rFonts w:hint="eastAsia" w:ascii="宋体" w:hAnsi="宋体" w:eastAsia="宋体" w:cs="仿宋"/>
          <w:bCs/>
          <w:spacing w:val="0"/>
          <w:kern w:val="18"/>
          <w:sz w:val="21"/>
          <w:szCs w:val="24"/>
        </w:rPr>
        <w:t>、GB/T 17743-2017</w:t>
      </w:r>
      <w:r>
        <w:rPr>
          <w:rFonts w:hint="eastAsia" w:ascii="宋体" w:hAnsi="宋体" w:eastAsia="宋体"/>
          <w:spacing w:val="0"/>
          <w:kern w:val="18"/>
          <w:sz w:val="21"/>
          <w:szCs w:val="21"/>
        </w:rPr>
        <w:t>《电气照明和类似设备的无线电骚扰特性的限值和测量方法》</w:t>
      </w:r>
    </w:p>
    <w:p>
      <w:pPr>
        <w:spacing w:line="360" w:lineRule="exact"/>
        <w:ind w:left="421" w:leftChars="113" w:right="-98" w:rightChars="-35" w:hanging="105" w:hangingChars="50"/>
        <w:jc w:val="left"/>
        <w:rPr>
          <w:rFonts w:ascii="宋体" w:hAnsi="宋体" w:eastAsia="宋体"/>
          <w:spacing w:val="0"/>
          <w:kern w:val="18"/>
          <w:sz w:val="21"/>
          <w:szCs w:val="21"/>
        </w:rPr>
      </w:pPr>
      <w:r>
        <w:rPr>
          <w:rFonts w:hint="eastAsia" w:ascii="宋体" w:hAnsi="宋体" w:eastAsia="宋体"/>
          <w:spacing w:val="0"/>
          <w:kern w:val="18"/>
          <w:sz w:val="21"/>
          <w:szCs w:val="21"/>
          <w:lang w:val="en-US" w:eastAsia="zh-CN"/>
        </w:rPr>
        <w:t>4</w:t>
      </w:r>
      <w:r>
        <w:rPr>
          <w:rFonts w:hint="eastAsia" w:ascii="宋体" w:hAnsi="宋体" w:eastAsia="宋体"/>
          <w:spacing w:val="0"/>
          <w:kern w:val="18"/>
          <w:sz w:val="21"/>
          <w:szCs w:val="21"/>
        </w:rPr>
        <w:t>、GB17625.1-2012 《</w:t>
      </w:r>
      <w:r>
        <w:rPr>
          <w:rFonts w:hint="eastAsia" w:eastAsia="宋体" w:cs="仿宋"/>
          <w:spacing w:val="0"/>
          <w:kern w:val="18"/>
          <w:sz w:val="21"/>
          <w:szCs w:val="24"/>
        </w:rPr>
        <w:t>电磁兼容限值谐波电流发射限值(设备每相输入电流≤16A)</w:t>
      </w:r>
      <w:r>
        <w:rPr>
          <w:rFonts w:hint="eastAsia" w:ascii="宋体" w:hAnsi="宋体" w:eastAsia="宋体"/>
          <w:spacing w:val="0"/>
          <w:kern w:val="18"/>
          <w:sz w:val="21"/>
          <w:szCs w:val="21"/>
        </w:rPr>
        <w:t>》</w:t>
      </w:r>
    </w:p>
    <w:p>
      <w:pPr>
        <w:spacing w:line="360" w:lineRule="exact"/>
        <w:ind w:right="-98" w:rightChars="-35" w:firstLine="315" w:firstLineChars="150"/>
        <w:jc w:val="left"/>
        <w:rPr>
          <w:rFonts w:ascii="宋体" w:hAnsi="宋体" w:eastAsia="宋体"/>
          <w:b/>
          <w:spacing w:val="0"/>
          <w:kern w:val="18"/>
          <w:sz w:val="21"/>
          <w:szCs w:val="21"/>
        </w:rPr>
      </w:pPr>
      <w:r>
        <w:rPr>
          <w:rFonts w:hint="eastAsia" w:ascii="宋体" w:hAnsi="宋体" w:eastAsia="宋体" w:cs="仿宋"/>
          <w:bCs/>
          <w:spacing w:val="0"/>
          <w:kern w:val="18"/>
          <w:sz w:val="21"/>
          <w:lang w:val="en-US" w:eastAsia="zh-CN"/>
        </w:rPr>
        <w:t>5</w:t>
      </w:r>
      <w:r>
        <w:rPr>
          <w:rFonts w:hint="eastAsia" w:ascii="宋体" w:hAnsi="宋体" w:eastAsia="宋体" w:cs="仿宋"/>
          <w:bCs/>
          <w:spacing w:val="0"/>
          <w:kern w:val="18"/>
          <w:sz w:val="21"/>
        </w:rPr>
        <w:t>、GB 17625.2-2007</w:t>
      </w:r>
      <w:r>
        <w:rPr>
          <w:rFonts w:hint="eastAsia" w:ascii="宋体" w:hAnsi="宋体" w:eastAsia="宋体"/>
          <w:spacing w:val="0"/>
          <w:kern w:val="18"/>
          <w:sz w:val="21"/>
          <w:szCs w:val="21"/>
        </w:rPr>
        <w:t>《</w:t>
      </w:r>
      <w:r>
        <w:rPr>
          <w:rFonts w:hint="eastAsia" w:eastAsia="宋体" w:cs="仿宋"/>
          <w:spacing w:val="0"/>
          <w:kern w:val="18"/>
          <w:sz w:val="21"/>
          <w:szCs w:val="21"/>
        </w:rPr>
        <w:t>电磁兼容限值对每相额定电流≤16A且无条件接入的设备在公用低压供电系统中产生的电压变化、电压波动和闪烁的限制</w:t>
      </w:r>
      <w:r>
        <w:rPr>
          <w:rFonts w:hint="eastAsia" w:ascii="宋体" w:hAnsi="宋体" w:eastAsia="宋体"/>
          <w:spacing w:val="0"/>
          <w:kern w:val="18"/>
          <w:sz w:val="21"/>
          <w:szCs w:val="21"/>
        </w:rPr>
        <w:t>》</w:t>
      </w:r>
    </w:p>
    <w:p>
      <w:pPr>
        <w:spacing w:line="360" w:lineRule="exact"/>
        <w:ind w:left="421" w:leftChars="113" w:right="-98" w:rightChars="-35" w:hanging="105" w:hangingChars="50"/>
        <w:jc w:val="left"/>
        <w:rPr>
          <w:rFonts w:ascii="宋体" w:hAnsi="宋体" w:eastAsia="宋体"/>
          <w:spacing w:val="0"/>
          <w:kern w:val="18"/>
          <w:sz w:val="21"/>
          <w:szCs w:val="21"/>
        </w:rPr>
      </w:pPr>
      <w:r>
        <w:rPr>
          <w:rFonts w:hint="eastAsia" w:ascii="宋体" w:hAnsi="宋体" w:eastAsia="宋体"/>
          <w:spacing w:val="0"/>
          <w:kern w:val="18"/>
          <w:sz w:val="21"/>
          <w:szCs w:val="21"/>
          <w:lang w:val="en-US" w:eastAsia="zh-CN"/>
        </w:rPr>
        <w:t>6</w:t>
      </w:r>
      <w:r>
        <w:rPr>
          <w:rFonts w:hint="eastAsia" w:ascii="宋体" w:hAnsi="宋体" w:eastAsia="宋体"/>
          <w:spacing w:val="0"/>
          <w:kern w:val="18"/>
          <w:sz w:val="21"/>
          <w:szCs w:val="21"/>
        </w:rPr>
        <w:t>、GB/T 5702-2003 《光源显色性评价方法》</w:t>
      </w:r>
    </w:p>
    <w:p>
      <w:pPr>
        <w:spacing w:line="360" w:lineRule="exact"/>
        <w:ind w:left="316" w:leftChars="113" w:right="-98" w:rightChars="-35"/>
        <w:jc w:val="left"/>
        <w:rPr>
          <w:rFonts w:ascii="宋体" w:hAnsi="宋体" w:eastAsia="宋体"/>
          <w:spacing w:val="0"/>
          <w:kern w:val="18"/>
          <w:sz w:val="21"/>
          <w:szCs w:val="21"/>
        </w:rPr>
      </w:pPr>
      <w:r>
        <w:rPr>
          <w:rFonts w:hint="eastAsia" w:ascii="宋体" w:hAnsi="宋体" w:eastAsia="宋体" w:cs="仿宋"/>
          <w:bCs/>
          <w:spacing w:val="0"/>
          <w:kern w:val="18"/>
          <w:sz w:val="21"/>
          <w:szCs w:val="24"/>
          <w:lang w:val="en-US" w:eastAsia="zh-CN"/>
        </w:rPr>
        <w:t>7</w:t>
      </w:r>
      <w:r>
        <w:rPr>
          <w:rFonts w:hint="eastAsia" w:ascii="宋体" w:hAnsi="宋体" w:eastAsia="宋体" w:cs="仿宋"/>
          <w:bCs/>
          <w:spacing w:val="0"/>
          <w:kern w:val="18"/>
          <w:sz w:val="21"/>
          <w:szCs w:val="24"/>
        </w:rPr>
        <w:t xml:space="preserve">、GB/T 18595-2014 </w:t>
      </w:r>
      <w:r>
        <w:rPr>
          <w:rFonts w:hint="eastAsia" w:ascii="宋体" w:hAnsi="宋体" w:eastAsia="宋体"/>
          <w:spacing w:val="0"/>
          <w:kern w:val="18"/>
          <w:sz w:val="21"/>
          <w:szCs w:val="21"/>
        </w:rPr>
        <w:t>《</w:t>
      </w:r>
      <w:r>
        <w:rPr>
          <w:rFonts w:hint="eastAsia" w:eastAsia="宋体" w:cs="仿宋"/>
          <w:spacing w:val="0"/>
          <w:kern w:val="18"/>
          <w:sz w:val="21"/>
          <w:szCs w:val="24"/>
        </w:rPr>
        <w:t>一般照明用设备电磁兼容抗扰度要求</w:t>
      </w:r>
      <w:r>
        <w:rPr>
          <w:rFonts w:hint="eastAsia" w:ascii="宋体" w:hAnsi="宋体" w:eastAsia="宋体"/>
          <w:spacing w:val="0"/>
          <w:kern w:val="18"/>
          <w:sz w:val="21"/>
          <w:szCs w:val="21"/>
        </w:rPr>
        <w:t>》</w:t>
      </w:r>
      <w:r>
        <w:rPr>
          <w:rFonts w:hint="eastAsia" w:ascii="宋体" w:hAnsi="宋体" w:eastAsia="宋体"/>
          <w:spacing w:val="0"/>
          <w:kern w:val="18"/>
          <w:sz w:val="21"/>
          <w:szCs w:val="21"/>
        </w:rPr>
        <w:br w:type="textWrapping"/>
      </w:r>
      <w:r>
        <w:rPr>
          <w:rFonts w:hint="eastAsia" w:ascii="宋体" w:hAnsi="宋体" w:eastAsia="宋体"/>
          <w:spacing w:val="0"/>
          <w:kern w:val="18"/>
          <w:sz w:val="21"/>
          <w:szCs w:val="21"/>
          <w:lang w:val="en-US" w:eastAsia="zh-CN"/>
        </w:rPr>
        <w:t>8</w:t>
      </w:r>
      <w:r>
        <w:rPr>
          <w:rFonts w:hint="eastAsia" w:ascii="宋体" w:hAnsi="宋体" w:eastAsia="宋体"/>
          <w:spacing w:val="0"/>
          <w:kern w:val="18"/>
          <w:sz w:val="21"/>
          <w:szCs w:val="21"/>
        </w:rPr>
        <w:t>、GB/T 7922-2008 《照明光源颜色的测量方法》</w:t>
      </w:r>
    </w:p>
    <w:p>
      <w:pPr>
        <w:spacing w:line="360" w:lineRule="exact"/>
        <w:ind w:left="316" w:leftChars="113" w:right="-98" w:rightChars="-35"/>
        <w:jc w:val="left"/>
        <w:rPr>
          <w:rFonts w:ascii="宋体" w:hAnsi="宋体" w:eastAsia="宋体"/>
          <w:b/>
          <w:spacing w:val="0"/>
          <w:kern w:val="18"/>
          <w:sz w:val="21"/>
          <w:szCs w:val="21"/>
        </w:rPr>
      </w:pPr>
      <w:r>
        <w:rPr>
          <w:rFonts w:hint="eastAsia" w:ascii="宋体" w:hAnsi="宋体" w:eastAsia="宋体"/>
          <w:spacing w:val="0"/>
          <w:kern w:val="18"/>
          <w:sz w:val="21"/>
          <w:szCs w:val="21"/>
          <w:lang w:val="en-US" w:eastAsia="zh-CN"/>
        </w:rPr>
        <w:t>9</w:t>
      </w:r>
      <w:r>
        <w:rPr>
          <w:rFonts w:hint="eastAsia" w:ascii="宋体" w:hAnsi="宋体" w:eastAsia="宋体"/>
          <w:spacing w:val="0"/>
          <w:kern w:val="18"/>
          <w:sz w:val="21"/>
          <w:szCs w:val="21"/>
        </w:rPr>
        <w:t>、JJG 211-2005 《光亮度计检定规程》</w:t>
      </w:r>
      <w:r>
        <w:rPr>
          <w:rFonts w:hint="eastAsia" w:ascii="宋体" w:hAnsi="宋体" w:eastAsia="宋体"/>
          <w:spacing w:val="0"/>
          <w:kern w:val="18"/>
          <w:sz w:val="21"/>
          <w:szCs w:val="21"/>
        </w:rPr>
        <w:br w:type="textWrapping"/>
      </w:r>
      <w:r>
        <w:rPr>
          <w:rFonts w:hint="eastAsia" w:ascii="宋体" w:hAnsi="宋体" w:eastAsia="宋体"/>
          <w:spacing w:val="0"/>
          <w:kern w:val="18"/>
          <w:sz w:val="21"/>
          <w:szCs w:val="21"/>
          <w:lang w:val="en-US" w:eastAsia="zh-CN"/>
        </w:rPr>
        <w:t>10</w:t>
      </w:r>
      <w:r>
        <w:rPr>
          <w:rFonts w:hint="eastAsia" w:ascii="宋体" w:hAnsi="宋体" w:eastAsia="宋体"/>
          <w:spacing w:val="0"/>
          <w:kern w:val="18"/>
          <w:sz w:val="21"/>
          <w:szCs w:val="21"/>
        </w:rPr>
        <w:t>、JJG 245-2005 《光照度计检定规程》</w:t>
      </w:r>
      <w:r>
        <w:rPr>
          <w:rFonts w:hint="eastAsia" w:ascii="宋体" w:hAnsi="宋体" w:eastAsia="宋体"/>
          <w:spacing w:val="0"/>
          <w:kern w:val="18"/>
          <w:sz w:val="21"/>
          <w:szCs w:val="21"/>
        </w:rPr>
        <w:br w:type="textWrapping"/>
      </w:r>
      <w:r>
        <w:rPr>
          <w:rFonts w:hint="eastAsia" w:ascii="宋体" w:hAnsi="宋体" w:eastAsia="宋体"/>
          <w:spacing w:val="0"/>
          <w:kern w:val="18"/>
          <w:sz w:val="21"/>
          <w:szCs w:val="21"/>
          <w:lang w:val="en-US" w:eastAsia="zh-CN"/>
        </w:rPr>
        <w:t>11</w:t>
      </w:r>
      <w:r>
        <w:rPr>
          <w:rFonts w:hint="eastAsia" w:ascii="宋体" w:hAnsi="宋体" w:eastAsia="宋体"/>
          <w:spacing w:val="0"/>
          <w:kern w:val="18"/>
          <w:sz w:val="21"/>
          <w:szCs w:val="21"/>
        </w:rPr>
        <w:t>、GB 7000.7-2005《投光灯具安全要求》</w:t>
      </w:r>
      <w:r>
        <w:rPr>
          <w:rFonts w:hint="eastAsia" w:ascii="宋体" w:hAnsi="宋体" w:eastAsia="宋体"/>
          <w:spacing w:val="0"/>
          <w:kern w:val="18"/>
          <w:sz w:val="21"/>
          <w:szCs w:val="21"/>
        </w:rPr>
        <w:br w:type="textWrapping"/>
      </w:r>
      <w:r>
        <w:rPr>
          <w:rFonts w:hint="eastAsia" w:ascii="宋体" w:hAnsi="宋体" w:eastAsia="宋体"/>
          <w:spacing w:val="0"/>
          <w:kern w:val="18"/>
          <w:sz w:val="21"/>
          <w:szCs w:val="21"/>
          <w:lang w:val="en-US" w:eastAsia="zh-CN"/>
        </w:rPr>
        <w:t>12</w:t>
      </w:r>
      <w:r>
        <w:rPr>
          <w:rFonts w:hint="eastAsia" w:ascii="宋体" w:hAnsi="宋体" w:eastAsia="宋体"/>
          <w:spacing w:val="0"/>
          <w:kern w:val="18"/>
          <w:sz w:val="21"/>
          <w:szCs w:val="21"/>
        </w:rPr>
        <w:t>、GB 7000.1-2015 《</w:t>
      </w:r>
      <w:r>
        <w:rPr>
          <w:rFonts w:hint="eastAsia" w:eastAsia="宋体" w:cs="仿宋"/>
          <w:spacing w:val="0"/>
          <w:kern w:val="18"/>
          <w:sz w:val="21"/>
          <w:szCs w:val="24"/>
        </w:rPr>
        <w:t>灯具第1部分：一般要求与试验</w:t>
      </w:r>
      <w:r>
        <w:rPr>
          <w:rFonts w:hint="eastAsia" w:ascii="宋体" w:hAnsi="宋体" w:eastAsia="宋体"/>
          <w:spacing w:val="0"/>
          <w:kern w:val="18"/>
          <w:sz w:val="21"/>
          <w:szCs w:val="21"/>
        </w:rPr>
        <w:t>》</w:t>
      </w:r>
    </w:p>
    <w:p>
      <w:pPr>
        <w:pStyle w:val="7"/>
        <w:tabs>
          <w:tab w:val="left" w:pos="-2655"/>
          <w:tab w:val="left" w:pos="426"/>
        </w:tabs>
        <w:spacing w:line="380" w:lineRule="exact"/>
        <w:ind w:left="0" w:firstLine="422" w:firstLineChars="200"/>
        <w:rPr>
          <w:rFonts w:ascii="宋体" w:hAnsi="宋体" w:eastAsia="宋体"/>
          <w:b/>
          <w:color w:val="0070C0"/>
          <w:spacing w:val="0"/>
          <w:sz w:val="21"/>
          <w:szCs w:val="21"/>
        </w:rPr>
      </w:pPr>
    </w:p>
    <w:p>
      <w:pPr>
        <w:pStyle w:val="7"/>
        <w:tabs>
          <w:tab w:val="left" w:pos="-2655"/>
          <w:tab w:val="left" w:pos="426"/>
        </w:tabs>
        <w:spacing w:line="380" w:lineRule="exact"/>
        <w:ind w:left="0" w:firstLine="422" w:firstLineChars="200"/>
        <w:rPr>
          <w:rFonts w:ascii="宋体" w:hAnsi="宋体" w:eastAsia="宋体"/>
          <w:b/>
          <w:spacing w:val="0"/>
          <w:sz w:val="21"/>
          <w:szCs w:val="21"/>
        </w:rPr>
      </w:pPr>
      <w:r>
        <w:rPr>
          <w:rFonts w:hint="eastAsia" w:ascii="宋体" w:hAnsi="宋体" w:eastAsia="宋体"/>
          <w:b/>
          <w:spacing w:val="0"/>
          <w:sz w:val="21"/>
          <w:szCs w:val="21"/>
        </w:rPr>
        <w:t>(</w:t>
      </w:r>
      <w:r>
        <w:rPr>
          <w:rFonts w:hint="eastAsia" w:ascii="宋体" w:hAnsi="宋体" w:eastAsia="宋体"/>
          <w:b/>
          <w:spacing w:val="0"/>
          <w:sz w:val="21"/>
          <w:szCs w:val="21"/>
          <w:lang w:val="en-US" w:eastAsia="zh-CN"/>
        </w:rPr>
        <w:t>二</w:t>
      </w:r>
      <w:r>
        <w:rPr>
          <w:rFonts w:hint="eastAsia" w:ascii="宋体" w:hAnsi="宋体" w:eastAsia="宋体"/>
          <w:b/>
          <w:spacing w:val="0"/>
          <w:sz w:val="21"/>
          <w:szCs w:val="21"/>
        </w:rPr>
        <w:t>)灯具技术要求</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本次采购功率为</w:t>
      </w:r>
      <w:r>
        <w:rPr>
          <w:rFonts w:hint="eastAsia" w:ascii="宋体" w:hAnsi="宋体" w:eastAsia="宋体"/>
          <w:b/>
          <w:spacing w:val="0"/>
          <w:kern w:val="18"/>
          <w:sz w:val="21"/>
          <w:szCs w:val="21"/>
          <w:u w:val="single"/>
          <w:lang w:val="en-US" w:eastAsia="zh-CN"/>
        </w:rPr>
        <w:t>1</w:t>
      </w:r>
      <w:r>
        <w:rPr>
          <w:rFonts w:hint="eastAsia" w:ascii="宋体" w:hAnsi="宋体" w:eastAsia="宋体"/>
          <w:b/>
          <w:spacing w:val="0"/>
          <w:kern w:val="18"/>
          <w:sz w:val="21"/>
          <w:szCs w:val="21"/>
          <w:u w:val="single"/>
        </w:rPr>
        <w:t>50W</w:t>
      </w:r>
      <w:r>
        <w:rPr>
          <w:rFonts w:hint="eastAsia" w:ascii="宋体" w:hAnsi="宋体" w:eastAsia="宋体"/>
          <w:spacing w:val="0"/>
          <w:kern w:val="18"/>
          <w:sz w:val="21"/>
          <w:szCs w:val="21"/>
        </w:rPr>
        <w:t>的LED</w:t>
      </w:r>
      <w:r>
        <w:rPr>
          <w:rFonts w:hint="eastAsia" w:ascii="宋体" w:hAnsi="宋体" w:eastAsia="宋体"/>
          <w:spacing w:val="0"/>
          <w:kern w:val="18"/>
          <w:sz w:val="21"/>
          <w:szCs w:val="21"/>
          <w:lang w:val="en-US" w:eastAsia="zh-CN"/>
        </w:rPr>
        <w:t>投光</w:t>
      </w:r>
      <w:r>
        <w:rPr>
          <w:rFonts w:hint="eastAsia" w:ascii="宋体" w:hAnsi="宋体" w:eastAsia="宋体"/>
          <w:spacing w:val="0"/>
          <w:kern w:val="18"/>
          <w:sz w:val="21"/>
          <w:szCs w:val="21"/>
        </w:rPr>
        <w:t>灯具</w:t>
      </w:r>
      <w:r>
        <w:rPr>
          <w:rFonts w:hint="eastAsia" w:ascii="宋体" w:hAnsi="宋体" w:eastAsia="宋体"/>
          <w:spacing w:val="0"/>
          <w:kern w:val="18"/>
          <w:sz w:val="21"/>
          <w:szCs w:val="21"/>
          <w:lang w:eastAsia="zh-CN"/>
        </w:rPr>
        <w:t>。</w:t>
      </w:r>
      <w:r>
        <w:rPr>
          <w:rFonts w:hint="eastAsia" w:ascii="宋体" w:hAnsi="宋体" w:eastAsia="宋体"/>
          <w:spacing w:val="0"/>
          <w:kern w:val="18"/>
          <w:sz w:val="21"/>
          <w:szCs w:val="21"/>
        </w:rPr>
        <w:t>注：本采购项目的灯具功率允许偏差为±5%。</w:t>
      </w:r>
    </w:p>
    <w:p>
      <w:pPr>
        <w:pStyle w:val="7"/>
        <w:tabs>
          <w:tab w:val="left" w:pos="-2655"/>
          <w:tab w:val="left" w:pos="426"/>
        </w:tabs>
        <w:spacing w:line="380" w:lineRule="exact"/>
        <w:ind w:firstLine="422"/>
        <w:rPr>
          <w:rFonts w:ascii="宋体" w:hAnsi="宋体" w:eastAsia="宋体"/>
          <w:b/>
          <w:spacing w:val="0"/>
          <w:kern w:val="18"/>
          <w:sz w:val="21"/>
          <w:szCs w:val="21"/>
        </w:rPr>
      </w:pPr>
      <w:r>
        <w:rPr>
          <w:rFonts w:hint="eastAsia" w:ascii="宋体" w:hAnsi="宋体" w:eastAsia="宋体"/>
          <w:b/>
          <w:spacing w:val="0"/>
          <w:kern w:val="18"/>
          <w:sz w:val="21"/>
          <w:szCs w:val="21"/>
        </w:rPr>
        <w:t>1、LED芯片</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（1）、LED泛光灯具在安全上应符合GB7000.7-2005的要求。</w:t>
      </w:r>
    </w:p>
    <w:p>
      <w:pPr>
        <w:pStyle w:val="7"/>
        <w:tabs>
          <w:tab w:val="left" w:pos="-2655"/>
          <w:tab w:val="left" w:pos="426"/>
        </w:tabs>
        <w:spacing w:line="380" w:lineRule="exact"/>
        <w:ind w:firstLine="422" w:firstLineChars="200"/>
        <w:rPr>
          <w:rFonts w:ascii="宋体" w:hAnsi="宋体" w:eastAsia="宋体"/>
          <w:spacing w:val="0"/>
          <w:kern w:val="18"/>
          <w:sz w:val="21"/>
          <w:szCs w:val="21"/>
        </w:rPr>
      </w:pPr>
      <w:r>
        <w:rPr>
          <w:rFonts w:hint="eastAsia" w:ascii="宋体" w:hAnsi="宋体" w:eastAsia="宋体"/>
          <w:b/>
          <w:spacing w:val="0"/>
          <w:kern w:val="18"/>
          <w:sz w:val="21"/>
          <w:szCs w:val="21"/>
        </w:rPr>
        <w:t>▲</w:t>
      </w:r>
      <w:r>
        <w:rPr>
          <w:rFonts w:hint="eastAsia" w:ascii="宋体" w:hAnsi="宋体" w:eastAsia="宋体"/>
          <w:spacing w:val="0"/>
          <w:kern w:val="18"/>
          <w:sz w:val="21"/>
          <w:szCs w:val="21"/>
        </w:rPr>
        <w:t>（2）、LED泛光灯具采用单颗 LED芯片功率型封装方式，不采用多芯片COB封装方式。</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3）、LED芯片要求采用成熟的功率型产品，并采用低热阻、散热良好、低应力、耐高温、抗高压的封装及高折射率、抗劣化的封装材料，保证功率型LED工作的稳定性、可靠性及高效性。每颗芯片功率≥1W；灯珠光效不低于140LM/W；在额定工作状态下单颗灯珠利用率在60%以下、灯珠结温不高于80℃。</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提供LED芯片生产厂家及封装厂家名称，封装后LED灯珠的主要技术指标参数规格书（出厂参数），规格书中应包含色温、显色系数、正向工作电流、功率、最大正向工作电流、允许功耗、温度等参数。</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（4）、配光透镜采用ZHAGA透镜，采用优质PC光学透镜，透过率≥90％，透镜材料通过严苛耐候性试验（-40~+80°C）。</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配光应根据道路及灯具配置情况，设计符合道路照明规范的配光，配光技术参数满足《城市道路照明设计标准》要求。</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（5）、LED</w:t>
      </w:r>
      <w:r>
        <w:rPr>
          <w:rFonts w:hint="eastAsia" w:ascii="宋体" w:hAnsi="宋体" w:eastAsia="宋体"/>
          <w:spacing w:val="0"/>
          <w:kern w:val="18"/>
          <w:sz w:val="21"/>
          <w:szCs w:val="21"/>
          <w:lang w:val="en-US" w:eastAsia="zh-CN"/>
        </w:rPr>
        <w:t>投光</w:t>
      </w:r>
      <w:r>
        <w:rPr>
          <w:rFonts w:hint="eastAsia" w:ascii="宋体" w:hAnsi="宋体" w:eastAsia="宋体"/>
          <w:spacing w:val="0"/>
          <w:kern w:val="18"/>
          <w:sz w:val="21"/>
          <w:szCs w:val="21"/>
        </w:rPr>
        <w:t>灯具的防护等级不低于</w:t>
      </w:r>
      <w:r>
        <w:rPr>
          <w:rFonts w:hint="eastAsia" w:ascii="宋体" w:hAnsi="宋体" w:eastAsia="宋体"/>
          <w:b/>
          <w:bCs/>
          <w:color w:val="auto"/>
          <w:spacing w:val="0"/>
          <w:kern w:val="18"/>
          <w:sz w:val="21"/>
          <w:szCs w:val="21"/>
        </w:rPr>
        <w:t>IP6</w:t>
      </w:r>
      <w:r>
        <w:rPr>
          <w:rFonts w:hint="eastAsia" w:ascii="宋体" w:hAnsi="宋体" w:eastAsia="宋体"/>
          <w:b/>
          <w:bCs/>
          <w:color w:val="auto"/>
          <w:spacing w:val="0"/>
          <w:kern w:val="18"/>
          <w:sz w:val="21"/>
          <w:szCs w:val="21"/>
          <w:lang w:val="en-US" w:eastAsia="zh-CN"/>
        </w:rPr>
        <w:t>6</w:t>
      </w:r>
      <w:r>
        <w:rPr>
          <w:rFonts w:hint="eastAsia" w:ascii="宋体" w:hAnsi="宋体" w:eastAsia="宋体"/>
          <w:spacing w:val="0"/>
          <w:kern w:val="18"/>
          <w:sz w:val="21"/>
          <w:szCs w:val="21"/>
        </w:rPr>
        <w:t>。</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（6）、采用优质高导热性绝缘层的铝基板，铝基板的绝缘层厚度不低于75μm。</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（7）、灯具壳体采用优质压铸铝一体成型，表面喷塑处理，上下对流散热，外观简洁。</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（8）、使用寿命：&gt;50000小时（光通量低于初装时的70%视为使用寿命结束）</w:t>
      </w:r>
    </w:p>
    <w:p>
      <w:pPr>
        <w:pStyle w:val="7"/>
        <w:tabs>
          <w:tab w:val="left" w:pos="-2655"/>
          <w:tab w:val="left" w:pos="426"/>
        </w:tabs>
        <w:spacing w:line="380" w:lineRule="exact"/>
        <w:ind w:firstLine="422"/>
        <w:rPr>
          <w:rFonts w:ascii="宋体" w:hAnsi="宋体" w:eastAsia="宋体"/>
          <w:b/>
          <w:spacing w:val="0"/>
          <w:kern w:val="18"/>
          <w:sz w:val="21"/>
          <w:szCs w:val="21"/>
        </w:rPr>
      </w:pPr>
      <w:r>
        <w:rPr>
          <w:rFonts w:hint="eastAsia" w:ascii="宋体" w:hAnsi="宋体" w:eastAsia="宋体"/>
          <w:b/>
          <w:spacing w:val="0"/>
          <w:kern w:val="18"/>
          <w:sz w:val="21"/>
          <w:szCs w:val="21"/>
        </w:rPr>
        <w:t>2、控制装置</w:t>
      </w:r>
    </w:p>
    <w:p>
      <w:pPr>
        <w:pStyle w:val="7"/>
        <w:tabs>
          <w:tab w:val="left" w:pos="-2655"/>
          <w:tab w:val="left" w:pos="426"/>
        </w:tabs>
        <w:spacing w:line="380" w:lineRule="exact"/>
        <w:ind w:firstLine="422" w:firstLineChars="200"/>
        <w:rPr>
          <w:rFonts w:ascii="宋体" w:hAnsi="宋体" w:eastAsia="宋体"/>
          <w:spacing w:val="0"/>
          <w:kern w:val="18"/>
          <w:sz w:val="21"/>
          <w:szCs w:val="21"/>
        </w:rPr>
      </w:pPr>
      <w:r>
        <w:rPr>
          <w:rFonts w:hint="eastAsia" w:ascii="宋体" w:hAnsi="宋体" w:eastAsia="宋体"/>
          <w:b/>
          <w:spacing w:val="0"/>
          <w:kern w:val="18"/>
          <w:sz w:val="21"/>
          <w:szCs w:val="21"/>
        </w:rPr>
        <w:t>▲</w:t>
      </w:r>
      <w:r>
        <w:rPr>
          <w:rFonts w:hint="eastAsia" w:ascii="宋体" w:hAnsi="宋体" w:eastAsia="宋体"/>
          <w:spacing w:val="0"/>
          <w:kern w:val="18"/>
          <w:sz w:val="21"/>
          <w:szCs w:val="21"/>
        </w:rPr>
        <w:t>（1）、控制装置采用</w:t>
      </w:r>
      <w:r>
        <w:rPr>
          <w:rFonts w:hint="eastAsia" w:ascii="宋体" w:hAnsi="宋体" w:eastAsia="宋体"/>
          <w:b/>
          <w:spacing w:val="0"/>
          <w:kern w:val="18"/>
          <w:sz w:val="21"/>
          <w:szCs w:val="21"/>
        </w:rPr>
        <w:t>恒流</w:t>
      </w:r>
      <w:r>
        <w:rPr>
          <w:rFonts w:hint="eastAsia" w:ascii="宋体" w:hAnsi="宋体" w:eastAsia="宋体"/>
          <w:spacing w:val="0"/>
          <w:kern w:val="18"/>
          <w:sz w:val="21"/>
          <w:szCs w:val="21"/>
        </w:rPr>
        <w:t>驱动电源，安装在灯体电器腔中。该恒流电路应保证LED击穿短路等异常情况下能安全运行，并且电流稳定。</w:t>
      </w:r>
    </w:p>
    <w:p>
      <w:pPr>
        <w:pStyle w:val="7"/>
        <w:tabs>
          <w:tab w:val="left" w:pos="-2655"/>
          <w:tab w:val="left" w:pos="426"/>
        </w:tabs>
        <w:spacing w:line="380" w:lineRule="exact"/>
        <w:ind w:firstLine="422" w:firstLineChars="200"/>
        <w:rPr>
          <w:rFonts w:ascii="宋体" w:hAnsi="宋体" w:eastAsia="宋体"/>
          <w:spacing w:val="0"/>
          <w:kern w:val="18"/>
          <w:sz w:val="21"/>
          <w:szCs w:val="21"/>
        </w:rPr>
      </w:pPr>
      <w:r>
        <w:rPr>
          <w:rFonts w:hint="eastAsia" w:ascii="宋体" w:hAnsi="宋体" w:eastAsia="宋体"/>
          <w:b/>
          <w:spacing w:val="0"/>
          <w:kern w:val="18"/>
          <w:sz w:val="21"/>
          <w:szCs w:val="21"/>
        </w:rPr>
        <w:t>▲</w:t>
      </w:r>
      <w:r>
        <w:rPr>
          <w:rFonts w:hint="eastAsia" w:ascii="宋体" w:hAnsi="宋体" w:eastAsia="宋体"/>
          <w:spacing w:val="0"/>
          <w:kern w:val="18"/>
          <w:sz w:val="21"/>
          <w:szCs w:val="21"/>
        </w:rPr>
        <w:t>（2）、采用宽电压范围，最少在100V ～250VAC范围内恒流，保证寿命及亮度不受电压波动影响。</w:t>
      </w:r>
    </w:p>
    <w:p>
      <w:pPr>
        <w:pStyle w:val="7"/>
        <w:tabs>
          <w:tab w:val="left" w:pos="-2655"/>
          <w:tab w:val="left" w:pos="426"/>
        </w:tabs>
        <w:spacing w:line="380" w:lineRule="exact"/>
        <w:ind w:firstLine="422" w:firstLineChars="200"/>
        <w:rPr>
          <w:rFonts w:ascii="宋体" w:hAnsi="宋体" w:eastAsia="宋体"/>
          <w:spacing w:val="0"/>
          <w:kern w:val="18"/>
          <w:sz w:val="21"/>
          <w:szCs w:val="21"/>
        </w:rPr>
      </w:pPr>
      <w:r>
        <w:rPr>
          <w:rFonts w:hint="eastAsia" w:ascii="宋体" w:hAnsi="宋体" w:eastAsia="宋体"/>
          <w:b/>
          <w:spacing w:val="0"/>
          <w:kern w:val="18"/>
          <w:sz w:val="21"/>
          <w:szCs w:val="21"/>
        </w:rPr>
        <w:t>▲</w:t>
      </w:r>
      <w:r>
        <w:rPr>
          <w:rFonts w:hint="eastAsia" w:ascii="宋体" w:hAnsi="宋体" w:eastAsia="宋体"/>
          <w:spacing w:val="0"/>
          <w:kern w:val="18"/>
          <w:sz w:val="21"/>
          <w:szCs w:val="21"/>
        </w:rPr>
        <w:t>（3）、电源功率因素≥0.90。</w:t>
      </w:r>
    </w:p>
    <w:p>
      <w:pPr>
        <w:pStyle w:val="7"/>
        <w:tabs>
          <w:tab w:val="left" w:pos="-2655"/>
          <w:tab w:val="left" w:pos="426"/>
        </w:tabs>
        <w:spacing w:line="380" w:lineRule="exact"/>
        <w:ind w:firstLine="422" w:firstLineChars="200"/>
        <w:rPr>
          <w:rFonts w:ascii="宋体" w:hAnsi="宋体" w:eastAsia="宋体"/>
          <w:spacing w:val="0"/>
          <w:kern w:val="18"/>
          <w:sz w:val="21"/>
          <w:szCs w:val="21"/>
        </w:rPr>
      </w:pPr>
      <w:r>
        <w:rPr>
          <w:rFonts w:hint="eastAsia" w:ascii="宋体" w:hAnsi="宋体" w:eastAsia="宋体"/>
          <w:b/>
          <w:spacing w:val="0"/>
          <w:kern w:val="18"/>
          <w:sz w:val="21"/>
          <w:szCs w:val="21"/>
        </w:rPr>
        <w:t>▲</w:t>
      </w:r>
      <w:r>
        <w:rPr>
          <w:rFonts w:hint="eastAsia" w:ascii="宋体" w:hAnsi="宋体" w:eastAsia="宋体"/>
          <w:spacing w:val="0"/>
          <w:kern w:val="18"/>
          <w:sz w:val="21"/>
          <w:szCs w:val="21"/>
        </w:rPr>
        <w:t>（4）、驱动电源的防护等级不低于IP67。</w:t>
      </w:r>
    </w:p>
    <w:p>
      <w:pPr>
        <w:pStyle w:val="7"/>
        <w:tabs>
          <w:tab w:val="left" w:pos="-2655"/>
          <w:tab w:val="left" w:pos="426"/>
        </w:tabs>
        <w:spacing w:line="380" w:lineRule="exact"/>
        <w:ind w:firstLine="422" w:firstLineChars="200"/>
        <w:rPr>
          <w:rFonts w:ascii="宋体" w:hAnsi="宋体" w:eastAsia="宋体"/>
          <w:spacing w:val="0"/>
          <w:kern w:val="18"/>
          <w:sz w:val="21"/>
          <w:szCs w:val="21"/>
        </w:rPr>
      </w:pPr>
      <w:r>
        <w:rPr>
          <w:rFonts w:hint="eastAsia" w:ascii="宋体" w:hAnsi="宋体" w:eastAsia="宋体"/>
          <w:b/>
          <w:spacing w:val="0"/>
          <w:kern w:val="18"/>
          <w:sz w:val="21"/>
          <w:szCs w:val="21"/>
        </w:rPr>
        <w:t>▲</w:t>
      </w:r>
      <w:r>
        <w:rPr>
          <w:rFonts w:hint="eastAsia" w:ascii="宋体" w:hAnsi="宋体" w:eastAsia="宋体"/>
          <w:spacing w:val="0"/>
          <w:kern w:val="18"/>
          <w:sz w:val="21"/>
          <w:szCs w:val="21"/>
        </w:rPr>
        <w:t>（5）、为有效保护产品免受传导雷和感应雷的损害，须有防雷设计，并通过不低于10KV防雷浪涌实验。</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（6）、驱动电源应根据LED灯具的功率进行选择匹配。</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（7）、驱动电源内置可外接控制电压调光功能（预留智能控制接口），最好具有可编程调光功能（调光时段由采购人另行要求）。</w:t>
      </w:r>
    </w:p>
    <w:p>
      <w:pPr>
        <w:pStyle w:val="7"/>
        <w:tabs>
          <w:tab w:val="left" w:pos="-2655"/>
          <w:tab w:val="left" w:pos="426"/>
        </w:tabs>
        <w:spacing w:line="380" w:lineRule="exact"/>
        <w:ind w:firstLine="422"/>
        <w:rPr>
          <w:rFonts w:ascii="宋体" w:hAnsi="宋体" w:eastAsia="宋体"/>
          <w:b/>
          <w:spacing w:val="0"/>
          <w:kern w:val="18"/>
          <w:sz w:val="21"/>
          <w:szCs w:val="21"/>
        </w:rPr>
      </w:pPr>
      <w:r>
        <w:rPr>
          <w:rFonts w:hint="eastAsia" w:ascii="宋体" w:hAnsi="宋体" w:eastAsia="宋体"/>
          <w:b/>
          <w:spacing w:val="0"/>
          <w:kern w:val="18"/>
          <w:sz w:val="21"/>
          <w:szCs w:val="21"/>
        </w:rPr>
        <w:t>3、灯体</w:t>
      </w:r>
    </w:p>
    <w:p>
      <w:pPr>
        <w:pStyle w:val="7"/>
        <w:tabs>
          <w:tab w:val="left" w:pos="-2655"/>
          <w:tab w:val="left" w:pos="426"/>
        </w:tabs>
        <w:spacing w:line="380" w:lineRule="exact"/>
        <w:ind w:firstLine="420" w:firstLineChars="200"/>
        <w:rPr>
          <w:rFonts w:ascii="宋体" w:hAnsi="宋体" w:eastAsia="宋体"/>
          <w:spacing w:val="0"/>
          <w:kern w:val="18"/>
          <w:sz w:val="21"/>
          <w:szCs w:val="21"/>
        </w:rPr>
      </w:pPr>
      <w:r>
        <w:rPr>
          <w:rFonts w:hint="eastAsia" w:ascii="宋体" w:hAnsi="宋体" w:eastAsia="宋体"/>
          <w:spacing w:val="0"/>
          <w:kern w:val="18"/>
          <w:sz w:val="21"/>
          <w:szCs w:val="21"/>
        </w:rPr>
        <w:t>（1）、灯具主体采用高强度铝合金压铸一次成型，整体外形美观。</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（2）、灯体表面粉末喷涂处理，色泽均匀，无气泡、无裂缝、无杂质；涂层必须紧紧的粘附在基础材料上，具有良好的耐气候性能，颜色由用户最终确定。</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（3）、灯体耐腐蚀性能：铝腐蚀。表面涂有超强耐候抗盐雾腐蚀涂层，减少沿海地区的腐蚀。</w:t>
      </w:r>
    </w:p>
    <w:p>
      <w:pPr>
        <w:pStyle w:val="7"/>
        <w:tabs>
          <w:tab w:val="left" w:pos="-2655"/>
          <w:tab w:val="left" w:pos="426"/>
        </w:tabs>
        <w:spacing w:line="380" w:lineRule="exact"/>
        <w:ind w:firstLine="420" w:firstLineChars="200"/>
        <w:rPr>
          <w:rFonts w:ascii="宋体" w:hAnsi="宋体" w:eastAsia="宋体"/>
          <w:spacing w:val="0"/>
          <w:kern w:val="18"/>
          <w:sz w:val="21"/>
          <w:szCs w:val="21"/>
        </w:rPr>
      </w:pPr>
      <w:r>
        <w:rPr>
          <w:rFonts w:hint="eastAsia" w:ascii="宋体" w:hAnsi="宋体" w:eastAsia="宋体"/>
          <w:spacing w:val="0"/>
          <w:kern w:val="18"/>
          <w:sz w:val="21"/>
          <w:szCs w:val="21"/>
        </w:rPr>
        <w:t>（4）、灯具应便于安装并保证其结构安装方式可靠牢固。</w:t>
      </w:r>
    </w:p>
    <w:p>
      <w:pPr>
        <w:pStyle w:val="7"/>
        <w:tabs>
          <w:tab w:val="left" w:pos="-2655"/>
          <w:tab w:val="left" w:pos="426"/>
        </w:tabs>
        <w:spacing w:line="380" w:lineRule="exact"/>
        <w:ind w:firstLine="422"/>
        <w:rPr>
          <w:rFonts w:hint="eastAsia" w:ascii="宋体" w:hAnsi="宋体" w:eastAsia="宋体"/>
          <w:color w:val="auto"/>
          <w:spacing w:val="0"/>
          <w:kern w:val="18"/>
          <w:sz w:val="21"/>
          <w:szCs w:val="21"/>
        </w:rPr>
      </w:pPr>
      <w:r>
        <w:rPr>
          <w:rFonts w:hint="eastAsia" w:ascii="宋体" w:hAnsi="宋体" w:eastAsia="宋体"/>
          <w:color w:val="auto"/>
          <w:spacing w:val="0"/>
          <w:kern w:val="18"/>
          <w:sz w:val="21"/>
          <w:szCs w:val="21"/>
        </w:rPr>
        <w:t>（5）、泛光灯具外观尺寸</w:t>
      </w:r>
      <w:r>
        <w:rPr>
          <w:rFonts w:hint="eastAsia" w:ascii="宋体" w:hAnsi="宋体" w:eastAsia="宋体"/>
          <w:b/>
          <w:bCs/>
          <w:color w:val="auto"/>
          <w:spacing w:val="0"/>
          <w:kern w:val="18"/>
          <w:sz w:val="21"/>
          <w:szCs w:val="21"/>
          <w:lang w:eastAsia="zh-CN"/>
        </w:rPr>
        <w:t>（</w:t>
      </w:r>
      <w:r>
        <w:rPr>
          <w:rFonts w:hint="eastAsia" w:ascii="宋体" w:hAnsi="宋体" w:eastAsia="宋体"/>
          <w:b/>
          <w:bCs/>
          <w:color w:val="auto"/>
          <w:spacing w:val="0"/>
          <w:kern w:val="18"/>
          <w:sz w:val="21"/>
          <w:szCs w:val="21"/>
          <w:lang w:val="en-US" w:eastAsia="zh-CN"/>
        </w:rPr>
        <w:t>含支架</w:t>
      </w:r>
      <w:r>
        <w:rPr>
          <w:rFonts w:hint="eastAsia" w:ascii="宋体" w:hAnsi="宋体" w:eastAsia="宋体"/>
          <w:b/>
          <w:bCs/>
          <w:color w:val="auto"/>
          <w:spacing w:val="0"/>
          <w:kern w:val="18"/>
          <w:sz w:val="21"/>
          <w:szCs w:val="21"/>
          <w:lang w:eastAsia="zh-CN"/>
        </w:rPr>
        <w:t>）</w:t>
      </w:r>
      <w:r>
        <w:rPr>
          <w:rFonts w:hint="eastAsia" w:ascii="宋体" w:hAnsi="宋体" w:eastAsia="宋体"/>
          <w:color w:val="auto"/>
          <w:spacing w:val="0"/>
          <w:kern w:val="18"/>
          <w:sz w:val="21"/>
          <w:szCs w:val="21"/>
        </w:rPr>
        <w:t>范围：</w:t>
      </w:r>
      <w:r>
        <w:rPr>
          <w:rFonts w:hint="eastAsia" w:ascii="宋体" w:hAnsi="宋体" w:eastAsia="宋体"/>
          <w:b/>
          <w:bCs/>
          <w:color w:val="auto"/>
          <w:spacing w:val="0"/>
          <w:kern w:val="18"/>
          <w:sz w:val="21"/>
          <w:szCs w:val="21"/>
        </w:rPr>
        <w:t>L:</w:t>
      </w:r>
      <w:r>
        <w:rPr>
          <w:rFonts w:hint="eastAsia" w:ascii="宋体" w:hAnsi="宋体" w:eastAsia="宋体"/>
          <w:b/>
          <w:bCs/>
          <w:color w:val="auto"/>
          <w:spacing w:val="0"/>
          <w:kern w:val="18"/>
          <w:sz w:val="21"/>
          <w:szCs w:val="21"/>
          <w:lang w:val="en-US" w:eastAsia="zh-CN"/>
        </w:rPr>
        <w:t>280</w:t>
      </w:r>
      <w:r>
        <w:rPr>
          <w:rFonts w:hint="eastAsia" w:ascii="宋体" w:hAnsi="宋体" w:eastAsia="宋体"/>
          <w:b/>
          <w:bCs/>
          <w:color w:val="auto"/>
          <w:spacing w:val="0"/>
          <w:kern w:val="18"/>
          <w:sz w:val="21"/>
          <w:szCs w:val="21"/>
        </w:rPr>
        <w:t>mm   W:</w:t>
      </w:r>
      <w:r>
        <w:rPr>
          <w:rFonts w:hint="eastAsia" w:ascii="宋体" w:hAnsi="宋体" w:eastAsia="宋体"/>
          <w:b/>
          <w:bCs/>
          <w:color w:val="auto"/>
          <w:spacing w:val="0"/>
          <w:kern w:val="18"/>
          <w:sz w:val="21"/>
          <w:szCs w:val="21"/>
          <w:lang w:val="en-US" w:eastAsia="zh-CN"/>
        </w:rPr>
        <w:t>385</w:t>
      </w:r>
      <w:r>
        <w:rPr>
          <w:rFonts w:hint="eastAsia" w:ascii="宋体" w:hAnsi="宋体" w:eastAsia="宋体"/>
          <w:b/>
          <w:bCs/>
          <w:color w:val="auto"/>
          <w:spacing w:val="0"/>
          <w:kern w:val="18"/>
          <w:sz w:val="21"/>
          <w:szCs w:val="21"/>
        </w:rPr>
        <w:t>mm   H:</w:t>
      </w:r>
      <w:r>
        <w:rPr>
          <w:rFonts w:hint="eastAsia" w:ascii="宋体" w:hAnsi="宋体" w:eastAsia="宋体"/>
          <w:b/>
          <w:bCs/>
          <w:color w:val="auto"/>
          <w:spacing w:val="0"/>
          <w:kern w:val="18"/>
          <w:sz w:val="21"/>
          <w:szCs w:val="21"/>
          <w:lang w:val="en-US" w:eastAsia="zh-CN"/>
        </w:rPr>
        <w:t>54.5</w:t>
      </w:r>
      <w:r>
        <w:rPr>
          <w:rFonts w:hint="eastAsia" w:ascii="宋体" w:hAnsi="宋体" w:eastAsia="宋体"/>
          <w:b/>
          <w:bCs/>
          <w:color w:val="auto"/>
          <w:spacing w:val="0"/>
          <w:kern w:val="18"/>
          <w:sz w:val="21"/>
          <w:szCs w:val="21"/>
        </w:rPr>
        <w:t>mm</w:t>
      </w:r>
      <w:r>
        <w:rPr>
          <w:rFonts w:hint="eastAsia" w:ascii="宋体" w:hAnsi="宋体" w:eastAsia="宋体"/>
          <w:color w:val="auto"/>
          <w:spacing w:val="0"/>
          <w:kern w:val="18"/>
          <w:sz w:val="21"/>
          <w:szCs w:val="21"/>
        </w:rPr>
        <w:t>。</w:t>
      </w:r>
    </w:p>
    <w:p>
      <w:pPr>
        <w:pStyle w:val="7"/>
        <w:tabs>
          <w:tab w:val="left" w:pos="-2655"/>
          <w:tab w:val="left" w:pos="426"/>
        </w:tabs>
        <w:spacing w:line="380" w:lineRule="exact"/>
        <w:ind w:firstLine="422"/>
        <w:rPr>
          <w:rFonts w:hint="eastAsia" w:ascii="宋体" w:hAnsi="宋体" w:eastAsia="宋体"/>
          <w:spacing w:val="0"/>
          <w:kern w:val="18"/>
          <w:sz w:val="21"/>
          <w:szCs w:val="21"/>
        </w:rPr>
      </w:pPr>
    </w:p>
    <w:p>
      <w:pPr>
        <w:pStyle w:val="7"/>
        <w:tabs>
          <w:tab w:val="left" w:pos="-2655"/>
          <w:tab w:val="left" w:pos="426"/>
        </w:tabs>
        <w:spacing w:line="380" w:lineRule="exact"/>
        <w:ind w:firstLine="422"/>
      </w:pPr>
    </w:p>
    <w:p>
      <w:pPr>
        <w:pStyle w:val="7"/>
        <w:tabs>
          <w:tab w:val="left" w:pos="-2655"/>
          <w:tab w:val="left" w:pos="426"/>
        </w:tabs>
        <w:spacing w:line="380" w:lineRule="exact"/>
        <w:ind w:firstLine="422"/>
      </w:pPr>
    </w:p>
    <w:p>
      <w:pPr>
        <w:pStyle w:val="7"/>
        <w:tabs>
          <w:tab w:val="left" w:pos="-2655"/>
          <w:tab w:val="left" w:pos="426"/>
        </w:tabs>
        <w:spacing w:line="380" w:lineRule="exact"/>
        <w:ind w:firstLine="422"/>
      </w:pPr>
    </w:p>
    <w:p>
      <w:pPr>
        <w:pStyle w:val="7"/>
        <w:tabs>
          <w:tab w:val="left" w:pos="-2655"/>
          <w:tab w:val="left" w:pos="426"/>
        </w:tabs>
        <w:spacing w:line="380" w:lineRule="exact"/>
        <w:ind w:firstLine="422"/>
      </w:pPr>
    </w:p>
    <w:p>
      <w:pPr>
        <w:pStyle w:val="7"/>
        <w:tabs>
          <w:tab w:val="left" w:pos="-2655"/>
          <w:tab w:val="left" w:pos="426"/>
        </w:tabs>
        <w:spacing w:line="380" w:lineRule="exact"/>
        <w:ind w:firstLine="422"/>
      </w:pPr>
      <w:r>
        <w:drawing>
          <wp:anchor distT="0" distB="0" distL="114300" distR="114300" simplePos="0" relativeHeight="251659264" behindDoc="1" locked="0" layoutInCell="1" allowOverlap="1">
            <wp:simplePos x="0" y="0"/>
            <wp:positionH relativeFrom="column">
              <wp:posOffset>683895</wp:posOffset>
            </wp:positionH>
            <wp:positionV relativeFrom="paragraph">
              <wp:posOffset>-617855</wp:posOffset>
            </wp:positionV>
            <wp:extent cx="1628775" cy="2028825"/>
            <wp:effectExtent l="0" t="0" r="9525" b="9525"/>
            <wp:wrapThrough wrapText="bothSides">
              <wp:wrapPolygon>
                <wp:start x="0" y="0"/>
                <wp:lineTo x="0" y="21499"/>
                <wp:lineTo x="21474" y="21499"/>
                <wp:lineTo x="21474" y="0"/>
                <wp:lineTo x="0" y="0"/>
              </wp:wrapPolygon>
            </wp:wrapThrough>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628775" cy="2028825"/>
                    </a:xfrm>
                    <a:prstGeom prst="rect">
                      <a:avLst/>
                    </a:prstGeom>
                    <a:noFill/>
                    <a:ln>
                      <a:noFill/>
                    </a:ln>
                  </pic:spPr>
                </pic:pic>
              </a:graphicData>
            </a:graphic>
          </wp:anchor>
        </w:drawing>
      </w:r>
      <w:r>
        <w:drawing>
          <wp:anchor distT="0" distB="0" distL="114300" distR="114300" simplePos="0" relativeHeight="251660288" behindDoc="1" locked="0" layoutInCell="1" allowOverlap="1">
            <wp:simplePos x="0" y="0"/>
            <wp:positionH relativeFrom="column">
              <wp:posOffset>3070225</wp:posOffset>
            </wp:positionH>
            <wp:positionV relativeFrom="paragraph">
              <wp:posOffset>-321310</wp:posOffset>
            </wp:positionV>
            <wp:extent cx="1127760" cy="1494155"/>
            <wp:effectExtent l="0" t="0" r="15240" b="10795"/>
            <wp:wrapThrough wrapText="bothSides">
              <wp:wrapPolygon>
                <wp:start x="0" y="0"/>
                <wp:lineTo x="0" y="21205"/>
                <wp:lineTo x="21162" y="21205"/>
                <wp:lineTo x="21162" y="0"/>
                <wp:lineTo x="0" y="0"/>
              </wp:wrapPolygon>
            </wp:wrapThrough>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1127760" cy="1494155"/>
                    </a:xfrm>
                    <a:prstGeom prst="rect">
                      <a:avLst/>
                    </a:prstGeom>
                    <a:noFill/>
                    <a:ln>
                      <a:noFill/>
                    </a:ln>
                  </pic:spPr>
                </pic:pic>
              </a:graphicData>
            </a:graphic>
          </wp:anchor>
        </w:drawing>
      </w:r>
    </w:p>
    <w:p>
      <w:pPr>
        <w:pStyle w:val="7"/>
        <w:tabs>
          <w:tab w:val="left" w:pos="-2655"/>
          <w:tab w:val="left" w:pos="426"/>
        </w:tabs>
        <w:spacing w:line="380" w:lineRule="exact"/>
        <w:ind w:firstLine="422"/>
      </w:pPr>
    </w:p>
    <w:p>
      <w:pPr>
        <w:pStyle w:val="7"/>
        <w:tabs>
          <w:tab w:val="left" w:pos="-2655"/>
          <w:tab w:val="left" w:pos="426"/>
        </w:tabs>
        <w:spacing w:line="380" w:lineRule="exact"/>
        <w:ind w:firstLine="422"/>
        <w:rPr>
          <w:rFonts w:hint="default" w:eastAsia="楷体_GB2312"/>
          <w:lang w:val="en-US" w:eastAsia="zh-CN"/>
        </w:rPr>
      </w:pPr>
      <w:r>
        <w:rPr>
          <w:rFonts w:hint="eastAsia"/>
          <w:lang w:val="en-US" w:eastAsia="zh-CN"/>
        </w:rPr>
        <w:t xml:space="preserve">         </w:t>
      </w:r>
    </w:p>
    <w:p>
      <w:pPr>
        <w:pStyle w:val="7"/>
        <w:tabs>
          <w:tab w:val="left" w:pos="-2655"/>
          <w:tab w:val="left" w:pos="426"/>
        </w:tabs>
        <w:spacing w:line="380" w:lineRule="exact"/>
        <w:ind w:firstLine="422"/>
      </w:pPr>
    </w:p>
    <w:p>
      <w:pPr>
        <w:pStyle w:val="7"/>
        <w:tabs>
          <w:tab w:val="left" w:pos="-2655"/>
          <w:tab w:val="left" w:pos="426"/>
        </w:tabs>
        <w:spacing w:line="380" w:lineRule="exact"/>
        <w:rPr>
          <w:rFonts w:hint="default" w:eastAsia="楷体_GB2312"/>
          <w:lang w:val="en-US" w:eastAsia="zh-CN"/>
        </w:rPr>
      </w:pPr>
      <w:r>
        <w:rPr>
          <w:rFonts w:hint="eastAsia"/>
          <w:lang w:val="en-US" w:eastAsia="zh-CN"/>
        </w:rPr>
        <w:t xml:space="preserve">  </w:t>
      </w:r>
    </w:p>
    <w:p>
      <w:pPr>
        <w:pStyle w:val="7"/>
        <w:tabs>
          <w:tab w:val="left" w:pos="-2655"/>
          <w:tab w:val="left" w:pos="426"/>
        </w:tabs>
        <w:spacing w:line="380" w:lineRule="exact"/>
        <w:ind w:left="0" w:leftChars="0" w:firstLine="0" w:firstLineChars="0"/>
        <w:rPr>
          <w:rFonts w:hint="eastAsia"/>
        </w:rPr>
      </w:pPr>
    </w:p>
    <w:p>
      <w:pPr>
        <w:pStyle w:val="7"/>
        <w:tabs>
          <w:tab w:val="left" w:pos="-2655"/>
          <w:tab w:val="left" w:pos="426"/>
        </w:tabs>
        <w:spacing w:line="380" w:lineRule="exact"/>
        <w:ind w:firstLine="422"/>
        <w:rPr>
          <w:rFonts w:hint="eastAsia" w:ascii="宋体" w:hAnsi="宋体" w:eastAsia="宋体"/>
          <w:spacing w:val="0"/>
          <w:kern w:val="18"/>
          <w:sz w:val="21"/>
          <w:szCs w:val="21"/>
        </w:rPr>
      </w:pP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（6）、灯具采用一体化设计，电源腔与光源为同一壳体，灯具采用轻量化设计在保证结构、散热前提下，灯具采用轻量化设计整体重量需≤</w:t>
      </w:r>
      <w:r>
        <w:rPr>
          <w:rFonts w:hint="eastAsia" w:ascii="宋体" w:hAnsi="宋体" w:eastAsia="宋体"/>
          <w:spacing w:val="0"/>
          <w:kern w:val="18"/>
          <w:sz w:val="21"/>
          <w:szCs w:val="21"/>
          <w:lang w:val="en-US" w:eastAsia="zh-CN"/>
        </w:rPr>
        <w:t>15</w:t>
      </w:r>
      <w:r>
        <w:rPr>
          <w:rFonts w:hint="eastAsia" w:ascii="宋体" w:hAnsi="宋体" w:eastAsia="宋体"/>
          <w:spacing w:val="0"/>
          <w:kern w:val="18"/>
          <w:sz w:val="21"/>
          <w:szCs w:val="21"/>
        </w:rPr>
        <w:t>KG。</w:t>
      </w:r>
    </w:p>
    <w:p>
      <w:pPr>
        <w:pStyle w:val="7"/>
        <w:tabs>
          <w:tab w:val="left" w:pos="-2655"/>
          <w:tab w:val="left" w:pos="426"/>
        </w:tabs>
        <w:spacing w:line="380" w:lineRule="exact"/>
        <w:ind w:firstLine="422"/>
        <w:rPr>
          <w:rFonts w:ascii="宋体" w:hAnsi="宋体" w:eastAsia="宋体"/>
          <w:b/>
          <w:spacing w:val="0"/>
          <w:kern w:val="18"/>
          <w:sz w:val="21"/>
          <w:szCs w:val="21"/>
        </w:rPr>
      </w:pPr>
      <w:r>
        <w:rPr>
          <w:rFonts w:hint="eastAsia" w:ascii="宋体" w:hAnsi="宋体" w:eastAsia="宋体"/>
          <w:b/>
          <w:spacing w:val="0"/>
          <w:kern w:val="18"/>
          <w:sz w:val="21"/>
          <w:szCs w:val="21"/>
        </w:rPr>
        <w:t>4、灯具性能</w:t>
      </w:r>
    </w:p>
    <w:p>
      <w:pPr>
        <w:pStyle w:val="7"/>
        <w:tabs>
          <w:tab w:val="left" w:pos="-2655"/>
          <w:tab w:val="left" w:pos="426"/>
        </w:tabs>
        <w:spacing w:line="380" w:lineRule="exact"/>
        <w:ind w:firstLine="422"/>
        <w:rPr>
          <w:rFonts w:ascii="宋体" w:hAnsi="宋体" w:eastAsia="宋体"/>
          <w:b/>
          <w:spacing w:val="0"/>
          <w:kern w:val="18"/>
          <w:sz w:val="21"/>
          <w:szCs w:val="21"/>
        </w:rPr>
      </w:pPr>
      <w:r>
        <w:rPr>
          <w:rFonts w:hint="eastAsia" w:ascii="宋体" w:hAnsi="宋体" w:eastAsia="宋体"/>
          <w:spacing w:val="0"/>
          <w:kern w:val="18"/>
          <w:sz w:val="21"/>
          <w:szCs w:val="21"/>
        </w:rPr>
        <w:t>（1）、灯具效能（灯具发出的初始总光通量与其所消耗的功率之比）应不低于</w:t>
      </w:r>
      <w:r>
        <w:rPr>
          <w:rFonts w:hint="eastAsia" w:ascii="宋体" w:hAnsi="宋体" w:eastAsia="宋体"/>
          <w:b/>
          <w:bCs/>
          <w:color w:val="auto"/>
          <w:spacing w:val="0"/>
          <w:kern w:val="18"/>
          <w:sz w:val="21"/>
          <w:szCs w:val="21"/>
          <w:lang w:val="en-US" w:eastAsia="zh-CN"/>
        </w:rPr>
        <w:t>1</w:t>
      </w:r>
      <w:r>
        <w:rPr>
          <w:rFonts w:hint="eastAsia" w:ascii="宋体" w:hAnsi="宋体" w:eastAsia="宋体"/>
          <w:b/>
          <w:bCs/>
          <w:color w:val="auto"/>
          <w:spacing w:val="0"/>
          <w:kern w:val="18"/>
          <w:sz w:val="21"/>
          <w:szCs w:val="21"/>
          <w:u w:val="single"/>
          <w:lang w:val="en-US" w:eastAsia="zh-CN"/>
        </w:rPr>
        <w:t>5</w:t>
      </w:r>
      <w:r>
        <w:rPr>
          <w:rFonts w:hint="eastAsia" w:ascii="宋体" w:hAnsi="宋体" w:eastAsia="宋体"/>
          <w:b/>
          <w:bCs/>
          <w:color w:val="auto"/>
          <w:spacing w:val="0"/>
          <w:kern w:val="18"/>
          <w:sz w:val="21"/>
          <w:szCs w:val="21"/>
          <w:u w:val="single"/>
        </w:rPr>
        <w:t>0Lm/W</w:t>
      </w:r>
      <w:r>
        <w:rPr>
          <w:rFonts w:hint="eastAsia" w:ascii="宋体" w:hAnsi="宋体" w:eastAsia="宋体"/>
          <w:spacing w:val="0"/>
          <w:kern w:val="18"/>
          <w:sz w:val="21"/>
          <w:szCs w:val="21"/>
        </w:rPr>
        <w:t xml:space="preserve">； </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灯具效率（灯具发出的初始总光通量与灯具内所有光源发出的初始总光通量之比）应不低于85%。</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（2）、灯具的色温采用</w:t>
      </w:r>
      <w:r>
        <w:rPr>
          <w:rFonts w:hint="eastAsia" w:ascii="宋体" w:hAnsi="宋体" w:eastAsia="宋体"/>
          <w:b/>
          <w:bCs/>
          <w:color w:val="auto"/>
          <w:spacing w:val="0"/>
          <w:kern w:val="18"/>
          <w:sz w:val="21"/>
          <w:szCs w:val="21"/>
          <w:lang w:val="en-US" w:eastAsia="zh-CN"/>
        </w:rPr>
        <w:t>4</w:t>
      </w:r>
      <w:r>
        <w:rPr>
          <w:rFonts w:hint="eastAsia" w:ascii="宋体" w:hAnsi="宋体" w:eastAsia="宋体"/>
          <w:b/>
          <w:bCs/>
          <w:color w:val="auto"/>
          <w:spacing w:val="0"/>
          <w:kern w:val="18"/>
          <w:sz w:val="21"/>
          <w:szCs w:val="21"/>
        </w:rPr>
        <w:t>000K</w:t>
      </w:r>
      <w:r>
        <w:rPr>
          <w:rFonts w:hint="eastAsia" w:ascii="宋体" w:hAnsi="宋体" w:eastAsia="宋体"/>
          <w:spacing w:val="0"/>
          <w:kern w:val="18"/>
          <w:sz w:val="21"/>
          <w:szCs w:val="21"/>
        </w:rPr>
        <w:t>（允许偏差±150K）。</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（3）、显色指数不低于70，以确保照明舒适性及节能效果。</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（4）、整体寿命不低于5年。</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（5）、灯具绝缘等级为：Class I。</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（6）、常温下相间绝缘要求：上引线零、火线与地线及灯具外壳绝缘电阻值≥30MΩ。</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w:t>
      </w:r>
      <w:r>
        <w:rPr>
          <w:rFonts w:ascii="宋体" w:hAnsi="宋体" w:eastAsia="宋体"/>
          <w:spacing w:val="0"/>
          <w:kern w:val="18"/>
          <w:sz w:val="21"/>
          <w:szCs w:val="21"/>
        </w:rPr>
        <w:t>7</w:t>
      </w:r>
      <w:r>
        <w:rPr>
          <w:rFonts w:hint="eastAsia" w:ascii="宋体" w:hAnsi="宋体" w:eastAsia="宋体"/>
          <w:spacing w:val="0"/>
          <w:kern w:val="18"/>
          <w:sz w:val="21"/>
          <w:szCs w:val="21"/>
        </w:rPr>
        <w:t>）、应具有防潮、排潮呼吸功能，LED灯内部电路板须作防潮处理，必要时需配置防水透气的呼吸器，保证灯具内部万一受潮后仍能稳压工作，并且靠自身工作产生的热量将水汽排除。</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w:t>
      </w:r>
      <w:r>
        <w:rPr>
          <w:rFonts w:ascii="宋体" w:hAnsi="宋体" w:eastAsia="宋体"/>
          <w:spacing w:val="0"/>
          <w:kern w:val="18"/>
          <w:sz w:val="21"/>
          <w:szCs w:val="21"/>
        </w:rPr>
        <w:t>8</w:t>
      </w:r>
      <w:r>
        <w:rPr>
          <w:rFonts w:hint="eastAsia" w:ascii="宋体" w:hAnsi="宋体" w:eastAsia="宋体"/>
          <w:spacing w:val="0"/>
          <w:kern w:val="18"/>
          <w:sz w:val="21"/>
          <w:szCs w:val="21"/>
        </w:rPr>
        <w:t>）、具有控制电路异常、过温、短路、过压等保护措施。</w:t>
      </w:r>
    </w:p>
    <w:p>
      <w:pPr>
        <w:pStyle w:val="7"/>
        <w:tabs>
          <w:tab w:val="left" w:pos="-2655"/>
          <w:tab w:val="left" w:pos="426"/>
        </w:tabs>
        <w:spacing w:line="380" w:lineRule="exact"/>
        <w:ind w:firstLine="422" w:firstLineChars="200"/>
        <w:rPr>
          <w:rFonts w:ascii="宋体" w:hAnsi="宋体" w:eastAsia="宋体"/>
          <w:spacing w:val="0"/>
          <w:kern w:val="18"/>
          <w:sz w:val="21"/>
          <w:szCs w:val="21"/>
        </w:rPr>
      </w:pPr>
      <w:r>
        <w:rPr>
          <w:rFonts w:hint="eastAsia" w:ascii="宋体" w:hAnsi="宋体" w:eastAsia="宋体"/>
          <w:b/>
          <w:spacing w:val="0"/>
          <w:kern w:val="18"/>
          <w:sz w:val="21"/>
          <w:szCs w:val="21"/>
        </w:rPr>
        <w:t xml:space="preserve">▲ </w:t>
      </w:r>
      <w:r>
        <w:rPr>
          <w:rFonts w:hint="eastAsia" w:ascii="宋体" w:hAnsi="宋体" w:eastAsia="宋体"/>
          <w:spacing w:val="0"/>
          <w:kern w:val="18"/>
          <w:sz w:val="21"/>
          <w:szCs w:val="21"/>
        </w:rPr>
        <w:t>（</w:t>
      </w:r>
      <w:r>
        <w:rPr>
          <w:rFonts w:ascii="宋体" w:hAnsi="宋体" w:eastAsia="宋体"/>
          <w:spacing w:val="0"/>
          <w:kern w:val="18"/>
          <w:sz w:val="21"/>
          <w:szCs w:val="21"/>
        </w:rPr>
        <w:t>9</w:t>
      </w:r>
      <w:r>
        <w:rPr>
          <w:rFonts w:hint="eastAsia" w:ascii="宋体" w:hAnsi="宋体" w:eastAsia="宋体"/>
          <w:spacing w:val="0"/>
          <w:kern w:val="18"/>
          <w:sz w:val="21"/>
          <w:szCs w:val="21"/>
        </w:rPr>
        <w:t>）、灯具的功率因数应≥0.90。</w:t>
      </w:r>
    </w:p>
    <w:p>
      <w:pPr>
        <w:pStyle w:val="7"/>
        <w:tabs>
          <w:tab w:val="left" w:pos="-2655"/>
          <w:tab w:val="left" w:pos="426"/>
        </w:tabs>
        <w:spacing w:line="380" w:lineRule="exact"/>
        <w:ind w:firstLine="422"/>
        <w:rPr>
          <w:rFonts w:ascii="宋体" w:hAnsi="宋体" w:eastAsia="宋体"/>
          <w:b/>
          <w:spacing w:val="0"/>
          <w:kern w:val="18"/>
          <w:sz w:val="21"/>
          <w:szCs w:val="21"/>
        </w:rPr>
      </w:pPr>
      <w:r>
        <w:rPr>
          <w:rFonts w:hint="eastAsia" w:ascii="宋体" w:hAnsi="宋体" w:eastAsia="宋体"/>
          <w:b/>
          <w:spacing w:val="0"/>
          <w:kern w:val="18"/>
          <w:sz w:val="21"/>
          <w:szCs w:val="21"/>
        </w:rPr>
        <w:t>5、其他</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w:t>
      </w:r>
      <w:r>
        <w:rPr>
          <w:rFonts w:hint="eastAsia" w:ascii="宋体" w:hAnsi="宋体" w:eastAsia="宋体"/>
          <w:spacing w:val="0"/>
          <w:kern w:val="18"/>
          <w:sz w:val="21"/>
          <w:szCs w:val="21"/>
          <w:lang w:val="en-US" w:eastAsia="zh-CN"/>
        </w:rPr>
        <w:t>1</w:t>
      </w:r>
      <w:r>
        <w:rPr>
          <w:rFonts w:hint="eastAsia" w:ascii="宋体" w:hAnsi="宋体" w:eastAsia="宋体"/>
          <w:spacing w:val="0"/>
          <w:kern w:val="18"/>
          <w:sz w:val="21"/>
          <w:szCs w:val="21"/>
        </w:rPr>
        <w:t>）、所有固定螺栓均采用304及以上不锈钢材料。</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w:t>
      </w:r>
      <w:r>
        <w:rPr>
          <w:rFonts w:hint="eastAsia" w:ascii="宋体" w:hAnsi="宋体" w:eastAsia="宋体"/>
          <w:spacing w:val="0"/>
          <w:kern w:val="18"/>
          <w:sz w:val="21"/>
          <w:szCs w:val="21"/>
          <w:lang w:val="en-US" w:eastAsia="zh-CN"/>
        </w:rPr>
        <w:t>2</w:t>
      </w:r>
      <w:r>
        <w:rPr>
          <w:rFonts w:hint="eastAsia" w:ascii="宋体" w:hAnsi="宋体" w:eastAsia="宋体"/>
          <w:spacing w:val="0"/>
          <w:kern w:val="18"/>
          <w:sz w:val="21"/>
          <w:szCs w:val="21"/>
        </w:rPr>
        <w:t>）、供货运输需保证不产生因碰撞、振动而产生变形、脱焊、塑层脱落等问题。</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w:t>
      </w:r>
      <w:r>
        <w:rPr>
          <w:rFonts w:hint="eastAsia" w:ascii="宋体" w:hAnsi="宋体" w:eastAsia="宋体"/>
          <w:spacing w:val="0"/>
          <w:kern w:val="18"/>
          <w:sz w:val="21"/>
          <w:szCs w:val="21"/>
          <w:lang w:val="en-US" w:eastAsia="zh-CN"/>
        </w:rPr>
        <w:t>3</w:t>
      </w:r>
      <w:r>
        <w:rPr>
          <w:rFonts w:hint="eastAsia" w:ascii="宋体" w:hAnsi="宋体" w:eastAsia="宋体"/>
          <w:spacing w:val="0"/>
          <w:kern w:val="18"/>
          <w:sz w:val="21"/>
          <w:szCs w:val="21"/>
        </w:rPr>
        <w:t>）、每盏灯上须有且不限于下列清晰且牢固的标志：制造商名称或注册商标；电源电压和频率；标称功率；制造日期。</w:t>
      </w:r>
    </w:p>
    <w:p>
      <w:pPr>
        <w:pStyle w:val="7"/>
        <w:tabs>
          <w:tab w:val="left" w:pos="-2655"/>
          <w:tab w:val="left" w:pos="426"/>
        </w:tabs>
        <w:spacing w:line="380" w:lineRule="exact"/>
        <w:ind w:firstLine="422"/>
        <w:rPr>
          <w:rFonts w:ascii="宋体" w:hAnsi="宋体" w:eastAsia="宋体"/>
          <w:spacing w:val="0"/>
          <w:kern w:val="18"/>
          <w:sz w:val="21"/>
          <w:szCs w:val="21"/>
        </w:rPr>
      </w:pPr>
      <w:r>
        <w:rPr>
          <w:rFonts w:hint="eastAsia" w:ascii="宋体" w:hAnsi="宋体" w:eastAsia="宋体"/>
          <w:spacing w:val="0"/>
          <w:kern w:val="18"/>
          <w:sz w:val="21"/>
          <w:szCs w:val="21"/>
        </w:rPr>
        <w:t>（</w:t>
      </w:r>
      <w:r>
        <w:rPr>
          <w:rFonts w:hint="eastAsia" w:ascii="宋体" w:hAnsi="宋体" w:eastAsia="宋体"/>
          <w:spacing w:val="0"/>
          <w:kern w:val="18"/>
          <w:sz w:val="21"/>
          <w:szCs w:val="21"/>
          <w:lang w:val="en-US" w:eastAsia="zh-CN"/>
        </w:rPr>
        <w:t>4</w:t>
      </w:r>
      <w:r>
        <w:rPr>
          <w:rFonts w:hint="eastAsia" w:ascii="宋体" w:hAnsi="宋体" w:eastAsia="宋体"/>
          <w:spacing w:val="0"/>
          <w:kern w:val="18"/>
          <w:sz w:val="21"/>
          <w:szCs w:val="21"/>
        </w:rPr>
        <w:t>）、灯具须有包装盒或包装箱，并在其上注明（且不限于）制造商名称、产品名称和型号。供货运输需保证不产生因碰撞、振动而产生变形、脱焊、塑层脱落等问题。</w:t>
      </w:r>
    </w:p>
    <w:p>
      <w:pPr>
        <w:adjustRightInd w:val="0"/>
        <w:snapToGrid w:val="0"/>
        <w:spacing w:line="400" w:lineRule="exact"/>
        <w:ind w:firstLine="413" w:firstLineChars="147"/>
      </w:pPr>
      <w:r>
        <w:rPr>
          <w:rFonts w:hint="eastAsia" w:ascii="宋体" w:hAnsi="宋体" w:eastAsia="宋体" w:cs="仿宋"/>
          <w:b/>
          <w:spacing w:val="0"/>
          <w:kern w:val="18"/>
          <w:sz w:val="28"/>
          <w:szCs w:val="28"/>
          <w:u w:val="single"/>
        </w:rPr>
        <w:t>注：带“▲”为基本技术要求，投标人必须全部满足，否则视为无效投标。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A1ODQxZWJkOGViNGM2NjczZjZkMWIwZDlhNzU5MjYifQ=="/>
  </w:docVars>
  <w:rsids>
    <w:rsidRoot w:val="004E4479"/>
    <w:rsid w:val="00001C94"/>
    <w:rsid w:val="00006315"/>
    <w:rsid w:val="00014F79"/>
    <w:rsid w:val="000152DB"/>
    <w:rsid w:val="000275E1"/>
    <w:rsid w:val="000348C8"/>
    <w:rsid w:val="00037D7E"/>
    <w:rsid w:val="00037E16"/>
    <w:rsid w:val="00040938"/>
    <w:rsid w:val="00054E4A"/>
    <w:rsid w:val="00061070"/>
    <w:rsid w:val="00073C1C"/>
    <w:rsid w:val="000829FE"/>
    <w:rsid w:val="00084F2C"/>
    <w:rsid w:val="00087D22"/>
    <w:rsid w:val="00090EDF"/>
    <w:rsid w:val="0009426A"/>
    <w:rsid w:val="0009632F"/>
    <w:rsid w:val="000A28B1"/>
    <w:rsid w:val="000B36CE"/>
    <w:rsid w:val="000D1028"/>
    <w:rsid w:val="000D13B7"/>
    <w:rsid w:val="000D1C66"/>
    <w:rsid w:val="000D5DCF"/>
    <w:rsid w:val="000D6F84"/>
    <w:rsid w:val="000D79CE"/>
    <w:rsid w:val="000E3474"/>
    <w:rsid w:val="000E4448"/>
    <w:rsid w:val="000E5F96"/>
    <w:rsid w:val="000E6AC6"/>
    <w:rsid w:val="000F298F"/>
    <w:rsid w:val="00101941"/>
    <w:rsid w:val="00102FD8"/>
    <w:rsid w:val="00116160"/>
    <w:rsid w:val="00116FAF"/>
    <w:rsid w:val="00120A12"/>
    <w:rsid w:val="00126FD0"/>
    <w:rsid w:val="001323CD"/>
    <w:rsid w:val="0013706E"/>
    <w:rsid w:val="00161A17"/>
    <w:rsid w:val="00161FBB"/>
    <w:rsid w:val="00171053"/>
    <w:rsid w:val="00183C8D"/>
    <w:rsid w:val="001A40C4"/>
    <w:rsid w:val="001B3F15"/>
    <w:rsid w:val="001C5436"/>
    <w:rsid w:val="001D595C"/>
    <w:rsid w:val="001E34B0"/>
    <w:rsid w:val="001F347C"/>
    <w:rsid w:val="001F6E17"/>
    <w:rsid w:val="00204A02"/>
    <w:rsid w:val="00216C44"/>
    <w:rsid w:val="002227AF"/>
    <w:rsid w:val="00224638"/>
    <w:rsid w:val="00226500"/>
    <w:rsid w:val="00230768"/>
    <w:rsid w:val="00230D6E"/>
    <w:rsid w:val="00237EED"/>
    <w:rsid w:val="00250C32"/>
    <w:rsid w:val="002638FA"/>
    <w:rsid w:val="00265456"/>
    <w:rsid w:val="00267DD1"/>
    <w:rsid w:val="002729F1"/>
    <w:rsid w:val="00277717"/>
    <w:rsid w:val="00294BF3"/>
    <w:rsid w:val="00296804"/>
    <w:rsid w:val="002B7DEF"/>
    <w:rsid w:val="002D0457"/>
    <w:rsid w:val="002D2165"/>
    <w:rsid w:val="002D3313"/>
    <w:rsid w:val="002D6261"/>
    <w:rsid w:val="002E1162"/>
    <w:rsid w:val="002E4C0C"/>
    <w:rsid w:val="002E5D11"/>
    <w:rsid w:val="002E7BF8"/>
    <w:rsid w:val="002F19F2"/>
    <w:rsid w:val="00314E1D"/>
    <w:rsid w:val="00320F9A"/>
    <w:rsid w:val="003214EB"/>
    <w:rsid w:val="00324D9F"/>
    <w:rsid w:val="003322FE"/>
    <w:rsid w:val="00340171"/>
    <w:rsid w:val="00353682"/>
    <w:rsid w:val="003541AB"/>
    <w:rsid w:val="003650CB"/>
    <w:rsid w:val="003762F3"/>
    <w:rsid w:val="00377AE3"/>
    <w:rsid w:val="00385FE5"/>
    <w:rsid w:val="00387E85"/>
    <w:rsid w:val="0039665E"/>
    <w:rsid w:val="003966D4"/>
    <w:rsid w:val="003A2324"/>
    <w:rsid w:val="003A5D7D"/>
    <w:rsid w:val="003B3BFA"/>
    <w:rsid w:val="003C28E3"/>
    <w:rsid w:val="003C7625"/>
    <w:rsid w:val="003D0E46"/>
    <w:rsid w:val="003F6B22"/>
    <w:rsid w:val="0040363F"/>
    <w:rsid w:val="00404EEE"/>
    <w:rsid w:val="004059B0"/>
    <w:rsid w:val="00410653"/>
    <w:rsid w:val="00411A51"/>
    <w:rsid w:val="00416C9F"/>
    <w:rsid w:val="00423323"/>
    <w:rsid w:val="00423B81"/>
    <w:rsid w:val="00435306"/>
    <w:rsid w:val="0044714C"/>
    <w:rsid w:val="00454AB6"/>
    <w:rsid w:val="00465C7C"/>
    <w:rsid w:val="00494FE3"/>
    <w:rsid w:val="004A060F"/>
    <w:rsid w:val="004C5205"/>
    <w:rsid w:val="004E2E8E"/>
    <w:rsid w:val="004E4267"/>
    <w:rsid w:val="004E4479"/>
    <w:rsid w:val="004E5899"/>
    <w:rsid w:val="004E7F4D"/>
    <w:rsid w:val="004F594F"/>
    <w:rsid w:val="00512EF9"/>
    <w:rsid w:val="005150B7"/>
    <w:rsid w:val="00517DE7"/>
    <w:rsid w:val="0052320B"/>
    <w:rsid w:val="0052543C"/>
    <w:rsid w:val="005270A7"/>
    <w:rsid w:val="00540057"/>
    <w:rsid w:val="00555C80"/>
    <w:rsid w:val="0055602A"/>
    <w:rsid w:val="00571C4D"/>
    <w:rsid w:val="00582E00"/>
    <w:rsid w:val="0058387A"/>
    <w:rsid w:val="00583BAE"/>
    <w:rsid w:val="00596A69"/>
    <w:rsid w:val="005A05DF"/>
    <w:rsid w:val="005A17BA"/>
    <w:rsid w:val="005A54EA"/>
    <w:rsid w:val="005A6C63"/>
    <w:rsid w:val="005B54BD"/>
    <w:rsid w:val="005C3A41"/>
    <w:rsid w:val="005E5A85"/>
    <w:rsid w:val="005F0E6E"/>
    <w:rsid w:val="005F1B59"/>
    <w:rsid w:val="005F43E6"/>
    <w:rsid w:val="00601432"/>
    <w:rsid w:val="00604C2C"/>
    <w:rsid w:val="00626B3B"/>
    <w:rsid w:val="00630883"/>
    <w:rsid w:val="00633B0C"/>
    <w:rsid w:val="00641F1C"/>
    <w:rsid w:val="006437C7"/>
    <w:rsid w:val="00646D16"/>
    <w:rsid w:val="00656F2C"/>
    <w:rsid w:val="00665209"/>
    <w:rsid w:val="00666197"/>
    <w:rsid w:val="006666D0"/>
    <w:rsid w:val="006675C0"/>
    <w:rsid w:val="0067009A"/>
    <w:rsid w:val="006738FC"/>
    <w:rsid w:val="0068254C"/>
    <w:rsid w:val="00682E01"/>
    <w:rsid w:val="006A0A96"/>
    <w:rsid w:val="006A335E"/>
    <w:rsid w:val="006B2639"/>
    <w:rsid w:val="006B3D72"/>
    <w:rsid w:val="006B471D"/>
    <w:rsid w:val="006B4F18"/>
    <w:rsid w:val="006C1A49"/>
    <w:rsid w:val="006C4765"/>
    <w:rsid w:val="006C5ACE"/>
    <w:rsid w:val="006C6B74"/>
    <w:rsid w:val="006D1068"/>
    <w:rsid w:val="006D1CE2"/>
    <w:rsid w:val="006D29A5"/>
    <w:rsid w:val="006D7473"/>
    <w:rsid w:val="006E2ADA"/>
    <w:rsid w:val="006F333B"/>
    <w:rsid w:val="006F381D"/>
    <w:rsid w:val="00700FDF"/>
    <w:rsid w:val="007105BE"/>
    <w:rsid w:val="0071126E"/>
    <w:rsid w:val="00714B0A"/>
    <w:rsid w:val="00717944"/>
    <w:rsid w:val="00724A67"/>
    <w:rsid w:val="007317E9"/>
    <w:rsid w:val="007338DF"/>
    <w:rsid w:val="00751FDF"/>
    <w:rsid w:val="007539F2"/>
    <w:rsid w:val="00760202"/>
    <w:rsid w:val="00761FF5"/>
    <w:rsid w:val="00764428"/>
    <w:rsid w:val="007651C9"/>
    <w:rsid w:val="00770E2B"/>
    <w:rsid w:val="0077158F"/>
    <w:rsid w:val="0077521B"/>
    <w:rsid w:val="007766E5"/>
    <w:rsid w:val="0078689B"/>
    <w:rsid w:val="00793737"/>
    <w:rsid w:val="007C0D35"/>
    <w:rsid w:val="007C2523"/>
    <w:rsid w:val="007C4674"/>
    <w:rsid w:val="007C7D75"/>
    <w:rsid w:val="007D1742"/>
    <w:rsid w:val="007D3FE0"/>
    <w:rsid w:val="007D4099"/>
    <w:rsid w:val="007E2631"/>
    <w:rsid w:val="007E4243"/>
    <w:rsid w:val="007F6596"/>
    <w:rsid w:val="00801FA2"/>
    <w:rsid w:val="00810FD0"/>
    <w:rsid w:val="008112E7"/>
    <w:rsid w:val="008223F7"/>
    <w:rsid w:val="00822489"/>
    <w:rsid w:val="00822581"/>
    <w:rsid w:val="0082483F"/>
    <w:rsid w:val="0082613D"/>
    <w:rsid w:val="00831324"/>
    <w:rsid w:val="00847720"/>
    <w:rsid w:val="00854099"/>
    <w:rsid w:val="00855A61"/>
    <w:rsid w:val="00876D18"/>
    <w:rsid w:val="00880959"/>
    <w:rsid w:val="00880FD8"/>
    <w:rsid w:val="00884B51"/>
    <w:rsid w:val="008944AC"/>
    <w:rsid w:val="008A03F1"/>
    <w:rsid w:val="008A0EC2"/>
    <w:rsid w:val="008A321F"/>
    <w:rsid w:val="008C65A7"/>
    <w:rsid w:val="008D6B5E"/>
    <w:rsid w:val="008E37CC"/>
    <w:rsid w:val="008F79AA"/>
    <w:rsid w:val="0090579F"/>
    <w:rsid w:val="00907754"/>
    <w:rsid w:val="009130AC"/>
    <w:rsid w:val="00930DA8"/>
    <w:rsid w:val="00934880"/>
    <w:rsid w:val="009421F5"/>
    <w:rsid w:val="00943B8C"/>
    <w:rsid w:val="00950B89"/>
    <w:rsid w:val="0095300E"/>
    <w:rsid w:val="00955E27"/>
    <w:rsid w:val="00964A5C"/>
    <w:rsid w:val="00971C47"/>
    <w:rsid w:val="00971D6D"/>
    <w:rsid w:val="00984363"/>
    <w:rsid w:val="009939A2"/>
    <w:rsid w:val="009A1F33"/>
    <w:rsid w:val="009C1141"/>
    <w:rsid w:val="009D7141"/>
    <w:rsid w:val="009E5255"/>
    <w:rsid w:val="009E7D9F"/>
    <w:rsid w:val="00A03BD4"/>
    <w:rsid w:val="00A03E20"/>
    <w:rsid w:val="00A050BB"/>
    <w:rsid w:val="00A06BEA"/>
    <w:rsid w:val="00A11E01"/>
    <w:rsid w:val="00A15411"/>
    <w:rsid w:val="00A158B7"/>
    <w:rsid w:val="00A228C6"/>
    <w:rsid w:val="00A23C2D"/>
    <w:rsid w:val="00A23D5E"/>
    <w:rsid w:val="00A23E7D"/>
    <w:rsid w:val="00A421BA"/>
    <w:rsid w:val="00A44FD8"/>
    <w:rsid w:val="00A466C3"/>
    <w:rsid w:val="00A66C73"/>
    <w:rsid w:val="00A6722E"/>
    <w:rsid w:val="00A71788"/>
    <w:rsid w:val="00A86879"/>
    <w:rsid w:val="00AA46E7"/>
    <w:rsid w:val="00AA668D"/>
    <w:rsid w:val="00AC032D"/>
    <w:rsid w:val="00AC2782"/>
    <w:rsid w:val="00AC3639"/>
    <w:rsid w:val="00AC3ED8"/>
    <w:rsid w:val="00AC7388"/>
    <w:rsid w:val="00AD7EA1"/>
    <w:rsid w:val="00AE1E6D"/>
    <w:rsid w:val="00AE3972"/>
    <w:rsid w:val="00AE4CA7"/>
    <w:rsid w:val="00AE55D7"/>
    <w:rsid w:val="00AE7EED"/>
    <w:rsid w:val="00B00314"/>
    <w:rsid w:val="00B10D3F"/>
    <w:rsid w:val="00B119C7"/>
    <w:rsid w:val="00B16C70"/>
    <w:rsid w:val="00B2167E"/>
    <w:rsid w:val="00B21DE0"/>
    <w:rsid w:val="00B51DEA"/>
    <w:rsid w:val="00B52FE2"/>
    <w:rsid w:val="00B54BA5"/>
    <w:rsid w:val="00B6349E"/>
    <w:rsid w:val="00B76C55"/>
    <w:rsid w:val="00B77F07"/>
    <w:rsid w:val="00B81A5F"/>
    <w:rsid w:val="00B835EA"/>
    <w:rsid w:val="00B8532F"/>
    <w:rsid w:val="00BA01C6"/>
    <w:rsid w:val="00BB71E3"/>
    <w:rsid w:val="00BC5EBC"/>
    <w:rsid w:val="00BD1616"/>
    <w:rsid w:val="00BE0A18"/>
    <w:rsid w:val="00BE2E90"/>
    <w:rsid w:val="00C01EE6"/>
    <w:rsid w:val="00C05328"/>
    <w:rsid w:val="00C171A9"/>
    <w:rsid w:val="00C24F4C"/>
    <w:rsid w:val="00C34459"/>
    <w:rsid w:val="00C5334F"/>
    <w:rsid w:val="00C6673F"/>
    <w:rsid w:val="00C70FD1"/>
    <w:rsid w:val="00C81289"/>
    <w:rsid w:val="00C871C7"/>
    <w:rsid w:val="00C908F0"/>
    <w:rsid w:val="00C91A5F"/>
    <w:rsid w:val="00CA325C"/>
    <w:rsid w:val="00CA5B6B"/>
    <w:rsid w:val="00CB1FAC"/>
    <w:rsid w:val="00CB5B10"/>
    <w:rsid w:val="00CC0DD8"/>
    <w:rsid w:val="00CC34D6"/>
    <w:rsid w:val="00CC3A43"/>
    <w:rsid w:val="00CC43CC"/>
    <w:rsid w:val="00CC75E2"/>
    <w:rsid w:val="00CD34A4"/>
    <w:rsid w:val="00CE6720"/>
    <w:rsid w:val="00CF04C9"/>
    <w:rsid w:val="00CF0823"/>
    <w:rsid w:val="00CF18FD"/>
    <w:rsid w:val="00CF555F"/>
    <w:rsid w:val="00D039CE"/>
    <w:rsid w:val="00D12D3A"/>
    <w:rsid w:val="00D14EFE"/>
    <w:rsid w:val="00D24C22"/>
    <w:rsid w:val="00D25F34"/>
    <w:rsid w:val="00D42189"/>
    <w:rsid w:val="00D47087"/>
    <w:rsid w:val="00D538D1"/>
    <w:rsid w:val="00D56D3B"/>
    <w:rsid w:val="00D5718E"/>
    <w:rsid w:val="00D704F9"/>
    <w:rsid w:val="00D717E7"/>
    <w:rsid w:val="00D740B5"/>
    <w:rsid w:val="00DB48BD"/>
    <w:rsid w:val="00DB7F72"/>
    <w:rsid w:val="00DC1405"/>
    <w:rsid w:val="00DD5E67"/>
    <w:rsid w:val="00DD75D9"/>
    <w:rsid w:val="00E06BBD"/>
    <w:rsid w:val="00E35A3A"/>
    <w:rsid w:val="00E37F63"/>
    <w:rsid w:val="00E40991"/>
    <w:rsid w:val="00E4300E"/>
    <w:rsid w:val="00E47E87"/>
    <w:rsid w:val="00E51557"/>
    <w:rsid w:val="00E561DF"/>
    <w:rsid w:val="00E56247"/>
    <w:rsid w:val="00E569FD"/>
    <w:rsid w:val="00E56DE9"/>
    <w:rsid w:val="00E6133F"/>
    <w:rsid w:val="00E634AD"/>
    <w:rsid w:val="00E63A2A"/>
    <w:rsid w:val="00E72A23"/>
    <w:rsid w:val="00E82C46"/>
    <w:rsid w:val="00E85112"/>
    <w:rsid w:val="00E95EBE"/>
    <w:rsid w:val="00E965D8"/>
    <w:rsid w:val="00EA2D9C"/>
    <w:rsid w:val="00EA5AB7"/>
    <w:rsid w:val="00EB2E12"/>
    <w:rsid w:val="00EC1FA9"/>
    <w:rsid w:val="00EC2067"/>
    <w:rsid w:val="00EC2714"/>
    <w:rsid w:val="00EC5717"/>
    <w:rsid w:val="00ED2480"/>
    <w:rsid w:val="00ED37A4"/>
    <w:rsid w:val="00EE021F"/>
    <w:rsid w:val="00EE7D13"/>
    <w:rsid w:val="00EE7D9E"/>
    <w:rsid w:val="00F13C4E"/>
    <w:rsid w:val="00F13DB6"/>
    <w:rsid w:val="00F24017"/>
    <w:rsid w:val="00F2798D"/>
    <w:rsid w:val="00F53093"/>
    <w:rsid w:val="00F61E7E"/>
    <w:rsid w:val="00F6692E"/>
    <w:rsid w:val="00F66F66"/>
    <w:rsid w:val="00F80994"/>
    <w:rsid w:val="00F836E4"/>
    <w:rsid w:val="00F860DA"/>
    <w:rsid w:val="00F903E0"/>
    <w:rsid w:val="00F96765"/>
    <w:rsid w:val="00FA1FBF"/>
    <w:rsid w:val="00FA45C0"/>
    <w:rsid w:val="00FA7176"/>
    <w:rsid w:val="00FC72EB"/>
    <w:rsid w:val="00FD098D"/>
    <w:rsid w:val="00FD241D"/>
    <w:rsid w:val="00FE40E9"/>
    <w:rsid w:val="00FF33C0"/>
    <w:rsid w:val="00FF7D6E"/>
    <w:rsid w:val="0E1708E2"/>
    <w:rsid w:val="15C4793E"/>
    <w:rsid w:val="272A0632"/>
    <w:rsid w:val="299426AA"/>
    <w:rsid w:val="2F8A2D09"/>
    <w:rsid w:val="365759CF"/>
    <w:rsid w:val="378E4CFA"/>
    <w:rsid w:val="42A21D9A"/>
    <w:rsid w:val="4644701E"/>
    <w:rsid w:val="542C1497"/>
    <w:rsid w:val="55666F65"/>
    <w:rsid w:val="5A6574B1"/>
    <w:rsid w:val="5B2376E9"/>
    <w:rsid w:val="5BD80D3F"/>
    <w:rsid w:val="66887F16"/>
    <w:rsid w:val="69DF7E6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spacing w:val="-20"/>
      <w:kern w:val="2"/>
      <w:sz w:val="32"/>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6" w:lineRule="auto"/>
      <w:outlineLvl w:val="1"/>
    </w:pPr>
    <w:rPr>
      <w:rFonts w:ascii="Arial" w:hAnsi="Arial" w:eastAsia="黑体"/>
      <w:b/>
      <w:bCs/>
      <w:spacing w:val="0"/>
      <w:sz w:val="30"/>
      <w:szCs w:val="32"/>
    </w:rPr>
  </w:style>
  <w:style w:type="paragraph" w:styleId="4">
    <w:name w:val="heading 5"/>
    <w:basedOn w:val="1"/>
    <w:next w:val="1"/>
    <w:qFormat/>
    <w:uiPriority w:val="0"/>
    <w:pPr>
      <w:keepNext/>
      <w:outlineLvl w:val="4"/>
    </w:pPr>
    <w:rPr>
      <w:rFonts w:ascii="宋体" w:hAnsi="宋体"/>
      <w:color w:val="000000"/>
      <w:sz w:val="28"/>
      <w:szCs w:val="20"/>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25"/>
    <w:qFormat/>
    <w:uiPriority w:val="0"/>
    <w:pPr>
      <w:ind w:firstLine="420"/>
    </w:pPr>
    <w:rPr>
      <w:rFonts w:eastAsia="宋体"/>
      <w:spacing w:val="0"/>
      <w:sz w:val="21"/>
    </w:rPr>
  </w:style>
  <w:style w:type="paragraph" w:styleId="6">
    <w:name w:val="annotation text"/>
    <w:basedOn w:val="1"/>
    <w:link w:val="29"/>
    <w:qFormat/>
    <w:uiPriority w:val="0"/>
    <w:pPr>
      <w:jc w:val="left"/>
    </w:pPr>
  </w:style>
  <w:style w:type="paragraph" w:styleId="7">
    <w:name w:val="Block Text"/>
    <w:basedOn w:val="1"/>
    <w:qFormat/>
    <w:uiPriority w:val="0"/>
    <w:pPr>
      <w:tabs>
        <w:tab w:val="left" w:pos="1475"/>
      </w:tabs>
      <w:ind w:left="-295" w:right="491" w:firstLine="885"/>
    </w:pPr>
    <w:rPr>
      <w:sz w:val="36"/>
    </w:rPr>
  </w:style>
  <w:style w:type="paragraph" w:styleId="8">
    <w:name w:val="Plain Text"/>
    <w:basedOn w:val="1"/>
    <w:link w:val="24"/>
    <w:qFormat/>
    <w:uiPriority w:val="0"/>
    <w:rPr>
      <w:rFonts w:ascii="宋体" w:hAnsi="Courier New" w:eastAsia="宋体"/>
      <w:spacing w:val="0"/>
      <w:sz w:val="21"/>
    </w:rPr>
  </w:style>
  <w:style w:type="paragraph" w:styleId="9">
    <w:name w:val="Date"/>
    <w:basedOn w:val="1"/>
    <w:next w:val="1"/>
    <w:link w:val="21"/>
    <w:qFormat/>
    <w:uiPriority w:val="0"/>
    <w:pPr>
      <w:ind w:left="100" w:leftChars="2500"/>
    </w:pPr>
  </w:style>
  <w:style w:type="paragraph" w:styleId="10">
    <w:name w:val="Balloon Text"/>
    <w:basedOn w:val="1"/>
    <w:link w:val="26"/>
    <w:semiHidden/>
    <w:unhideWhenUsed/>
    <w:qFormat/>
    <w:uiPriority w:val="99"/>
    <w:rPr>
      <w:sz w:val="18"/>
      <w:szCs w:val="18"/>
    </w:rPr>
  </w:style>
  <w:style w:type="paragraph" w:styleId="11">
    <w:name w:val="footer"/>
    <w:basedOn w:val="1"/>
    <w:link w:val="18"/>
    <w:semiHidden/>
    <w:unhideWhenUsed/>
    <w:qFormat/>
    <w:uiPriority w:val="99"/>
    <w:pPr>
      <w:tabs>
        <w:tab w:val="center" w:pos="4153"/>
        <w:tab w:val="right" w:pos="8306"/>
      </w:tabs>
      <w:snapToGrid w:val="0"/>
      <w:jc w:val="left"/>
    </w:pPr>
    <w:rPr>
      <w:sz w:val="18"/>
      <w:szCs w:val="18"/>
    </w:rPr>
  </w:style>
  <w:style w:type="paragraph" w:styleId="12">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annotation subject"/>
    <w:basedOn w:val="6"/>
    <w:next w:val="6"/>
    <w:link w:val="30"/>
    <w:semiHidden/>
    <w:unhideWhenUsed/>
    <w:qFormat/>
    <w:uiPriority w:val="99"/>
    <w:rPr>
      <w:b/>
      <w:bCs/>
    </w:rPr>
  </w:style>
  <w:style w:type="character" w:styleId="16">
    <w:name w:val="annotation reference"/>
    <w:basedOn w:val="15"/>
    <w:qFormat/>
    <w:uiPriority w:val="0"/>
    <w:rPr>
      <w:sz w:val="21"/>
      <w:szCs w:val="21"/>
    </w:rPr>
  </w:style>
  <w:style w:type="character" w:customStyle="1" w:styleId="17">
    <w:name w:val="页眉 Char"/>
    <w:basedOn w:val="15"/>
    <w:link w:val="12"/>
    <w:semiHidden/>
    <w:qFormat/>
    <w:uiPriority w:val="99"/>
    <w:rPr>
      <w:rFonts w:ascii="Times New Roman" w:hAnsi="Times New Roman" w:eastAsia="楷体_GB2312" w:cs="Times New Roman"/>
      <w:spacing w:val="-20"/>
      <w:sz w:val="18"/>
      <w:szCs w:val="18"/>
    </w:rPr>
  </w:style>
  <w:style w:type="character" w:customStyle="1" w:styleId="18">
    <w:name w:val="页脚 Char"/>
    <w:basedOn w:val="15"/>
    <w:link w:val="11"/>
    <w:semiHidden/>
    <w:qFormat/>
    <w:uiPriority w:val="99"/>
    <w:rPr>
      <w:rFonts w:ascii="Times New Roman" w:hAnsi="Times New Roman" w:eastAsia="楷体_GB2312" w:cs="Times New Roman"/>
      <w:spacing w:val="-20"/>
      <w:sz w:val="18"/>
      <w:szCs w:val="18"/>
    </w:rPr>
  </w:style>
  <w:style w:type="paragraph" w:styleId="19">
    <w:name w:val="List Paragraph"/>
    <w:basedOn w:val="1"/>
    <w:qFormat/>
    <w:uiPriority w:val="34"/>
    <w:pPr>
      <w:ind w:firstLine="420" w:firstLineChars="200"/>
    </w:pPr>
  </w:style>
  <w:style w:type="character" w:customStyle="1" w:styleId="20">
    <w:name w:val="标题 2 Char"/>
    <w:basedOn w:val="15"/>
    <w:link w:val="3"/>
    <w:qFormat/>
    <w:uiPriority w:val="0"/>
    <w:rPr>
      <w:rFonts w:ascii="Arial" w:hAnsi="Arial" w:eastAsia="黑体" w:cs="Times New Roman"/>
      <w:b/>
      <w:bCs/>
      <w:sz w:val="30"/>
      <w:szCs w:val="32"/>
    </w:rPr>
  </w:style>
  <w:style w:type="character" w:customStyle="1" w:styleId="21">
    <w:name w:val="日期 Char"/>
    <w:basedOn w:val="15"/>
    <w:link w:val="9"/>
    <w:qFormat/>
    <w:uiPriority w:val="0"/>
    <w:rPr>
      <w:rFonts w:ascii="Times New Roman" w:hAnsi="Times New Roman" w:eastAsia="楷体_GB2312" w:cs="Times New Roman"/>
      <w:spacing w:val="-20"/>
      <w:sz w:val="32"/>
      <w:szCs w:val="20"/>
    </w:rPr>
  </w:style>
  <w:style w:type="character" w:customStyle="1" w:styleId="22">
    <w:name w:val="纯文本 Char"/>
    <w:basedOn w:val="15"/>
    <w:semiHidden/>
    <w:qFormat/>
    <w:uiPriority w:val="99"/>
    <w:rPr>
      <w:rFonts w:ascii="宋体" w:hAnsi="Courier New" w:eastAsia="宋体" w:cs="Courier New"/>
      <w:spacing w:val="-20"/>
      <w:szCs w:val="21"/>
    </w:rPr>
  </w:style>
  <w:style w:type="paragraph" w:customStyle="1" w:styleId="23">
    <w:name w:val="样式3"/>
    <w:basedOn w:val="8"/>
    <w:qFormat/>
    <w:uiPriority w:val="0"/>
    <w:pPr>
      <w:spacing w:line="0" w:lineRule="atLeast"/>
      <w:outlineLvl w:val="0"/>
    </w:pPr>
    <w:rPr>
      <w:sz w:val="28"/>
    </w:rPr>
  </w:style>
  <w:style w:type="character" w:customStyle="1" w:styleId="24">
    <w:name w:val="纯文本 Char1"/>
    <w:link w:val="8"/>
    <w:qFormat/>
    <w:uiPriority w:val="0"/>
    <w:rPr>
      <w:rFonts w:ascii="宋体" w:hAnsi="Courier New" w:eastAsia="宋体" w:cs="Times New Roman"/>
      <w:szCs w:val="20"/>
    </w:rPr>
  </w:style>
  <w:style w:type="character" w:customStyle="1" w:styleId="25">
    <w:name w:val="正文缩进 Char"/>
    <w:link w:val="5"/>
    <w:qFormat/>
    <w:uiPriority w:val="0"/>
    <w:rPr>
      <w:rFonts w:ascii="Times New Roman" w:hAnsi="Times New Roman" w:eastAsia="宋体" w:cs="Times New Roman"/>
      <w:szCs w:val="20"/>
    </w:rPr>
  </w:style>
  <w:style w:type="character" w:customStyle="1" w:styleId="26">
    <w:name w:val="批注框文本 Char"/>
    <w:basedOn w:val="15"/>
    <w:link w:val="10"/>
    <w:semiHidden/>
    <w:qFormat/>
    <w:uiPriority w:val="99"/>
    <w:rPr>
      <w:rFonts w:ascii="Times New Roman" w:hAnsi="Times New Roman" w:eastAsia="楷体_GB2312" w:cs="Times New Roman"/>
      <w:spacing w:val="-20"/>
      <w:sz w:val="18"/>
      <w:szCs w:val="18"/>
    </w:rPr>
  </w:style>
  <w:style w:type="character" w:customStyle="1" w:styleId="27">
    <w:name w:val="标题 1 Char"/>
    <w:basedOn w:val="15"/>
    <w:link w:val="2"/>
    <w:qFormat/>
    <w:uiPriority w:val="9"/>
    <w:rPr>
      <w:rFonts w:ascii="Times New Roman" w:hAnsi="Times New Roman" w:eastAsia="楷体_GB2312" w:cs="Times New Roman"/>
      <w:b/>
      <w:bCs/>
      <w:spacing w:val="-20"/>
      <w:kern w:val="44"/>
      <w:sz w:val="44"/>
      <w:szCs w:val="44"/>
    </w:rPr>
  </w:style>
  <w:style w:type="character" w:customStyle="1" w:styleId="28">
    <w:name w:val="标题1"/>
    <w:basedOn w:val="15"/>
    <w:qFormat/>
    <w:uiPriority w:val="0"/>
  </w:style>
  <w:style w:type="character" w:customStyle="1" w:styleId="29">
    <w:name w:val="批注文字 Char"/>
    <w:basedOn w:val="15"/>
    <w:link w:val="6"/>
    <w:qFormat/>
    <w:uiPriority w:val="0"/>
    <w:rPr>
      <w:rFonts w:ascii="Times New Roman" w:hAnsi="Times New Roman" w:eastAsia="楷体_GB2312" w:cs="Times New Roman"/>
      <w:spacing w:val="-20"/>
      <w:sz w:val="32"/>
      <w:szCs w:val="20"/>
    </w:rPr>
  </w:style>
  <w:style w:type="character" w:customStyle="1" w:styleId="30">
    <w:name w:val="批注主题 Char"/>
    <w:basedOn w:val="29"/>
    <w:link w:val="13"/>
    <w:semiHidden/>
    <w:qFormat/>
    <w:uiPriority w:val="99"/>
    <w:rPr>
      <w:rFonts w:ascii="Times New Roman" w:hAnsi="Times New Roman" w:eastAsia="楷体_GB2312" w:cs="Times New Roman"/>
      <w:b/>
      <w:bCs/>
      <w:spacing w:val="-20"/>
      <w:sz w:val="32"/>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49E8C-B37A-4C78-AA5F-DD49DE6D63C9}">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Pages>
  <Words>2156</Words>
  <Characters>2458</Characters>
  <Lines>61</Lines>
  <Paragraphs>17</Paragraphs>
  <TotalTime>3</TotalTime>
  <ScaleCrop>false</ScaleCrop>
  <LinksUpToDate>false</LinksUpToDate>
  <CharactersWithSpaces>2497</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2021-07-05T01:43:00Z</dcterms:created>
  <dc:creator>微软用户</dc:creator>
  <cp:lastModifiedBy>丹茹</cp:lastModifiedBy>
  <cp:lastPrinted>2021-07-06T02:58:00Z</cp:lastPrinted>
  <dcterms:modified xsi:type="dcterms:W3CDTF">2022-08-10T05:33:04Z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EA691D93D49D487FAEFDDF2BC1E64B4C</vt:lpwstr>
  </property>
</Properties>
</file>