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B4E" w:rsidRDefault="009438FB">
      <w:pPr>
        <w:tabs>
          <w:tab w:val="left" w:pos="295"/>
        </w:tabs>
        <w:spacing w:line="480" w:lineRule="atLeast"/>
        <w:ind w:right="-85" w:firstLineChars="245" w:firstLine="885"/>
        <w:jc w:val="center"/>
        <w:outlineLvl w:val="0"/>
        <w:rPr>
          <w:rFonts w:ascii="宋体" w:eastAsia="宋体" w:hAnsi="宋体"/>
          <w:b/>
          <w:spacing w:val="0"/>
          <w:sz w:val="36"/>
        </w:rPr>
      </w:pPr>
      <w:bookmarkStart w:id="0" w:name="_Toc452504498"/>
      <w:r>
        <w:rPr>
          <w:rFonts w:ascii="宋体" w:eastAsia="宋体" w:hAnsi="宋体" w:hint="eastAsia"/>
          <w:b/>
          <w:spacing w:val="0"/>
          <w:sz w:val="36"/>
        </w:rPr>
        <w:t>投光灯</w:t>
      </w:r>
      <w:r>
        <w:rPr>
          <w:rFonts w:ascii="宋体" w:eastAsia="宋体" w:hAnsi="宋体" w:hint="eastAsia"/>
          <w:b/>
          <w:spacing w:val="0"/>
          <w:sz w:val="36"/>
        </w:rPr>
        <w:t>技术要求</w:t>
      </w:r>
    </w:p>
    <w:p w:rsidR="00BD0B4E" w:rsidRDefault="009438FB">
      <w:pPr>
        <w:spacing w:line="360" w:lineRule="auto"/>
        <w:rPr>
          <w:rFonts w:eastAsia="宋体"/>
          <w:b/>
          <w:bCs/>
          <w:color w:val="000000"/>
          <w:spacing w:val="0"/>
          <w:sz w:val="28"/>
          <w:szCs w:val="28"/>
        </w:rPr>
      </w:pPr>
      <w:bookmarkStart w:id="1" w:name="_Toc3203"/>
      <w:bookmarkStart w:id="2" w:name="_Toc3563"/>
      <w:bookmarkStart w:id="3" w:name="_Toc18268"/>
      <w:bookmarkStart w:id="4" w:name="_Toc4082"/>
      <w:bookmarkStart w:id="5" w:name="_Toc18780"/>
      <w:bookmarkStart w:id="6" w:name="_Toc20021"/>
      <w:bookmarkStart w:id="7" w:name="_Toc15368"/>
      <w:bookmarkStart w:id="8" w:name="_Toc16809"/>
      <w:r>
        <w:rPr>
          <w:rFonts w:eastAsia="宋体" w:hint="eastAsia"/>
          <w:b/>
          <w:bCs/>
          <w:color w:val="000000"/>
          <w:spacing w:val="0"/>
          <w:sz w:val="28"/>
          <w:szCs w:val="28"/>
        </w:rPr>
        <w:t>一、招标内容</w:t>
      </w:r>
      <w:bookmarkEnd w:id="1"/>
      <w:bookmarkEnd w:id="2"/>
      <w:bookmarkEnd w:id="3"/>
      <w:bookmarkEnd w:id="4"/>
      <w:bookmarkEnd w:id="5"/>
      <w:bookmarkEnd w:id="6"/>
      <w:bookmarkEnd w:id="7"/>
      <w:bookmarkEnd w:id="8"/>
    </w:p>
    <w:tbl>
      <w:tblPr>
        <w:tblW w:w="89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9"/>
        <w:gridCol w:w="4120"/>
        <w:gridCol w:w="990"/>
        <w:gridCol w:w="749"/>
        <w:gridCol w:w="799"/>
        <w:gridCol w:w="1675"/>
      </w:tblGrid>
      <w:tr w:rsidR="00A730D3" w:rsidTr="00C967B6">
        <w:trPr>
          <w:trHeight w:val="90"/>
          <w:tblHeader/>
          <w:jc w:val="center"/>
        </w:trPr>
        <w:tc>
          <w:tcPr>
            <w:tcW w:w="639" w:type="dxa"/>
            <w:tcBorders>
              <w:tl2br w:val="nil"/>
              <w:tr2bl w:val="nil"/>
            </w:tcBorders>
            <w:shd w:val="clear" w:color="auto" w:fill="F2F2F2" w:themeFill="background1" w:themeFillShade="F2"/>
            <w:vAlign w:val="center"/>
          </w:tcPr>
          <w:p w:rsidR="00A730D3" w:rsidRPr="00A730D3" w:rsidRDefault="00A730D3" w:rsidP="00C967B6">
            <w:pPr>
              <w:widowControl/>
              <w:jc w:val="center"/>
              <w:textAlignment w:val="top"/>
              <w:rPr>
                <w:rFonts w:ascii="仿宋_GB2312" w:eastAsia="仿宋_GB2312" w:hAnsi="仿宋_GB2312" w:cs="仿宋_GB2312"/>
                <w:sz w:val="24"/>
                <w:szCs w:val="24"/>
              </w:rPr>
            </w:pPr>
            <w:bookmarkStart w:id="9" w:name="_Toc452504500"/>
            <w:bookmarkEnd w:id="0"/>
            <w:r w:rsidRPr="00A730D3">
              <w:rPr>
                <w:rFonts w:ascii="仿宋_GB2312" w:eastAsia="仿宋_GB2312" w:hAnsi="仿宋_GB2312" w:cs="仿宋_GB2312" w:hint="eastAsia"/>
                <w:kern w:val="0"/>
                <w:sz w:val="24"/>
                <w:szCs w:val="24"/>
              </w:rPr>
              <w:t>序号</w:t>
            </w:r>
          </w:p>
        </w:tc>
        <w:tc>
          <w:tcPr>
            <w:tcW w:w="4120" w:type="dxa"/>
            <w:tcBorders>
              <w:tl2br w:val="nil"/>
              <w:tr2bl w:val="nil"/>
            </w:tcBorders>
            <w:shd w:val="clear" w:color="auto" w:fill="F2F2F2" w:themeFill="background1" w:themeFillShade="F2"/>
            <w:vAlign w:val="center"/>
          </w:tcPr>
          <w:p w:rsidR="00A730D3" w:rsidRPr="00A730D3" w:rsidRDefault="00A730D3" w:rsidP="00C967B6">
            <w:pPr>
              <w:widowControl/>
              <w:jc w:val="center"/>
              <w:textAlignment w:val="top"/>
              <w:rPr>
                <w:rFonts w:ascii="仿宋_GB2312" w:eastAsia="仿宋_GB2312" w:hAnsi="仿宋_GB2312" w:cs="仿宋_GB2312"/>
                <w:sz w:val="24"/>
                <w:szCs w:val="24"/>
              </w:rPr>
            </w:pPr>
            <w:r w:rsidRPr="00A730D3">
              <w:rPr>
                <w:rFonts w:ascii="仿宋_GB2312" w:eastAsia="仿宋_GB2312" w:hAnsi="仿宋_GB2312" w:cs="仿宋_GB2312" w:hint="eastAsia"/>
                <w:kern w:val="0"/>
                <w:sz w:val="24"/>
                <w:szCs w:val="24"/>
              </w:rPr>
              <w:t>名称</w:t>
            </w:r>
          </w:p>
        </w:tc>
        <w:tc>
          <w:tcPr>
            <w:tcW w:w="990" w:type="dxa"/>
            <w:tcBorders>
              <w:tl2br w:val="nil"/>
              <w:tr2bl w:val="nil"/>
            </w:tcBorders>
            <w:shd w:val="clear" w:color="auto" w:fill="F2F2F2" w:themeFill="background1" w:themeFillShade="F2"/>
            <w:vAlign w:val="center"/>
          </w:tcPr>
          <w:p w:rsidR="00A730D3" w:rsidRPr="00A730D3" w:rsidRDefault="00A730D3" w:rsidP="00C967B6">
            <w:pPr>
              <w:widowControl/>
              <w:jc w:val="center"/>
              <w:textAlignment w:val="top"/>
              <w:rPr>
                <w:rFonts w:ascii="仿宋_GB2312" w:eastAsia="仿宋_GB2312" w:hAnsi="仿宋_GB2312" w:cs="仿宋_GB2312"/>
                <w:kern w:val="0"/>
                <w:sz w:val="24"/>
                <w:szCs w:val="24"/>
              </w:rPr>
            </w:pPr>
            <w:r w:rsidRPr="00A730D3">
              <w:rPr>
                <w:rFonts w:ascii="仿宋_GB2312" w:eastAsia="仿宋_GB2312" w:hAnsi="仿宋_GB2312" w:cs="仿宋_GB2312" w:hint="eastAsia"/>
                <w:kern w:val="0"/>
                <w:sz w:val="24"/>
                <w:szCs w:val="24"/>
              </w:rPr>
              <w:t>数量</w:t>
            </w:r>
          </w:p>
        </w:tc>
        <w:tc>
          <w:tcPr>
            <w:tcW w:w="749" w:type="dxa"/>
            <w:tcBorders>
              <w:tl2br w:val="nil"/>
              <w:tr2bl w:val="nil"/>
            </w:tcBorders>
            <w:shd w:val="clear" w:color="auto" w:fill="F2F2F2" w:themeFill="background1" w:themeFillShade="F2"/>
            <w:vAlign w:val="center"/>
          </w:tcPr>
          <w:p w:rsidR="00A730D3" w:rsidRPr="00A730D3" w:rsidRDefault="00A730D3" w:rsidP="00C967B6">
            <w:pPr>
              <w:widowControl/>
              <w:jc w:val="center"/>
              <w:textAlignment w:val="top"/>
              <w:rPr>
                <w:rFonts w:ascii="仿宋_GB2312" w:eastAsia="仿宋_GB2312" w:hAnsi="仿宋_GB2312" w:cs="仿宋_GB2312"/>
                <w:sz w:val="24"/>
                <w:szCs w:val="24"/>
              </w:rPr>
            </w:pPr>
            <w:r w:rsidRPr="00A730D3">
              <w:rPr>
                <w:rFonts w:ascii="仿宋_GB2312" w:eastAsia="仿宋_GB2312" w:hAnsi="仿宋_GB2312" w:cs="仿宋_GB2312" w:hint="eastAsia"/>
                <w:kern w:val="0"/>
                <w:sz w:val="24"/>
                <w:szCs w:val="24"/>
              </w:rPr>
              <w:t>单位</w:t>
            </w:r>
          </w:p>
        </w:tc>
        <w:tc>
          <w:tcPr>
            <w:tcW w:w="799" w:type="dxa"/>
            <w:tcBorders>
              <w:tl2br w:val="nil"/>
              <w:tr2bl w:val="nil"/>
            </w:tcBorders>
            <w:shd w:val="clear" w:color="auto" w:fill="F2F2F2" w:themeFill="background1" w:themeFillShade="F2"/>
            <w:vAlign w:val="center"/>
          </w:tcPr>
          <w:p w:rsidR="00A730D3" w:rsidRPr="00A730D3" w:rsidRDefault="00A730D3" w:rsidP="00C967B6">
            <w:pPr>
              <w:widowControl/>
              <w:jc w:val="center"/>
              <w:textAlignment w:val="top"/>
              <w:rPr>
                <w:rFonts w:ascii="仿宋_GB2312" w:eastAsia="仿宋_GB2312" w:hAnsi="仿宋_GB2312" w:cs="仿宋_GB2312"/>
                <w:color w:val="FF0000"/>
                <w:kern w:val="0"/>
                <w:sz w:val="24"/>
                <w:szCs w:val="24"/>
              </w:rPr>
            </w:pPr>
            <w:r w:rsidRPr="00A730D3">
              <w:rPr>
                <w:rFonts w:ascii="仿宋_GB2312" w:eastAsia="仿宋_GB2312" w:hAnsi="仿宋_GB2312" w:cs="仿宋_GB2312" w:hint="eastAsia"/>
                <w:kern w:val="0"/>
                <w:sz w:val="24"/>
                <w:szCs w:val="24"/>
              </w:rPr>
              <w:t>防水要求</w:t>
            </w:r>
          </w:p>
        </w:tc>
        <w:tc>
          <w:tcPr>
            <w:tcW w:w="1675" w:type="dxa"/>
            <w:tcBorders>
              <w:tl2br w:val="nil"/>
              <w:tr2bl w:val="nil"/>
            </w:tcBorders>
            <w:shd w:val="clear" w:color="auto" w:fill="F2F2F2" w:themeFill="background1" w:themeFillShade="F2"/>
            <w:vAlign w:val="center"/>
          </w:tcPr>
          <w:p w:rsidR="00A730D3" w:rsidRPr="00A730D3" w:rsidRDefault="00A730D3" w:rsidP="00C967B6">
            <w:pPr>
              <w:widowControl/>
              <w:jc w:val="center"/>
              <w:textAlignment w:val="top"/>
              <w:rPr>
                <w:rFonts w:ascii="仿宋_GB2312" w:eastAsia="仿宋_GB2312" w:hAnsi="仿宋_GB2312" w:cs="仿宋_GB2312"/>
                <w:kern w:val="0"/>
                <w:sz w:val="24"/>
                <w:szCs w:val="24"/>
              </w:rPr>
            </w:pPr>
            <w:r w:rsidRPr="00A730D3">
              <w:rPr>
                <w:rFonts w:ascii="仿宋_GB2312" w:eastAsia="仿宋_GB2312" w:hAnsi="仿宋_GB2312" w:cs="仿宋_GB2312" w:hint="eastAsia"/>
                <w:kern w:val="0"/>
                <w:sz w:val="24"/>
                <w:szCs w:val="24"/>
              </w:rPr>
              <w:t>备注</w:t>
            </w:r>
          </w:p>
        </w:tc>
      </w:tr>
      <w:tr w:rsidR="00A730D3" w:rsidTr="00C967B6">
        <w:trPr>
          <w:trHeight w:val="90"/>
          <w:jc w:val="center"/>
        </w:trPr>
        <w:tc>
          <w:tcPr>
            <w:tcW w:w="639" w:type="dxa"/>
            <w:tcBorders>
              <w:tl2br w:val="nil"/>
              <w:tr2bl w:val="nil"/>
            </w:tcBorders>
            <w:shd w:val="clear" w:color="auto" w:fill="auto"/>
            <w:vAlign w:val="center"/>
          </w:tcPr>
          <w:p w:rsidR="00A730D3" w:rsidRPr="00A730D3" w:rsidRDefault="00A730D3" w:rsidP="00C967B6">
            <w:pPr>
              <w:widowControl/>
              <w:jc w:val="center"/>
              <w:textAlignment w:val="top"/>
              <w:rPr>
                <w:rFonts w:ascii="仿宋_GB2312" w:eastAsia="仿宋_GB2312" w:hAnsi="仿宋_GB2312" w:cs="仿宋_GB2312"/>
                <w:kern w:val="0"/>
                <w:sz w:val="24"/>
                <w:szCs w:val="24"/>
              </w:rPr>
            </w:pPr>
            <w:r w:rsidRPr="00A730D3">
              <w:rPr>
                <w:rFonts w:ascii="仿宋_GB2312" w:eastAsia="仿宋_GB2312" w:hAnsi="仿宋_GB2312" w:cs="仿宋_GB2312" w:hint="eastAsia"/>
                <w:kern w:val="0"/>
                <w:sz w:val="24"/>
                <w:szCs w:val="24"/>
              </w:rPr>
              <w:t>1</w:t>
            </w:r>
          </w:p>
        </w:tc>
        <w:tc>
          <w:tcPr>
            <w:tcW w:w="4120" w:type="dxa"/>
            <w:tcBorders>
              <w:tl2br w:val="nil"/>
              <w:tr2bl w:val="nil"/>
            </w:tcBorders>
            <w:shd w:val="clear" w:color="auto" w:fill="auto"/>
            <w:vAlign w:val="center"/>
          </w:tcPr>
          <w:p w:rsidR="00A730D3" w:rsidRPr="00A730D3" w:rsidRDefault="00A730D3" w:rsidP="00C967B6">
            <w:pPr>
              <w:jc w:val="center"/>
              <w:rPr>
                <w:rFonts w:ascii="仿宋" w:eastAsia="仿宋" w:hAnsi="仿宋" w:cs="仿宋"/>
                <w:sz w:val="24"/>
                <w:szCs w:val="24"/>
              </w:rPr>
            </w:pPr>
            <w:r w:rsidRPr="00A730D3">
              <w:rPr>
                <w:rFonts w:ascii="仿宋" w:eastAsia="仿宋" w:hAnsi="仿宋" w:cs="仿宋" w:hint="eastAsia"/>
                <w:sz w:val="24"/>
                <w:szCs w:val="24"/>
              </w:rPr>
              <w:t>12W 线型LED水下投光灯（1米）RGBW</w:t>
            </w:r>
          </w:p>
        </w:tc>
        <w:tc>
          <w:tcPr>
            <w:tcW w:w="990" w:type="dxa"/>
            <w:tcBorders>
              <w:tl2br w:val="nil"/>
              <w:tr2bl w:val="nil"/>
            </w:tcBorders>
            <w:shd w:val="clear" w:color="auto" w:fill="auto"/>
            <w:vAlign w:val="center"/>
          </w:tcPr>
          <w:p w:rsidR="00A730D3" w:rsidRPr="00A730D3" w:rsidRDefault="00A730D3" w:rsidP="00C967B6">
            <w:pPr>
              <w:widowControl/>
              <w:jc w:val="center"/>
              <w:textAlignment w:val="center"/>
              <w:rPr>
                <w:rFonts w:ascii="仿宋_GB2312" w:eastAsia="仿宋_GB2312" w:hAnsi="仿宋_GB2312" w:cs="仿宋_GB2312"/>
                <w:kern w:val="0"/>
                <w:sz w:val="24"/>
                <w:szCs w:val="24"/>
              </w:rPr>
            </w:pPr>
            <w:r w:rsidRPr="00A730D3">
              <w:rPr>
                <w:rFonts w:ascii="仿宋_GB2312" w:eastAsia="仿宋_GB2312" w:hAnsi="仿宋_GB2312" w:cs="仿宋_GB2312" w:hint="eastAsia"/>
                <w:kern w:val="0"/>
                <w:sz w:val="24"/>
                <w:szCs w:val="24"/>
              </w:rPr>
              <w:t>60</w:t>
            </w:r>
          </w:p>
        </w:tc>
        <w:tc>
          <w:tcPr>
            <w:tcW w:w="749" w:type="dxa"/>
            <w:tcBorders>
              <w:tl2br w:val="nil"/>
              <w:tr2bl w:val="nil"/>
            </w:tcBorders>
            <w:shd w:val="clear" w:color="auto" w:fill="auto"/>
            <w:vAlign w:val="center"/>
          </w:tcPr>
          <w:p w:rsidR="00A730D3" w:rsidRPr="00A730D3" w:rsidRDefault="00A730D3" w:rsidP="00C967B6">
            <w:pPr>
              <w:jc w:val="center"/>
              <w:rPr>
                <w:rFonts w:ascii="仿宋_GB2312" w:eastAsia="仿宋_GB2312" w:hAnsi="仿宋_GB2312" w:cs="仿宋_GB2312"/>
                <w:sz w:val="24"/>
                <w:szCs w:val="24"/>
              </w:rPr>
            </w:pPr>
            <w:r w:rsidRPr="00A730D3">
              <w:rPr>
                <w:rFonts w:ascii="仿宋_GB2312" w:eastAsia="仿宋_GB2312" w:hAnsi="仿宋_GB2312" w:cs="仿宋_GB2312" w:hint="eastAsia"/>
                <w:sz w:val="24"/>
                <w:szCs w:val="24"/>
              </w:rPr>
              <w:t>套</w:t>
            </w:r>
          </w:p>
        </w:tc>
        <w:tc>
          <w:tcPr>
            <w:tcW w:w="799" w:type="dxa"/>
            <w:tcBorders>
              <w:tl2br w:val="nil"/>
              <w:tr2bl w:val="nil"/>
            </w:tcBorders>
            <w:vAlign w:val="center"/>
          </w:tcPr>
          <w:p w:rsidR="00A730D3" w:rsidRPr="00A730D3" w:rsidRDefault="00A730D3" w:rsidP="00C967B6">
            <w:pPr>
              <w:tabs>
                <w:tab w:val="left" w:pos="364"/>
              </w:tabs>
              <w:autoSpaceDE w:val="0"/>
              <w:autoSpaceDN w:val="0"/>
              <w:adjustRightInd w:val="0"/>
              <w:jc w:val="center"/>
              <w:rPr>
                <w:rFonts w:ascii="仿宋_GB2312" w:eastAsia="仿宋_GB2312" w:hAnsi="仿宋_GB2312" w:cs="仿宋_GB2312"/>
                <w:sz w:val="24"/>
                <w:szCs w:val="24"/>
              </w:rPr>
            </w:pPr>
            <w:r w:rsidRPr="00A730D3">
              <w:rPr>
                <w:rFonts w:ascii="仿宋_GB2312" w:eastAsia="仿宋_GB2312" w:hAnsi="仿宋_GB2312" w:cs="仿宋_GB2312" w:hint="eastAsia"/>
                <w:sz w:val="24"/>
                <w:szCs w:val="24"/>
              </w:rPr>
              <w:t>IP68</w:t>
            </w:r>
          </w:p>
        </w:tc>
        <w:tc>
          <w:tcPr>
            <w:tcW w:w="1675" w:type="dxa"/>
            <w:tcBorders>
              <w:tl2br w:val="nil"/>
              <w:tr2bl w:val="nil"/>
            </w:tcBorders>
            <w:vAlign w:val="center"/>
          </w:tcPr>
          <w:p w:rsidR="00A730D3" w:rsidRPr="00A730D3" w:rsidRDefault="00A730D3" w:rsidP="00C967B6">
            <w:pPr>
              <w:autoSpaceDE w:val="0"/>
              <w:autoSpaceDN w:val="0"/>
              <w:adjustRightInd w:val="0"/>
              <w:jc w:val="center"/>
              <w:rPr>
                <w:rFonts w:ascii="仿宋_GB2312" w:eastAsia="仿宋_GB2312" w:hAnsi="仿宋_GB2312" w:cs="仿宋_GB2312"/>
                <w:sz w:val="24"/>
                <w:szCs w:val="24"/>
              </w:rPr>
            </w:pPr>
          </w:p>
        </w:tc>
      </w:tr>
      <w:tr w:rsidR="00A730D3" w:rsidTr="00C967B6">
        <w:trPr>
          <w:trHeight w:val="90"/>
          <w:jc w:val="center"/>
        </w:trPr>
        <w:tc>
          <w:tcPr>
            <w:tcW w:w="639" w:type="dxa"/>
            <w:tcBorders>
              <w:tl2br w:val="nil"/>
              <w:tr2bl w:val="nil"/>
            </w:tcBorders>
            <w:shd w:val="clear" w:color="auto" w:fill="auto"/>
            <w:vAlign w:val="center"/>
          </w:tcPr>
          <w:p w:rsidR="00A730D3" w:rsidRPr="00A730D3" w:rsidRDefault="00A730D3" w:rsidP="00C967B6">
            <w:pPr>
              <w:jc w:val="center"/>
              <w:rPr>
                <w:rFonts w:ascii="仿宋_GB2312" w:eastAsia="仿宋_GB2312" w:hAnsi="仿宋_GB2312" w:cs="仿宋_GB2312"/>
                <w:kern w:val="0"/>
                <w:sz w:val="24"/>
                <w:szCs w:val="24"/>
              </w:rPr>
            </w:pPr>
            <w:r w:rsidRPr="00A730D3">
              <w:rPr>
                <w:rFonts w:ascii="仿宋_GB2312" w:eastAsia="仿宋_GB2312" w:hAnsi="仿宋_GB2312" w:cs="仿宋_GB2312" w:hint="eastAsia"/>
                <w:kern w:val="0"/>
                <w:sz w:val="24"/>
                <w:szCs w:val="24"/>
              </w:rPr>
              <w:t>2</w:t>
            </w:r>
          </w:p>
        </w:tc>
        <w:tc>
          <w:tcPr>
            <w:tcW w:w="4120" w:type="dxa"/>
            <w:tcBorders>
              <w:tl2br w:val="nil"/>
              <w:tr2bl w:val="nil"/>
            </w:tcBorders>
            <w:shd w:val="clear" w:color="auto" w:fill="auto"/>
            <w:vAlign w:val="center"/>
          </w:tcPr>
          <w:p w:rsidR="00A730D3" w:rsidRPr="00A730D3" w:rsidRDefault="00A730D3" w:rsidP="00C967B6">
            <w:pPr>
              <w:jc w:val="center"/>
              <w:rPr>
                <w:rFonts w:ascii="仿宋" w:eastAsia="仿宋" w:hAnsi="仿宋" w:cs="仿宋"/>
                <w:kern w:val="0"/>
                <w:sz w:val="24"/>
                <w:szCs w:val="24"/>
              </w:rPr>
            </w:pPr>
            <w:r w:rsidRPr="00A730D3">
              <w:rPr>
                <w:rFonts w:ascii="仿宋" w:eastAsia="仿宋" w:hAnsi="仿宋" w:cs="仿宋" w:hint="eastAsia"/>
                <w:sz w:val="24"/>
                <w:szCs w:val="24"/>
              </w:rPr>
              <w:t>12W 线型LED水下投光灯（0.4米）RGBW</w:t>
            </w:r>
          </w:p>
        </w:tc>
        <w:tc>
          <w:tcPr>
            <w:tcW w:w="990" w:type="dxa"/>
            <w:tcBorders>
              <w:tl2br w:val="nil"/>
              <w:tr2bl w:val="nil"/>
            </w:tcBorders>
            <w:shd w:val="clear" w:color="auto" w:fill="auto"/>
            <w:vAlign w:val="center"/>
          </w:tcPr>
          <w:p w:rsidR="00A730D3" w:rsidRPr="00A730D3" w:rsidRDefault="00A730D3" w:rsidP="00C967B6">
            <w:pPr>
              <w:widowControl/>
              <w:jc w:val="center"/>
              <w:textAlignment w:val="center"/>
              <w:rPr>
                <w:rFonts w:ascii="仿宋_GB2312" w:eastAsia="仿宋_GB2312" w:hAnsi="仿宋_GB2312" w:cs="仿宋_GB2312"/>
                <w:kern w:val="0"/>
                <w:sz w:val="24"/>
                <w:szCs w:val="24"/>
              </w:rPr>
            </w:pPr>
            <w:r w:rsidRPr="00A730D3">
              <w:rPr>
                <w:rFonts w:ascii="仿宋_GB2312" w:eastAsia="仿宋_GB2312" w:hAnsi="仿宋_GB2312" w:cs="仿宋_GB2312" w:hint="eastAsia"/>
                <w:kern w:val="0"/>
                <w:sz w:val="24"/>
                <w:szCs w:val="24"/>
              </w:rPr>
              <w:t>20</w:t>
            </w:r>
          </w:p>
        </w:tc>
        <w:tc>
          <w:tcPr>
            <w:tcW w:w="749" w:type="dxa"/>
            <w:tcBorders>
              <w:tl2br w:val="nil"/>
              <w:tr2bl w:val="nil"/>
            </w:tcBorders>
            <w:shd w:val="clear" w:color="auto" w:fill="auto"/>
            <w:vAlign w:val="center"/>
          </w:tcPr>
          <w:p w:rsidR="00A730D3" w:rsidRPr="00A730D3" w:rsidRDefault="00A730D3" w:rsidP="00C967B6">
            <w:pPr>
              <w:jc w:val="center"/>
              <w:rPr>
                <w:rFonts w:ascii="仿宋_GB2312" w:eastAsia="仿宋_GB2312" w:hAnsi="仿宋_GB2312" w:cs="仿宋_GB2312"/>
                <w:kern w:val="0"/>
                <w:sz w:val="24"/>
                <w:szCs w:val="24"/>
              </w:rPr>
            </w:pPr>
            <w:r w:rsidRPr="00A730D3">
              <w:rPr>
                <w:rFonts w:ascii="仿宋_GB2312" w:eastAsia="仿宋_GB2312" w:hAnsi="仿宋_GB2312" w:cs="仿宋_GB2312" w:hint="eastAsia"/>
                <w:sz w:val="24"/>
                <w:szCs w:val="24"/>
              </w:rPr>
              <w:t>套</w:t>
            </w:r>
          </w:p>
        </w:tc>
        <w:tc>
          <w:tcPr>
            <w:tcW w:w="799" w:type="dxa"/>
            <w:tcBorders>
              <w:tl2br w:val="nil"/>
              <w:tr2bl w:val="nil"/>
            </w:tcBorders>
          </w:tcPr>
          <w:p w:rsidR="00A730D3" w:rsidRPr="00A730D3" w:rsidRDefault="00A730D3" w:rsidP="00C967B6">
            <w:pPr>
              <w:autoSpaceDE w:val="0"/>
              <w:autoSpaceDN w:val="0"/>
              <w:adjustRightInd w:val="0"/>
              <w:jc w:val="center"/>
              <w:rPr>
                <w:rFonts w:ascii="仿宋_GB2312" w:eastAsia="仿宋_GB2312" w:hAnsi="仿宋_GB2312" w:cs="仿宋_GB2312"/>
                <w:sz w:val="24"/>
                <w:szCs w:val="24"/>
              </w:rPr>
            </w:pPr>
            <w:r w:rsidRPr="00A730D3">
              <w:rPr>
                <w:rFonts w:ascii="仿宋_GB2312" w:eastAsia="仿宋_GB2312" w:hAnsi="仿宋_GB2312" w:cs="仿宋_GB2312" w:hint="eastAsia"/>
                <w:sz w:val="24"/>
                <w:szCs w:val="24"/>
              </w:rPr>
              <w:t>IP68</w:t>
            </w:r>
          </w:p>
        </w:tc>
        <w:tc>
          <w:tcPr>
            <w:tcW w:w="1675" w:type="dxa"/>
            <w:tcBorders>
              <w:tl2br w:val="nil"/>
              <w:tr2bl w:val="nil"/>
            </w:tcBorders>
            <w:vAlign w:val="center"/>
          </w:tcPr>
          <w:p w:rsidR="00A730D3" w:rsidRPr="00A730D3" w:rsidRDefault="00A730D3" w:rsidP="00C967B6">
            <w:pPr>
              <w:autoSpaceDE w:val="0"/>
              <w:autoSpaceDN w:val="0"/>
              <w:adjustRightInd w:val="0"/>
              <w:jc w:val="center"/>
              <w:rPr>
                <w:rFonts w:ascii="仿宋_GB2312" w:eastAsia="仿宋_GB2312" w:hAnsi="仿宋_GB2312" w:cs="仿宋_GB2312"/>
                <w:sz w:val="24"/>
                <w:szCs w:val="24"/>
              </w:rPr>
            </w:pPr>
          </w:p>
        </w:tc>
      </w:tr>
      <w:tr w:rsidR="00A730D3" w:rsidTr="00C967B6">
        <w:trPr>
          <w:trHeight w:val="90"/>
          <w:jc w:val="center"/>
        </w:trPr>
        <w:tc>
          <w:tcPr>
            <w:tcW w:w="639" w:type="dxa"/>
            <w:tcBorders>
              <w:tl2br w:val="nil"/>
              <w:tr2bl w:val="nil"/>
            </w:tcBorders>
            <w:shd w:val="clear" w:color="auto" w:fill="auto"/>
            <w:vAlign w:val="center"/>
          </w:tcPr>
          <w:p w:rsidR="00A730D3" w:rsidRPr="00A730D3" w:rsidRDefault="00A730D3" w:rsidP="00C967B6">
            <w:pPr>
              <w:jc w:val="center"/>
              <w:rPr>
                <w:rFonts w:ascii="仿宋_GB2312" w:eastAsia="仿宋_GB2312" w:hAnsi="仿宋_GB2312" w:cs="仿宋_GB2312"/>
                <w:kern w:val="0"/>
                <w:sz w:val="24"/>
                <w:szCs w:val="24"/>
              </w:rPr>
            </w:pPr>
            <w:r w:rsidRPr="00A730D3">
              <w:rPr>
                <w:rFonts w:ascii="仿宋_GB2312" w:eastAsia="仿宋_GB2312" w:hAnsi="仿宋_GB2312" w:cs="仿宋_GB2312" w:hint="eastAsia"/>
                <w:kern w:val="0"/>
                <w:sz w:val="24"/>
                <w:szCs w:val="24"/>
              </w:rPr>
              <w:t>3</w:t>
            </w:r>
          </w:p>
        </w:tc>
        <w:tc>
          <w:tcPr>
            <w:tcW w:w="4120" w:type="dxa"/>
            <w:tcBorders>
              <w:tl2br w:val="nil"/>
              <w:tr2bl w:val="nil"/>
            </w:tcBorders>
            <w:shd w:val="clear" w:color="auto" w:fill="auto"/>
            <w:vAlign w:val="center"/>
          </w:tcPr>
          <w:p w:rsidR="00A730D3" w:rsidRPr="00A730D3" w:rsidRDefault="00A730D3" w:rsidP="00C967B6">
            <w:pPr>
              <w:jc w:val="center"/>
              <w:rPr>
                <w:rFonts w:ascii="仿宋" w:eastAsia="仿宋" w:hAnsi="仿宋" w:cs="仿宋"/>
                <w:kern w:val="0"/>
                <w:sz w:val="24"/>
                <w:szCs w:val="24"/>
              </w:rPr>
            </w:pPr>
            <w:r w:rsidRPr="00A730D3">
              <w:rPr>
                <w:rFonts w:ascii="仿宋" w:eastAsia="仿宋" w:hAnsi="仿宋" w:cs="仿宋" w:hint="eastAsia"/>
                <w:sz w:val="24"/>
                <w:szCs w:val="24"/>
              </w:rPr>
              <w:t>20W 线型LED水下投光灯（1米）RGBW</w:t>
            </w:r>
          </w:p>
        </w:tc>
        <w:tc>
          <w:tcPr>
            <w:tcW w:w="990" w:type="dxa"/>
            <w:tcBorders>
              <w:tl2br w:val="nil"/>
              <w:tr2bl w:val="nil"/>
            </w:tcBorders>
            <w:shd w:val="clear" w:color="auto" w:fill="auto"/>
            <w:vAlign w:val="center"/>
          </w:tcPr>
          <w:p w:rsidR="00A730D3" w:rsidRPr="00A730D3" w:rsidRDefault="00A730D3" w:rsidP="00C967B6">
            <w:pPr>
              <w:widowControl/>
              <w:jc w:val="center"/>
              <w:textAlignment w:val="center"/>
              <w:rPr>
                <w:rFonts w:ascii="仿宋_GB2312" w:eastAsia="仿宋_GB2312" w:hAnsi="仿宋_GB2312" w:cs="仿宋_GB2312"/>
                <w:kern w:val="0"/>
                <w:sz w:val="24"/>
                <w:szCs w:val="24"/>
              </w:rPr>
            </w:pPr>
            <w:r w:rsidRPr="00A730D3">
              <w:rPr>
                <w:rFonts w:ascii="仿宋_GB2312" w:eastAsia="仿宋_GB2312" w:hAnsi="仿宋_GB2312" w:cs="仿宋_GB2312" w:hint="eastAsia"/>
                <w:kern w:val="0"/>
                <w:sz w:val="24"/>
                <w:szCs w:val="24"/>
              </w:rPr>
              <w:t>30</w:t>
            </w:r>
          </w:p>
        </w:tc>
        <w:tc>
          <w:tcPr>
            <w:tcW w:w="749" w:type="dxa"/>
            <w:tcBorders>
              <w:tl2br w:val="nil"/>
              <w:tr2bl w:val="nil"/>
            </w:tcBorders>
            <w:shd w:val="clear" w:color="auto" w:fill="auto"/>
            <w:vAlign w:val="center"/>
          </w:tcPr>
          <w:p w:rsidR="00A730D3" w:rsidRPr="00A730D3" w:rsidRDefault="00A730D3" w:rsidP="00C967B6">
            <w:pPr>
              <w:jc w:val="center"/>
              <w:rPr>
                <w:rFonts w:ascii="仿宋_GB2312" w:eastAsia="仿宋_GB2312" w:hAnsi="仿宋_GB2312" w:cs="仿宋_GB2312"/>
                <w:kern w:val="0"/>
                <w:sz w:val="24"/>
                <w:szCs w:val="24"/>
              </w:rPr>
            </w:pPr>
            <w:r w:rsidRPr="00A730D3">
              <w:rPr>
                <w:rFonts w:ascii="仿宋_GB2312" w:eastAsia="仿宋_GB2312" w:hAnsi="仿宋_GB2312" w:cs="仿宋_GB2312" w:hint="eastAsia"/>
                <w:sz w:val="24"/>
                <w:szCs w:val="24"/>
              </w:rPr>
              <w:t>套</w:t>
            </w:r>
          </w:p>
        </w:tc>
        <w:tc>
          <w:tcPr>
            <w:tcW w:w="799" w:type="dxa"/>
            <w:tcBorders>
              <w:tl2br w:val="nil"/>
              <w:tr2bl w:val="nil"/>
            </w:tcBorders>
          </w:tcPr>
          <w:p w:rsidR="00A730D3" w:rsidRPr="00A730D3" w:rsidRDefault="00A730D3" w:rsidP="00C967B6">
            <w:pPr>
              <w:autoSpaceDE w:val="0"/>
              <w:autoSpaceDN w:val="0"/>
              <w:adjustRightInd w:val="0"/>
              <w:jc w:val="center"/>
              <w:rPr>
                <w:rFonts w:ascii="仿宋_GB2312" w:eastAsia="仿宋_GB2312" w:hAnsi="仿宋_GB2312" w:cs="仿宋_GB2312"/>
                <w:sz w:val="24"/>
                <w:szCs w:val="24"/>
              </w:rPr>
            </w:pPr>
            <w:r w:rsidRPr="00A730D3">
              <w:rPr>
                <w:rFonts w:ascii="仿宋_GB2312" w:eastAsia="仿宋_GB2312" w:hAnsi="仿宋_GB2312" w:cs="仿宋_GB2312" w:hint="eastAsia"/>
                <w:sz w:val="24"/>
                <w:szCs w:val="24"/>
              </w:rPr>
              <w:t>IP68</w:t>
            </w:r>
          </w:p>
        </w:tc>
        <w:tc>
          <w:tcPr>
            <w:tcW w:w="1675" w:type="dxa"/>
            <w:tcBorders>
              <w:tl2br w:val="nil"/>
              <w:tr2bl w:val="nil"/>
            </w:tcBorders>
            <w:vAlign w:val="center"/>
          </w:tcPr>
          <w:p w:rsidR="00A730D3" w:rsidRPr="00A730D3" w:rsidRDefault="00A730D3" w:rsidP="00C967B6">
            <w:pPr>
              <w:autoSpaceDE w:val="0"/>
              <w:autoSpaceDN w:val="0"/>
              <w:adjustRightInd w:val="0"/>
              <w:jc w:val="center"/>
              <w:rPr>
                <w:rFonts w:ascii="仿宋_GB2312" w:eastAsia="仿宋_GB2312" w:hAnsi="仿宋_GB2312" w:cs="仿宋_GB2312"/>
                <w:sz w:val="24"/>
                <w:szCs w:val="24"/>
              </w:rPr>
            </w:pPr>
          </w:p>
        </w:tc>
      </w:tr>
    </w:tbl>
    <w:bookmarkEnd w:id="9"/>
    <w:p w:rsidR="00A730D3" w:rsidRPr="00A730D3" w:rsidRDefault="00A730D3" w:rsidP="00A730D3">
      <w:pPr>
        <w:spacing w:line="360" w:lineRule="auto"/>
        <w:rPr>
          <w:rFonts w:eastAsia="宋体"/>
          <w:b/>
          <w:bCs/>
          <w:color w:val="000000"/>
          <w:spacing w:val="0"/>
          <w:sz w:val="28"/>
          <w:szCs w:val="28"/>
        </w:rPr>
      </w:pPr>
      <w:r>
        <w:rPr>
          <w:rFonts w:eastAsia="宋体" w:hint="eastAsia"/>
          <w:b/>
          <w:bCs/>
          <w:color w:val="000000"/>
          <w:spacing w:val="0"/>
          <w:sz w:val="28"/>
          <w:szCs w:val="28"/>
        </w:rPr>
        <w:t>二、</w:t>
      </w:r>
      <w:r w:rsidRPr="00A730D3">
        <w:rPr>
          <w:rFonts w:eastAsia="宋体" w:hint="eastAsia"/>
          <w:b/>
          <w:bCs/>
          <w:color w:val="000000"/>
          <w:spacing w:val="0"/>
          <w:sz w:val="28"/>
          <w:szCs w:val="28"/>
        </w:rPr>
        <w:t>投标须知</w:t>
      </w:r>
    </w:p>
    <w:p w:rsidR="00A730D3" w:rsidRPr="00A730D3" w:rsidRDefault="00A730D3" w:rsidP="00A730D3">
      <w:pPr>
        <w:spacing w:line="360" w:lineRule="auto"/>
        <w:rPr>
          <w:rFonts w:eastAsia="宋体"/>
          <w:b/>
          <w:bCs/>
          <w:color w:val="000000"/>
          <w:spacing w:val="0"/>
          <w:sz w:val="28"/>
          <w:szCs w:val="28"/>
        </w:rPr>
      </w:pPr>
      <w:r>
        <w:rPr>
          <w:rFonts w:eastAsia="宋体" w:hint="eastAsia"/>
          <w:b/>
          <w:bCs/>
          <w:color w:val="000000"/>
          <w:spacing w:val="0"/>
          <w:sz w:val="28"/>
          <w:szCs w:val="28"/>
        </w:rPr>
        <w:t>（一）</w:t>
      </w:r>
      <w:r w:rsidRPr="00A730D3">
        <w:rPr>
          <w:rFonts w:eastAsia="宋体" w:hint="eastAsia"/>
          <w:b/>
          <w:bCs/>
          <w:color w:val="000000"/>
          <w:spacing w:val="0"/>
          <w:sz w:val="28"/>
          <w:szCs w:val="28"/>
        </w:rPr>
        <w:t>常规要求</w:t>
      </w:r>
    </w:p>
    <w:p w:rsidR="00A730D3" w:rsidRDefault="00A730D3" w:rsidP="00A730D3">
      <w:pPr>
        <w:numPr>
          <w:ilvl w:val="0"/>
          <w:numId w:val="3"/>
        </w:numPr>
        <w:spacing w:line="360" w:lineRule="auto"/>
        <w:rPr>
          <w:rFonts w:ascii="楷体_GB2312" w:hAnsi="楷体_GB2312" w:cs="楷体_GB2312"/>
          <w:b/>
          <w:bCs/>
          <w:szCs w:val="21"/>
        </w:rPr>
      </w:pPr>
      <w:r>
        <w:rPr>
          <w:rFonts w:ascii="楷体_GB2312" w:hAnsi="楷体_GB2312" w:cs="楷体_GB2312" w:hint="eastAsia"/>
          <w:b/>
          <w:bCs/>
          <w:sz w:val="21"/>
          <w:szCs w:val="21"/>
        </w:rPr>
        <w:t>报价</w:t>
      </w:r>
    </w:p>
    <w:p w:rsidR="00A730D3" w:rsidRDefault="00A730D3" w:rsidP="00A730D3">
      <w:pPr>
        <w:numPr>
          <w:ilvl w:val="0"/>
          <w:numId w:val="4"/>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景观灯具</w:t>
      </w:r>
      <w:proofErr w:type="gramStart"/>
      <w:r>
        <w:rPr>
          <w:rFonts w:ascii="仿宋_GB2312" w:eastAsia="仿宋_GB2312" w:hAnsi="仿宋_GB2312" w:cs="仿宋_GB2312" w:hint="eastAsia"/>
          <w:sz w:val="21"/>
          <w:szCs w:val="21"/>
        </w:rPr>
        <w:t>报价</w:t>
      </w:r>
      <w:r>
        <w:rPr>
          <w:rFonts w:ascii="仿宋_GB2312" w:eastAsia="仿宋_GB2312" w:hAnsi="仿宋_GB2312" w:cs="仿宋_GB2312" w:hint="eastAsia"/>
          <w:color w:val="FF0000"/>
          <w:sz w:val="21"/>
          <w:szCs w:val="21"/>
        </w:rPr>
        <w:t>含分控</w:t>
      </w:r>
      <w:proofErr w:type="gramEnd"/>
      <w:r>
        <w:rPr>
          <w:rFonts w:ascii="仿宋_GB2312" w:eastAsia="仿宋_GB2312" w:hAnsi="仿宋_GB2312" w:cs="仿宋_GB2312" w:hint="eastAsia"/>
          <w:color w:val="FF0000"/>
          <w:sz w:val="21"/>
          <w:szCs w:val="21"/>
        </w:rPr>
        <w:t>、信号放大器、常规支架（10cm及以内）、常规遮光板（与灯具一体化并与灯具长度相同，宽度6cm以内）、驱动电源（功率在灯具总功率的两倍范围以内的）、防坠落钢丝绳、软件系统</w:t>
      </w:r>
      <w:r>
        <w:rPr>
          <w:rFonts w:ascii="仿宋_GB2312" w:eastAsia="仿宋_GB2312" w:hAnsi="仿宋_GB2312" w:cs="仿宋_GB2312" w:hint="eastAsia"/>
          <w:sz w:val="21"/>
          <w:szCs w:val="21"/>
        </w:rPr>
        <w:t>，具体的数量、型号、颜色等参数应当与甲方提供的技术性文件一致或由甲方审核确认。若由于缺失配件而无法满足现场安装条件所产生的额外安装、更换费用由供应商承担，并可在履约保证金中扣除。</w:t>
      </w:r>
    </w:p>
    <w:p w:rsidR="00A730D3" w:rsidRDefault="00A730D3" w:rsidP="00A730D3">
      <w:pPr>
        <w:numPr>
          <w:ilvl w:val="0"/>
          <w:numId w:val="4"/>
        </w:numPr>
        <w:spacing w:line="360" w:lineRule="auto"/>
        <w:rPr>
          <w:rFonts w:ascii="仿宋_GB2312" w:eastAsia="仿宋_GB2312" w:hAnsi="仿宋_GB2312" w:cs="仿宋_GB2312"/>
          <w:szCs w:val="21"/>
        </w:rPr>
      </w:pPr>
      <w:r>
        <w:rPr>
          <w:rFonts w:ascii="仿宋_GB2312" w:eastAsia="仿宋_GB2312" w:hAnsi="仿宋_GB2312" w:cs="仿宋_GB2312" w:hint="eastAsia"/>
          <w:color w:val="FF0000"/>
          <w:sz w:val="21"/>
          <w:szCs w:val="21"/>
        </w:rPr>
        <w:t>灯与灯之间的控制及电源的插拔件、连接线、延长线、公母头、三通等所有线缆及辅材由投标单位提供</w:t>
      </w:r>
      <w:r>
        <w:rPr>
          <w:rFonts w:ascii="仿宋_GB2312" w:eastAsia="仿宋_GB2312" w:hAnsi="仿宋_GB2312" w:cs="仿宋_GB2312" w:hint="eastAsia"/>
          <w:sz w:val="21"/>
          <w:szCs w:val="21"/>
        </w:rPr>
        <w:t>，价格含在灯具投标价格中，具体规格和数量应当满足主采购合同中相应数量灯具的安装。若由于缺失辅材而无法满足现场安装条件所产生的额外安装、更换费用由供应商承担，并可在履约保证金中扣除。</w:t>
      </w:r>
    </w:p>
    <w:p w:rsidR="00A730D3" w:rsidRDefault="00A730D3" w:rsidP="00A730D3">
      <w:pPr>
        <w:numPr>
          <w:ilvl w:val="0"/>
          <w:numId w:val="4"/>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输入电压为非220V的低压灯具，配置恒压驱动电源。报价中所指的驱动电源为：其功率在灯具总功率两倍范围以内的，且300W～350W的驱动电源占比超过70%。</w:t>
      </w:r>
    </w:p>
    <w:p w:rsidR="00A730D3" w:rsidRDefault="00A730D3" w:rsidP="00A730D3">
      <w:pPr>
        <w:numPr>
          <w:ilvl w:val="0"/>
          <w:numId w:val="4"/>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灯具效果调试等事宜的全部费用含在灯具投标价格中。</w:t>
      </w:r>
    </w:p>
    <w:p w:rsidR="00A730D3" w:rsidRDefault="00A730D3" w:rsidP="00A730D3">
      <w:pPr>
        <w:numPr>
          <w:ilvl w:val="0"/>
          <w:numId w:val="4"/>
        </w:numPr>
        <w:spacing w:line="360" w:lineRule="auto"/>
        <w:rPr>
          <w:rFonts w:ascii="仿宋_GB2312" w:eastAsia="仿宋_GB2312" w:hAnsi="仿宋_GB2312" w:cs="仿宋_GB2312"/>
          <w:szCs w:val="21"/>
        </w:rPr>
      </w:pPr>
      <w:r>
        <w:rPr>
          <w:rFonts w:ascii="仿宋_GB2312" w:eastAsia="仿宋_GB2312" w:hAnsi="仿宋_GB2312" w:cs="仿宋_GB2312" w:hint="eastAsia"/>
          <w:color w:val="FF0000"/>
          <w:sz w:val="21"/>
          <w:szCs w:val="21"/>
        </w:rPr>
        <w:t>主控、非常规支架、非常规遮光板、防盗框、驱动电源（功率在灯具总功率的两倍范围以外的）的价格，不含在灯具报价中</w:t>
      </w:r>
      <w:r>
        <w:rPr>
          <w:rFonts w:ascii="仿宋_GB2312" w:eastAsia="仿宋_GB2312" w:hAnsi="仿宋_GB2312" w:cs="仿宋_GB2312" w:hint="eastAsia"/>
          <w:sz w:val="21"/>
          <w:szCs w:val="21"/>
        </w:rPr>
        <w:t>。</w:t>
      </w:r>
    </w:p>
    <w:p w:rsidR="00A730D3" w:rsidRDefault="00A730D3" w:rsidP="00A730D3">
      <w:pPr>
        <w:numPr>
          <w:ilvl w:val="0"/>
          <w:numId w:val="4"/>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由于供应商的原因造成灯具及配件的质量、效果不符合要求的，所产生的返工更换等全部费用含在灯具投标价格中。造成误工延期的，承担相应误工费用。</w:t>
      </w:r>
    </w:p>
    <w:p w:rsidR="00A730D3" w:rsidRDefault="00A730D3" w:rsidP="00A730D3">
      <w:pPr>
        <w:numPr>
          <w:ilvl w:val="0"/>
          <w:numId w:val="4"/>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报价包含运输至采购单位仓库或采购单位指定地点入库检验的相关费用（包含一次装卸费用）。在运输、装卸等环节，必须做好成品保护，确保货物完好无损。所有措施费用含在投标报价中。</w:t>
      </w:r>
    </w:p>
    <w:p w:rsidR="00A730D3" w:rsidRPr="00D56B37" w:rsidRDefault="00D56B37" w:rsidP="00D56B37">
      <w:pPr>
        <w:spacing w:line="360" w:lineRule="auto"/>
        <w:rPr>
          <w:rFonts w:eastAsia="宋体"/>
          <w:b/>
          <w:bCs/>
          <w:color w:val="000000"/>
          <w:spacing w:val="0"/>
          <w:sz w:val="28"/>
          <w:szCs w:val="28"/>
        </w:rPr>
      </w:pPr>
      <w:r>
        <w:rPr>
          <w:rFonts w:eastAsia="宋体" w:hint="eastAsia"/>
          <w:b/>
          <w:bCs/>
          <w:color w:val="000000"/>
          <w:spacing w:val="0"/>
          <w:sz w:val="28"/>
          <w:szCs w:val="28"/>
        </w:rPr>
        <w:t>（二）</w:t>
      </w:r>
      <w:r w:rsidR="00A730D3" w:rsidRPr="00D56B37">
        <w:rPr>
          <w:rFonts w:eastAsia="宋体" w:hint="eastAsia"/>
          <w:b/>
          <w:bCs/>
          <w:color w:val="000000"/>
          <w:spacing w:val="0"/>
          <w:sz w:val="28"/>
          <w:szCs w:val="28"/>
        </w:rPr>
        <w:t>服务要求</w:t>
      </w:r>
    </w:p>
    <w:p w:rsidR="00A730D3" w:rsidRDefault="00A730D3" w:rsidP="00A730D3">
      <w:pPr>
        <w:numPr>
          <w:ilvl w:val="0"/>
          <w:numId w:val="5"/>
        </w:numPr>
        <w:spacing w:line="360" w:lineRule="auto"/>
        <w:rPr>
          <w:rFonts w:ascii="楷体_GB2312" w:hAnsi="楷体_GB2312" w:cs="楷体_GB2312"/>
          <w:b/>
          <w:bCs/>
          <w:szCs w:val="21"/>
        </w:rPr>
      </w:pPr>
      <w:r>
        <w:rPr>
          <w:rFonts w:ascii="楷体_GB2312" w:hAnsi="楷体_GB2312" w:cs="楷体_GB2312" w:hint="eastAsia"/>
          <w:b/>
          <w:bCs/>
          <w:sz w:val="21"/>
          <w:szCs w:val="21"/>
        </w:rPr>
        <w:lastRenderedPageBreak/>
        <w:t>深化设计</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color w:val="FF0000"/>
          <w:sz w:val="21"/>
          <w:szCs w:val="21"/>
        </w:rPr>
        <w:t>中标单位应根据采购单位提供的相关资料深化设计，根据照明效果和施工图，深化控制系统图，明确主控、分控、信号放大器等的数量和安装方式，并通过采购单位最终确认。</w:t>
      </w:r>
    </w:p>
    <w:p w:rsidR="00A730D3" w:rsidRDefault="00A730D3" w:rsidP="00A730D3">
      <w:pPr>
        <w:numPr>
          <w:ilvl w:val="0"/>
          <w:numId w:val="5"/>
        </w:numPr>
        <w:spacing w:line="360" w:lineRule="auto"/>
        <w:rPr>
          <w:rFonts w:ascii="楷体_GB2312" w:hAnsi="楷体_GB2312" w:cs="楷体_GB2312"/>
          <w:b/>
          <w:bCs/>
          <w:szCs w:val="21"/>
        </w:rPr>
      </w:pPr>
      <w:r>
        <w:rPr>
          <w:rFonts w:ascii="楷体_GB2312" w:hAnsi="楷体_GB2312" w:cs="楷体_GB2312" w:hint="eastAsia"/>
          <w:b/>
          <w:bCs/>
          <w:sz w:val="21"/>
          <w:szCs w:val="21"/>
        </w:rPr>
        <w:t>供货要求</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中标单位自收到订单2日内提供详细的供货计划表，未按计划</w:t>
      </w:r>
      <w:proofErr w:type="gramStart"/>
      <w:r>
        <w:rPr>
          <w:rFonts w:ascii="仿宋_GB2312" w:eastAsia="仿宋_GB2312" w:hAnsi="仿宋_GB2312" w:cs="仿宋_GB2312" w:hint="eastAsia"/>
          <w:sz w:val="21"/>
          <w:szCs w:val="21"/>
        </w:rPr>
        <w:t>表供应</w:t>
      </w:r>
      <w:proofErr w:type="gramEnd"/>
      <w:r>
        <w:rPr>
          <w:rFonts w:ascii="仿宋_GB2312" w:eastAsia="仿宋_GB2312" w:hAnsi="仿宋_GB2312" w:cs="仿宋_GB2312" w:hint="eastAsia"/>
          <w:sz w:val="21"/>
          <w:szCs w:val="21"/>
        </w:rPr>
        <w:t>相关材料所导致的人员、机械窝工、工期延误等经济损失由中标单位承担。中标单位自订单收到起20天完成供货，供货地点为采购单位指定地点，签收日期为采购单位签收日期。</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灯具、配件和附件等应同时提供，未同时供货的视为未按要求供货，其中灯具、支架、防坠落装置应是已组装状态。</w:t>
      </w:r>
    </w:p>
    <w:p w:rsidR="00A730D3" w:rsidRDefault="00A730D3" w:rsidP="00A730D3">
      <w:pPr>
        <w:numPr>
          <w:ilvl w:val="0"/>
          <w:numId w:val="5"/>
        </w:numPr>
        <w:spacing w:line="360" w:lineRule="auto"/>
        <w:rPr>
          <w:rFonts w:ascii="楷体_GB2312" w:hAnsi="楷体_GB2312" w:cs="楷体_GB2312"/>
          <w:b/>
          <w:bCs/>
          <w:szCs w:val="21"/>
        </w:rPr>
      </w:pPr>
      <w:r>
        <w:rPr>
          <w:rFonts w:ascii="楷体_GB2312" w:hAnsi="楷体_GB2312" w:cs="楷体_GB2312" w:hint="eastAsia"/>
          <w:b/>
          <w:bCs/>
          <w:sz w:val="21"/>
          <w:szCs w:val="21"/>
        </w:rPr>
        <w:t>施工过程中的服务</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中标单位需明确现场服务的技术人员名单。在采购单位施工期间提供调试、配合服务工作，人员数量和调试进度应符合现场需求，否则由此产生的误工等费用从质保金中扣除，中标单位的响应时间为24小时。</w:t>
      </w:r>
    </w:p>
    <w:p w:rsidR="00A730D3" w:rsidRDefault="00A730D3" w:rsidP="00A730D3">
      <w:pPr>
        <w:numPr>
          <w:ilvl w:val="0"/>
          <w:numId w:val="5"/>
        </w:numPr>
        <w:spacing w:line="360" w:lineRule="auto"/>
        <w:rPr>
          <w:rFonts w:ascii="楷体_GB2312" w:hAnsi="楷体_GB2312" w:cs="楷体_GB2312"/>
          <w:b/>
          <w:bCs/>
          <w:szCs w:val="21"/>
        </w:rPr>
      </w:pPr>
      <w:r>
        <w:rPr>
          <w:rFonts w:ascii="楷体_GB2312" w:hAnsi="楷体_GB2312" w:cs="楷体_GB2312" w:hint="eastAsia"/>
          <w:b/>
          <w:bCs/>
          <w:sz w:val="21"/>
          <w:szCs w:val="21"/>
        </w:rPr>
        <w:t>质保期责任</w:t>
      </w:r>
    </w:p>
    <w:p w:rsidR="00A730D3" w:rsidRDefault="00A730D3" w:rsidP="00A730D3">
      <w:pPr>
        <w:spacing w:line="360" w:lineRule="auto"/>
        <w:ind w:firstLineChars="200" w:firstLine="340"/>
        <w:rPr>
          <w:rFonts w:ascii="仿宋_GB2312" w:eastAsia="仿宋_GB2312" w:hAnsi="仿宋_GB2312" w:cs="仿宋_GB2312"/>
          <w:color w:val="FF0000"/>
          <w:szCs w:val="21"/>
        </w:rPr>
      </w:pPr>
      <w:r>
        <w:rPr>
          <w:rFonts w:ascii="仿宋_GB2312" w:eastAsia="仿宋_GB2312" w:hAnsi="仿宋_GB2312" w:cs="仿宋_GB2312" w:hint="eastAsia"/>
          <w:color w:val="FF0000"/>
          <w:sz w:val="21"/>
          <w:szCs w:val="21"/>
        </w:rPr>
        <w:t>质保期内，出现灯具损坏等质量问题的，由乙方无条件更换并承担相关维修费用（含人工、机械、管理等费用），乙方应提供充足的备品备件，且不得低于每笔订单同款灯具总量的2%，必须在接到甲方通知12小时内响应、48小时内送至甲方指定地点。乙方未按前述期限内完成的，甲方有权另行采购、维修，相关费用（产品采购费用、更换维修费用）由乙方承担，并有权直接从剩余应付货款、质保金中扣除。</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color w:val="FF0000"/>
          <w:sz w:val="21"/>
          <w:szCs w:val="21"/>
        </w:rPr>
        <w:t>质保期内，灯具</w:t>
      </w:r>
      <w:proofErr w:type="gramStart"/>
      <w:r>
        <w:rPr>
          <w:rFonts w:ascii="仿宋_GB2312" w:eastAsia="仿宋_GB2312" w:hAnsi="仿宋_GB2312" w:cs="仿宋_GB2312" w:hint="eastAsia"/>
          <w:color w:val="FF0000"/>
          <w:sz w:val="21"/>
          <w:szCs w:val="21"/>
        </w:rPr>
        <w:t>坏灯率超过</w:t>
      </w:r>
      <w:proofErr w:type="gramEnd"/>
      <w:r>
        <w:rPr>
          <w:rFonts w:ascii="仿宋_GB2312" w:eastAsia="仿宋_GB2312" w:hAnsi="仿宋_GB2312" w:cs="仿宋_GB2312" w:hint="eastAsia"/>
          <w:color w:val="FF0000"/>
          <w:sz w:val="21"/>
          <w:szCs w:val="21"/>
        </w:rPr>
        <w:t>合同供货总量的2%的，甲方有权就超出部分的</w:t>
      </w:r>
      <w:proofErr w:type="gramStart"/>
      <w:r>
        <w:rPr>
          <w:rFonts w:ascii="仿宋_GB2312" w:eastAsia="仿宋_GB2312" w:hAnsi="仿宋_GB2312" w:cs="仿宋_GB2312" w:hint="eastAsia"/>
          <w:color w:val="FF0000"/>
          <w:sz w:val="21"/>
          <w:szCs w:val="21"/>
        </w:rPr>
        <w:t>坏灯向乙方</w:t>
      </w:r>
      <w:proofErr w:type="gramEnd"/>
      <w:r>
        <w:rPr>
          <w:rFonts w:ascii="仿宋_GB2312" w:eastAsia="仿宋_GB2312" w:hAnsi="仿宋_GB2312" w:cs="仿宋_GB2312" w:hint="eastAsia"/>
          <w:color w:val="FF0000"/>
          <w:sz w:val="21"/>
          <w:szCs w:val="21"/>
        </w:rPr>
        <w:t>主张退款退货并要求乙方承担该坏</w:t>
      </w:r>
      <w:proofErr w:type="gramStart"/>
      <w:r>
        <w:rPr>
          <w:rFonts w:ascii="仿宋_GB2312" w:eastAsia="仿宋_GB2312" w:hAnsi="仿宋_GB2312" w:cs="仿宋_GB2312" w:hint="eastAsia"/>
          <w:color w:val="FF0000"/>
          <w:sz w:val="21"/>
          <w:szCs w:val="21"/>
        </w:rPr>
        <w:t>灯采购价款</w:t>
      </w:r>
      <w:proofErr w:type="gramEnd"/>
      <w:r>
        <w:rPr>
          <w:rFonts w:ascii="仿宋_GB2312" w:eastAsia="仿宋_GB2312" w:hAnsi="仿宋_GB2312" w:cs="仿宋_GB2312" w:hint="eastAsia"/>
          <w:color w:val="FF0000"/>
          <w:sz w:val="21"/>
          <w:szCs w:val="21"/>
        </w:rPr>
        <w:t>总和的2倍作为违约金</w:t>
      </w:r>
      <w:r>
        <w:rPr>
          <w:rFonts w:ascii="仿宋_GB2312" w:eastAsia="仿宋_GB2312" w:hAnsi="仿宋_GB2312" w:cs="仿宋_GB2312" w:hint="eastAsia"/>
          <w:sz w:val="21"/>
          <w:szCs w:val="21"/>
        </w:rPr>
        <w:t>。</w:t>
      </w:r>
    </w:p>
    <w:p w:rsidR="00A730D3" w:rsidRPr="00D56B37" w:rsidRDefault="00D56B37" w:rsidP="00D56B37">
      <w:pPr>
        <w:spacing w:line="360" w:lineRule="auto"/>
        <w:rPr>
          <w:rFonts w:eastAsia="宋体"/>
          <w:b/>
          <w:bCs/>
          <w:color w:val="000000"/>
          <w:spacing w:val="0"/>
          <w:sz w:val="28"/>
          <w:szCs w:val="28"/>
        </w:rPr>
      </w:pPr>
      <w:r>
        <w:rPr>
          <w:rFonts w:eastAsia="宋体" w:hint="eastAsia"/>
          <w:b/>
          <w:bCs/>
          <w:color w:val="000000"/>
          <w:spacing w:val="0"/>
          <w:sz w:val="28"/>
          <w:szCs w:val="28"/>
        </w:rPr>
        <w:t>三、</w:t>
      </w:r>
      <w:r w:rsidR="00A730D3" w:rsidRPr="00D56B37">
        <w:rPr>
          <w:rFonts w:eastAsia="宋体" w:hint="eastAsia"/>
          <w:b/>
          <w:bCs/>
          <w:color w:val="000000"/>
          <w:spacing w:val="0"/>
          <w:sz w:val="28"/>
          <w:szCs w:val="28"/>
        </w:rPr>
        <w:t>技术通则要求</w:t>
      </w:r>
    </w:p>
    <w:p w:rsidR="00A730D3" w:rsidRPr="00D56B37" w:rsidRDefault="00D56B37" w:rsidP="00D56B37">
      <w:pPr>
        <w:spacing w:line="360" w:lineRule="auto"/>
        <w:rPr>
          <w:rFonts w:eastAsia="宋体"/>
          <w:b/>
          <w:bCs/>
          <w:color w:val="000000"/>
          <w:spacing w:val="0"/>
          <w:sz w:val="28"/>
          <w:szCs w:val="28"/>
        </w:rPr>
      </w:pPr>
      <w:r>
        <w:rPr>
          <w:rFonts w:eastAsia="宋体" w:hint="eastAsia"/>
          <w:b/>
          <w:bCs/>
          <w:color w:val="000000"/>
          <w:spacing w:val="0"/>
          <w:sz w:val="28"/>
          <w:szCs w:val="28"/>
        </w:rPr>
        <w:t>（一）</w:t>
      </w:r>
      <w:r w:rsidR="00A730D3" w:rsidRPr="00D56B37">
        <w:rPr>
          <w:rFonts w:eastAsia="宋体" w:hint="eastAsia"/>
          <w:b/>
          <w:bCs/>
          <w:color w:val="000000"/>
          <w:spacing w:val="0"/>
          <w:sz w:val="28"/>
          <w:szCs w:val="28"/>
        </w:rPr>
        <w:t>灯具应符合的技术标准</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凡是不注日期的引用文件，其最新版本（包括所有的修改单）适用于本文件。同时包括其他国家及江苏省现行标准规范、图集等；以及相关的灯具的现行的国家规范和标准。</w:t>
      </w:r>
    </w:p>
    <w:p w:rsidR="00A730D3" w:rsidRDefault="00A730D3" w:rsidP="00A730D3">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 w:val="21"/>
          <w:szCs w:val="21"/>
        </w:rPr>
        <w:t>GB7000.1灯具 第1部分：一般要求与试验</w:t>
      </w:r>
    </w:p>
    <w:p w:rsidR="00A730D3" w:rsidRDefault="00A730D3" w:rsidP="00A730D3">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 w:val="21"/>
          <w:szCs w:val="21"/>
        </w:rPr>
        <w:t>GB7000.203灯具 第2-3部分：特殊要求 道路与街路照明灯具</w:t>
      </w:r>
    </w:p>
    <w:p w:rsidR="00A730D3" w:rsidRDefault="00A730D3" w:rsidP="00A730D3">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 w:val="21"/>
          <w:szCs w:val="21"/>
        </w:rPr>
        <w:t>GB7000.7投光灯具安全要求</w:t>
      </w:r>
    </w:p>
    <w:p w:rsidR="00A730D3" w:rsidRDefault="00A730D3" w:rsidP="00A730D3">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 w:val="21"/>
          <w:szCs w:val="21"/>
        </w:rPr>
        <w:lastRenderedPageBreak/>
        <w:t>GB7000.10固定式通用灯具安全要求</w:t>
      </w:r>
    </w:p>
    <w:p w:rsidR="00A730D3" w:rsidRDefault="00A730D3" w:rsidP="00A730D3">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 w:val="21"/>
          <w:szCs w:val="21"/>
        </w:rPr>
        <w:t>GB 4208外壳防护等级（IP代码）</w:t>
      </w:r>
    </w:p>
    <w:p w:rsidR="00A730D3" w:rsidRDefault="00A730D3" w:rsidP="00A730D3">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 w:val="21"/>
          <w:szCs w:val="21"/>
        </w:rPr>
        <w:t>GB17743电气照明和类似设备的无线电骚扰特性的限值和测量方法</w:t>
      </w:r>
    </w:p>
    <w:p w:rsidR="00A730D3" w:rsidRDefault="00A730D3" w:rsidP="00A730D3">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 w:val="21"/>
          <w:szCs w:val="21"/>
        </w:rPr>
        <w:t>GB17625.1电磁兼限值谐波电流发射限值容</w:t>
      </w:r>
    </w:p>
    <w:p w:rsidR="00A730D3" w:rsidRDefault="00A730D3" w:rsidP="00A730D3">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 w:val="21"/>
          <w:szCs w:val="21"/>
        </w:rPr>
        <w:t>GB/T18595一般照明用设备电磁兼容抗扰度要求</w:t>
      </w:r>
    </w:p>
    <w:p w:rsidR="00A730D3" w:rsidRDefault="00A730D3" w:rsidP="00A730D3">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 w:val="21"/>
          <w:szCs w:val="21"/>
        </w:rPr>
        <w:t>GB l7625.1电磁兼容限值谐波电流发射限值(</w:t>
      </w:r>
      <w:proofErr w:type="gramStart"/>
      <w:r>
        <w:rPr>
          <w:rFonts w:ascii="仿宋_GB2312" w:eastAsia="仿宋_GB2312" w:hAnsi="仿宋_GB2312" w:cs="仿宋_GB2312" w:hint="eastAsia"/>
          <w:sz w:val="21"/>
          <w:szCs w:val="21"/>
        </w:rPr>
        <w:t>设备每相输入</w:t>
      </w:r>
      <w:proofErr w:type="gramEnd"/>
      <w:r>
        <w:rPr>
          <w:rFonts w:ascii="仿宋_GB2312" w:eastAsia="仿宋_GB2312" w:hAnsi="仿宋_GB2312" w:cs="仿宋_GB2312" w:hint="eastAsia"/>
          <w:sz w:val="21"/>
          <w:szCs w:val="21"/>
        </w:rPr>
        <w:t>电流≤16A)</w:t>
      </w:r>
    </w:p>
    <w:p w:rsidR="00A730D3" w:rsidRDefault="00A730D3" w:rsidP="00A730D3">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 w:val="21"/>
          <w:szCs w:val="21"/>
        </w:rPr>
        <w:t>QB/T1551灯具油漆涂层</w:t>
      </w:r>
    </w:p>
    <w:p w:rsidR="00A730D3" w:rsidRDefault="00A730D3" w:rsidP="00A730D3">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 w:val="21"/>
          <w:szCs w:val="21"/>
        </w:rPr>
        <w:t>QB/T3741灯具电镀、化学覆盖层</w:t>
      </w:r>
    </w:p>
    <w:p w:rsidR="00A730D3" w:rsidRDefault="00A730D3" w:rsidP="00A730D3">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 w:val="21"/>
          <w:szCs w:val="21"/>
        </w:rPr>
        <w:t>GB/T33721 LED灯具可靠性试验方法</w:t>
      </w:r>
    </w:p>
    <w:p w:rsidR="00A730D3" w:rsidRDefault="00A730D3" w:rsidP="00A730D3">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 w:val="21"/>
          <w:szCs w:val="21"/>
        </w:rPr>
        <w:t>CJJ45 城市道路照明设计标准</w:t>
      </w:r>
    </w:p>
    <w:p w:rsidR="00A730D3" w:rsidRDefault="00A730D3" w:rsidP="00A730D3">
      <w:pPr>
        <w:numPr>
          <w:ilvl w:val="0"/>
          <w:numId w:val="7"/>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 w:val="21"/>
          <w:szCs w:val="21"/>
        </w:rPr>
        <w:t>JGJ/T 163 城市夜景照明设计规范</w:t>
      </w:r>
    </w:p>
    <w:p w:rsidR="00A730D3" w:rsidRPr="00D56B37" w:rsidRDefault="00D56B37" w:rsidP="00D56B37">
      <w:pPr>
        <w:spacing w:line="360" w:lineRule="auto"/>
        <w:rPr>
          <w:rFonts w:eastAsia="宋体"/>
          <w:b/>
          <w:bCs/>
          <w:color w:val="000000"/>
          <w:spacing w:val="0"/>
          <w:sz w:val="28"/>
          <w:szCs w:val="28"/>
        </w:rPr>
      </w:pPr>
      <w:bookmarkStart w:id="10" w:name="_Toc1793"/>
      <w:r>
        <w:rPr>
          <w:rFonts w:eastAsia="宋体" w:hint="eastAsia"/>
          <w:b/>
          <w:bCs/>
          <w:color w:val="000000"/>
          <w:spacing w:val="0"/>
          <w:sz w:val="28"/>
          <w:szCs w:val="28"/>
        </w:rPr>
        <w:t>（二）</w:t>
      </w:r>
      <w:r w:rsidRPr="00D56B37">
        <w:rPr>
          <w:rFonts w:eastAsia="宋体" w:hint="eastAsia"/>
          <w:b/>
          <w:bCs/>
          <w:color w:val="000000"/>
          <w:spacing w:val="0"/>
          <w:sz w:val="28"/>
          <w:szCs w:val="28"/>
        </w:rPr>
        <w:t>灯具通则要求</w:t>
      </w:r>
      <w:bookmarkEnd w:id="10"/>
    </w:p>
    <w:p w:rsidR="00A730D3" w:rsidRDefault="00A730D3" w:rsidP="00A730D3">
      <w:pPr>
        <w:pStyle w:val="3"/>
        <w:numPr>
          <w:ilvl w:val="0"/>
          <w:numId w:val="8"/>
        </w:numPr>
        <w:spacing w:before="0" w:after="0" w:line="360" w:lineRule="auto"/>
        <w:ind w:hanging="5"/>
        <w:jc w:val="left"/>
        <w:rPr>
          <w:rFonts w:ascii="仿宋_GB2312" w:eastAsia="仿宋_GB2312" w:hAnsi="仿宋_GB2312" w:cs="仿宋_GB2312"/>
          <w:sz w:val="21"/>
          <w:szCs w:val="21"/>
        </w:rPr>
      </w:pPr>
      <w:bookmarkStart w:id="11" w:name="_Toc2014"/>
      <w:r>
        <w:rPr>
          <w:rFonts w:ascii="仿宋_GB2312" w:eastAsia="仿宋_GB2312" w:hAnsi="仿宋_GB2312" w:cs="仿宋_GB2312" w:hint="eastAsia"/>
          <w:sz w:val="21"/>
          <w:szCs w:val="21"/>
        </w:rPr>
        <w:t>一般要求</w:t>
      </w:r>
      <w:bookmarkEnd w:id="11"/>
    </w:p>
    <w:p w:rsidR="00A730D3" w:rsidRDefault="00A730D3" w:rsidP="00A730D3">
      <w:pPr>
        <w:numPr>
          <w:ilvl w:val="0"/>
          <w:numId w:val="9"/>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 w:val="21"/>
          <w:szCs w:val="21"/>
        </w:rPr>
        <w:t>技术文件详参有规定的，按详</w:t>
      </w:r>
      <w:proofErr w:type="gramStart"/>
      <w:r>
        <w:rPr>
          <w:rFonts w:ascii="仿宋_GB2312" w:eastAsia="仿宋_GB2312" w:hAnsi="仿宋_GB2312" w:cs="仿宋_GB2312" w:hint="eastAsia"/>
          <w:sz w:val="21"/>
          <w:szCs w:val="21"/>
        </w:rPr>
        <w:t>参规定</w:t>
      </w:r>
      <w:proofErr w:type="gramEnd"/>
      <w:r>
        <w:rPr>
          <w:rFonts w:ascii="仿宋_GB2312" w:eastAsia="仿宋_GB2312" w:hAnsi="仿宋_GB2312" w:cs="仿宋_GB2312" w:hint="eastAsia"/>
          <w:sz w:val="21"/>
          <w:szCs w:val="21"/>
        </w:rPr>
        <w:t>执行，没有详</w:t>
      </w:r>
      <w:proofErr w:type="gramStart"/>
      <w:r>
        <w:rPr>
          <w:rFonts w:ascii="仿宋_GB2312" w:eastAsia="仿宋_GB2312" w:hAnsi="仿宋_GB2312" w:cs="仿宋_GB2312" w:hint="eastAsia"/>
          <w:sz w:val="21"/>
          <w:szCs w:val="21"/>
        </w:rPr>
        <w:t>参规定</w:t>
      </w:r>
      <w:proofErr w:type="gramEnd"/>
      <w:r>
        <w:rPr>
          <w:rFonts w:ascii="仿宋_GB2312" w:eastAsia="仿宋_GB2312" w:hAnsi="仿宋_GB2312" w:cs="仿宋_GB2312" w:hint="eastAsia"/>
          <w:sz w:val="21"/>
          <w:szCs w:val="21"/>
        </w:rPr>
        <w:t>的，按照本通则执行。</w:t>
      </w:r>
    </w:p>
    <w:p w:rsidR="00A730D3" w:rsidRDefault="00A730D3" w:rsidP="00A730D3">
      <w:pPr>
        <w:numPr>
          <w:ilvl w:val="0"/>
          <w:numId w:val="9"/>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 w:val="21"/>
          <w:szCs w:val="21"/>
        </w:rPr>
        <w:t>本次招标所涉及的所有灯具外观，仅供参考。投标单位应保证，其所提供的货物在提供给采购单位前具有完全的所有权，或取得专利权人的授权。采购单位在中华人民共和国使用该货物或货物的任何一部分时，免受第三方提出的包括但不限于侵犯其专利权、商标权、工业设计权或专有技术权等知识产权的起诉，免受可能存在的抵押权、担保权在内的物</w:t>
      </w:r>
      <w:proofErr w:type="gramStart"/>
      <w:r>
        <w:rPr>
          <w:rFonts w:ascii="仿宋_GB2312" w:eastAsia="仿宋_GB2312" w:hAnsi="仿宋_GB2312" w:cs="仿宋_GB2312" w:hint="eastAsia"/>
          <w:sz w:val="21"/>
          <w:szCs w:val="21"/>
        </w:rPr>
        <w:t>权权利</w:t>
      </w:r>
      <w:proofErr w:type="gramEnd"/>
      <w:r>
        <w:rPr>
          <w:rFonts w:ascii="仿宋_GB2312" w:eastAsia="仿宋_GB2312" w:hAnsi="仿宋_GB2312" w:cs="仿宋_GB2312" w:hint="eastAsia"/>
          <w:sz w:val="21"/>
          <w:szCs w:val="21"/>
        </w:rPr>
        <w:t>瑕疵的起诉。</w:t>
      </w:r>
    </w:p>
    <w:p w:rsidR="00A730D3" w:rsidRDefault="00A730D3" w:rsidP="00A730D3">
      <w:pPr>
        <w:numPr>
          <w:ilvl w:val="0"/>
          <w:numId w:val="9"/>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 w:val="21"/>
          <w:szCs w:val="21"/>
        </w:rPr>
        <w:t>本次投标报价包含本技术文件所要求的所有配件及附件。室外的螺杆、螺栓、垫片必须使用304不锈钢材质。</w:t>
      </w:r>
    </w:p>
    <w:p w:rsidR="00A730D3" w:rsidRDefault="00A730D3" w:rsidP="00A730D3">
      <w:pPr>
        <w:numPr>
          <w:ilvl w:val="0"/>
          <w:numId w:val="9"/>
        </w:numPr>
        <w:spacing w:line="360" w:lineRule="auto"/>
        <w:ind w:firstLine="422"/>
        <w:rPr>
          <w:rFonts w:ascii="仿宋_GB2312" w:eastAsia="仿宋_GB2312" w:hAnsi="仿宋_GB2312" w:cs="仿宋_GB2312"/>
          <w:szCs w:val="21"/>
        </w:rPr>
      </w:pPr>
      <w:r>
        <w:rPr>
          <w:rFonts w:ascii="仿宋_GB2312" w:eastAsia="仿宋_GB2312" w:hAnsi="仿宋_GB2312" w:cs="仿宋_GB2312" w:hint="eastAsia"/>
          <w:b/>
          <w:bCs/>
          <w:sz w:val="21"/>
          <w:szCs w:val="21"/>
        </w:rPr>
        <w:t>所有投光灯类灯具必须配置防眩光遮罩、挡板或遮光格栅，避免眩光和光污染。</w:t>
      </w:r>
      <w:r>
        <w:rPr>
          <w:rFonts w:ascii="仿宋_GB2312" w:eastAsia="仿宋_GB2312" w:hAnsi="仿宋_GB2312" w:cs="仿宋_GB2312" w:hint="eastAsia"/>
          <w:sz w:val="21"/>
          <w:szCs w:val="21"/>
        </w:rPr>
        <w:t>中标单位必须按照采购单位的要求和项目具体的实施情况及时调整。</w:t>
      </w:r>
    </w:p>
    <w:p w:rsidR="00A730D3" w:rsidRDefault="00A730D3" w:rsidP="00A730D3">
      <w:pPr>
        <w:numPr>
          <w:ilvl w:val="0"/>
          <w:numId w:val="9"/>
        </w:numPr>
        <w:spacing w:line="360" w:lineRule="auto"/>
        <w:ind w:firstLine="422"/>
        <w:rPr>
          <w:rFonts w:ascii="仿宋_GB2312" w:eastAsia="仿宋_GB2312" w:hAnsi="仿宋_GB2312" w:cs="仿宋_GB2312"/>
          <w:b/>
          <w:bCs/>
          <w:szCs w:val="21"/>
          <w:u w:val="single"/>
        </w:rPr>
      </w:pPr>
      <w:r>
        <w:rPr>
          <w:rFonts w:ascii="仿宋_GB2312" w:eastAsia="仿宋_GB2312" w:hAnsi="仿宋_GB2312" w:cs="仿宋_GB2312" w:hint="eastAsia"/>
          <w:b/>
          <w:bCs/>
          <w:sz w:val="21"/>
          <w:szCs w:val="21"/>
          <w:u w:val="single"/>
        </w:rPr>
        <w:t>所有投光灯类灯具必须按照采购方要求，可加装磨砂玻璃、</w:t>
      </w:r>
      <w:proofErr w:type="gramStart"/>
      <w:r>
        <w:rPr>
          <w:rFonts w:ascii="仿宋_GB2312" w:eastAsia="仿宋_GB2312" w:hAnsi="仿宋_GB2312" w:cs="仿宋_GB2312" w:hint="eastAsia"/>
          <w:b/>
          <w:bCs/>
          <w:sz w:val="21"/>
          <w:szCs w:val="21"/>
          <w:u w:val="single"/>
        </w:rPr>
        <w:t>扁光玻璃</w:t>
      </w:r>
      <w:proofErr w:type="gramEnd"/>
      <w:r>
        <w:rPr>
          <w:rFonts w:ascii="仿宋_GB2312" w:eastAsia="仿宋_GB2312" w:hAnsi="仿宋_GB2312" w:cs="仿宋_GB2312" w:hint="eastAsia"/>
          <w:b/>
          <w:bCs/>
          <w:sz w:val="21"/>
          <w:szCs w:val="21"/>
          <w:u w:val="single"/>
        </w:rPr>
        <w:t>、布纹玻璃等。价格含在投标报价中。</w:t>
      </w:r>
    </w:p>
    <w:p w:rsidR="00A730D3" w:rsidRDefault="00A730D3" w:rsidP="00A730D3">
      <w:pPr>
        <w:numPr>
          <w:ilvl w:val="0"/>
          <w:numId w:val="9"/>
        </w:numPr>
        <w:spacing w:line="360" w:lineRule="auto"/>
        <w:ind w:firstLine="422"/>
        <w:rPr>
          <w:rFonts w:ascii="仿宋_GB2312" w:eastAsia="仿宋_GB2312" w:hAnsi="仿宋_GB2312" w:cs="仿宋_GB2312"/>
          <w:b/>
          <w:bCs/>
          <w:szCs w:val="21"/>
          <w:u w:val="single"/>
        </w:rPr>
      </w:pPr>
      <w:r>
        <w:rPr>
          <w:rFonts w:ascii="仿宋_GB2312" w:eastAsia="仿宋_GB2312" w:hAnsi="仿宋_GB2312" w:cs="仿宋_GB2312" w:hint="eastAsia"/>
          <w:b/>
          <w:bCs/>
          <w:sz w:val="21"/>
          <w:szCs w:val="21"/>
          <w:u w:val="single"/>
        </w:rPr>
        <w:lastRenderedPageBreak/>
        <w:t>所有连续照明的被照面安装的投光灯，照明效果需连续均匀，无暗斑。</w:t>
      </w:r>
    </w:p>
    <w:p w:rsidR="00A730D3" w:rsidRDefault="00A730D3" w:rsidP="00A730D3">
      <w:pPr>
        <w:numPr>
          <w:ilvl w:val="0"/>
          <w:numId w:val="9"/>
        </w:numPr>
        <w:spacing w:line="360" w:lineRule="auto"/>
        <w:ind w:firstLine="420"/>
        <w:rPr>
          <w:rFonts w:ascii="仿宋_GB2312" w:eastAsia="仿宋_GB2312" w:hAnsi="仿宋_GB2312" w:cs="仿宋_GB2312"/>
          <w:szCs w:val="21"/>
        </w:rPr>
      </w:pPr>
      <w:bookmarkStart w:id="12" w:name="_Toc24646"/>
      <w:r>
        <w:rPr>
          <w:rFonts w:ascii="仿宋_GB2312" w:eastAsia="仿宋_GB2312" w:hAnsi="仿宋_GB2312" w:cs="仿宋_GB2312" w:hint="eastAsia"/>
          <w:sz w:val="21"/>
          <w:szCs w:val="21"/>
        </w:rPr>
        <w:t>中标后，中标单位踏勘现场，根据灯具安装条件，深化灯具颜色安装支架灯零配件的设计，按照采购单位的要求和项目具体的实施情况及时调整。所有灯具按规定提供灯具实样一款，经采购单位目视检验最终确认后，才能按照灯具订单批量提供灯具，并提供灯具安装说明书。</w:t>
      </w:r>
      <w:bookmarkStart w:id="13" w:name="_Toc15096"/>
    </w:p>
    <w:p w:rsidR="00A730D3" w:rsidRDefault="00A730D3" w:rsidP="00A730D3">
      <w:pPr>
        <w:numPr>
          <w:ilvl w:val="0"/>
          <w:numId w:val="9"/>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 w:val="21"/>
          <w:szCs w:val="21"/>
        </w:rPr>
        <w:t>中标后灯具供应阶段，投标人确定的灯具抽样送国家权威机构检测。</w:t>
      </w:r>
    </w:p>
    <w:p w:rsidR="00A730D3" w:rsidRDefault="00A730D3" w:rsidP="00A730D3">
      <w:pPr>
        <w:numPr>
          <w:ilvl w:val="0"/>
          <w:numId w:val="9"/>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 w:val="21"/>
          <w:szCs w:val="21"/>
        </w:rPr>
        <w:t>灯具的工作环境温度： -20~60°C。湿度： 0~87%。在此工作温度、湿度下灯具可连续正常工作，并符合相应的国家灯具规范。</w:t>
      </w:r>
    </w:p>
    <w:p w:rsidR="00A730D3" w:rsidRDefault="00A730D3" w:rsidP="00A730D3">
      <w:pPr>
        <w:pStyle w:val="3"/>
        <w:numPr>
          <w:ilvl w:val="0"/>
          <w:numId w:val="8"/>
        </w:numPr>
        <w:spacing w:before="0" w:after="0" w:line="360" w:lineRule="auto"/>
        <w:ind w:hanging="5"/>
        <w:jc w:val="left"/>
        <w:rPr>
          <w:rFonts w:ascii="仿宋_GB2312" w:eastAsia="仿宋_GB2312" w:hAnsi="仿宋_GB2312" w:cs="仿宋_GB2312"/>
          <w:sz w:val="21"/>
          <w:szCs w:val="21"/>
        </w:rPr>
      </w:pPr>
      <w:r>
        <w:rPr>
          <w:rFonts w:ascii="仿宋_GB2312" w:eastAsia="仿宋_GB2312" w:hAnsi="仿宋_GB2312" w:cs="仿宋_GB2312" w:hint="eastAsia"/>
          <w:sz w:val="21"/>
          <w:szCs w:val="21"/>
        </w:rPr>
        <w:t>LED光源要求</w:t>
      </w:r>
      <w:bookmarkEnd w:id="13"/>
    </w:p>
    <w:p w:rsidR="00A730D3" w:rsidRDefault="00A730D3" w:rsidP="00A730D3">
      <w:pPr>
        <w:numPr>
          <w:ilvl w:val="0"/>
          <w:numId w:val="10"/>
        </w:numPr>
        <w:spacing w:line="360" w:lineRule="auto"/>
        <w:ind w:firstLineChars="200" w:firstLine="342"/>
        <w:rPr>
          <w:rFonts w:ascii="仿宋_GB2312" w:eastAsia="仿宋_GB2312" w:hAnsi="仿宋_GB2312" w:cs="仿宋_GB2312"/>
          <w:b/>
          <w:bCs/>
          <w:szCs w:val="21"/>
        </w:rPr>
      </w:pPr>
      <w:r>
        <w:rPr>
          <w:rFonts w:ascii="仿宋_GB2312" w:eastAsia="仿宋_GB2312" w:hAnsi="仿宋_GB2312" w:cs="仿宋_GB2312" w:hint="eastAsia"/>
          <w:b/>
          <w:bCs/>
          <w:sz w:val="21"/>
          <w:szCs w:val="21"/>
        </w:rPr>
        <w:t>该类灯具的主要原材料光源封装颗粒品牌</w:t>
      </w:r>
      <w:proofErr w:type="gramStart"/>
      <w:r>
        <w:rPr>
          <w:rFonts w:ascii="仿宋_GB2312" w:eastAsia="仿宋_GB2312" w:hAnsi="仿宋_GB2312" w:cs="仿宋_GB2312" w:hint="eastAsia"/>
          <w:b/>
          <w:bCs/>
          <w:sz w:val="21"/>
          <w:szCs w:val="21"/>
        </w:rPr>
        <w:t>推荐科锐</w:t>
      </w:r>
      <w:proofErr w:type="gramEnd"/>
      <w:r>
        <w:rPr>
          <w:rFonts w:ascii="仿宋_GB2312" w:eastAsia="仿宋_GB2312" w:hAnsi="仿宋_GB2312" w:cs="仿宋_GB2312" w:hint="eastAsia"/>
          <w:b/>
          <w:bCs/>
          <w:sz w:val="21"/>
          <w:szCs w:val="21"/>
        </w:rPr>
        <w:t>（CREE）、飞利浦</w:t>
      </w:r>
      <w:r>
        <w:rPr>
          <w:rFonts w:ascii="仿宋_GB2312" w:eastAsia="仿宋_GB2312" w:hAnsi="仿宋_GB2312" w:cs="仿宋_GB2312" w:hint="eastAsia"/>
          <w:b/>
          <w:bCs/>
          <w:kern w:val="0"/>
          <w:sz w:val="21"/>
          <w:szCs w:val="21"/>
        </w:rPr>
        <w:t>LUMILEDS</w:t>
      </w:r>
      <w:r>
        <w:rPr>
          <w:rFonts w:ascii="仿宋_GB2312" w:eastAsia="仿宋_GB2312" w:hAnsi="仿宋_GB2312" w:cs="仿宋_GB2312" w:hint="eastAsia"/>
          <w:b/>
          <w:bCs/>
          <w:sz w:val="21"/>
          <w:szCs w:val="21"/>
        </w:rPr>
        <w:t>）、欧司朗（OSRAM）、日亚（NICHIA）。</w:t>
      </w:r>
    </w:p>
    <w:p w:rsidR="00A730D3" w:rsidRDefault="00A730D3" w:rsidP="00A730D3">
      <w:pPr>
        <w:numPr>
          <w:ilvl w:val="0"/>
          <w:numId w:val="10"/>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LED单色芯片的色差必须符合下表的要求。</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
        <w:gridCol w:w="4028"/>
        <w:gridCol w:w="3570"/>
      </w:tblGrid>
      <w:tr w:rsidR="00A730D3" w:rsidTr="00C967B6">
        <w:trPr>
          <w:tblHeader/>
          <w:jc w:val="center"/>
        </w:trPr>
        <w:tc>
          <w:tcPr>
            <w:tcW w:w="922" w:type="dxa"/>
            <w:shd w:val="clear" w:color="auto" w:fill="D8D8D8" w:themeFill="background1" w:themeFillShade="D8"/>
            <w:vAlign w:val="center"/>
          </w:tcPr>
          <w:p w:rsidR="00A730D3" w:rsidRDefault="00A730D3" w:rsidP="00C967B6">
            <w:p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序号</w:t>
            </w:r>
          </w:p>
        </w:tc>
        <w:tc>
          <w:tcPr>
            <w:tcW w:w="4028" w:type="dxa"/>
            <w:shd w:val="clear" w:color="auto" w:fill="D8D8D8" w:themeFill="background1" w:themeFillShade="D8"/>
            <w:vAlign w:val="center"/>
          </w:tcPr>
          <w:p w:rsidR="00A730D3" w:rsidRDefault="00A730D3" w:rsidP="00C967B6">
            <w:p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色温/色彩</w:t>
            </w:r>
          </w:p>
        </w:tc>
        <w:tc>
          <w:tcPr>
            <w:tcW w:w="3570" w:type="dxa"/>
            <w:shd w:val="clear" w:color="auto" w:fill="D8D8D8" w:themeFill="background1" w:themeFillShade="D8"/>
          </w:tcPr>
          <w:p w:rsidR="00A730D3" w:rsidRDefault="00A730D3" w:rsidP="00C967B6">
            <w:p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偏差</w:t>
            </w:r>
          </w:p>
        </w:tc>
      </w:tr>
      <w:tr w:rsidR="00A730D3" w:rsidTr="00C967B6">
        <w:trPr>
          <w:jc w:val="center"/>
        </w:trPr>
        <w:tc>
          <w:tcPr>
            <w:tcW w:w="922" w:type="dxa"/>
            <w:vAlign w:val="center"/>
          </w:tcPr>
          <w:p w:rsidR="00A730D3" w:rsidRDefault="00A730D3" w:rsidP="00C967B6">
            <w:p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1</w:t>
            </w:r>
          </w:p>
        </w:tc>
        <w:tc>
          <w:tcPr>
            <w:tcW w:w="4028" w:type="dxa"/>
            <w:vAlign w:val="center"/>
          </w:tcPr>
          <w:p w:rsidR="00A730D3" w:rsidRDefault="00A730D3" w:rsidP="00C967B6">
            <w:p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RGB/RGBW W=3000K或4000K</w:t>
            </w:r>
          </w:p>
        </w:tc>
        <w:tc>
          <w:tcPr>
            <w:tcW w:w="3570" w:type="dxa"/>
            <w:vAlign w:val="center"/>
          </w:tcPr>
          <w:p w:rsidR="00A730D3" w:rsidRDefault="00A730D3" w:rsidP="00C967B6">
            <w:p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±3nm ±50K</w:t>
            </w:r>
          </w:p>
        </w:tc>
      </w:tr>
    </w:tbl>
    <w:p w:rsidR="00A730D3" w:rsidRDefault="00A730D3" w:rsidP="00A730D3">
      <w:pPr>
        <w:numPr>
          <w:ilvl w:val="0"/>
          <w:numId w:val="10"/>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白光LED灯具的色容差应符合以下规定：同型号白光LED灯具，色容差不应大于5SDCM。</w:t>
      </w:r>
    </w:p>
    <w:p w:rsidR="00A730D3" w:rsidRDefault="00A730D3" w:rsidP="00A730D3">
      <w:pPr>
        <w:numPr>
          <w:ilvl w:val="0"/>
          <w:numId w:val="10"/>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当照射对象为纯色物体时，灯具色容差不应大于5SDCM。</w:t>
      </w:r>
    </w:p>
    <w:p w:rsidR="00A730D3" w:rsidRDefault="00A730D3" w:rsidP="00A730D3">
      <w:pPr>
        <w:numPr>
          <w:ilvl w:val="0"/>
          <w:numId w:val="10"/>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LED颗粒应满足拥有LM-80认证，颗粒寿命不低于5万小时。</w:t>
      </w:r>
    </w:p>
    <w:p w:rsidR="00A730D3" w:rsidRDefault="00A730D3" w:rsidP="00A730D3">
      <w:pPr>
        <w:numPr>
          <w:ilvl w:val="0"/>
          <w:numId w:val="10"/>
        </w:numPr>
        <w:spacing w:line="360" w:lineRule="auto"/>
        <w:ind w:firstLineChars="200" w:firstLine="342"/>
        <w:rPr>
          <w:rFonts w:ascii="仿宋_GB2312" w:eastAsia="仿宋_GB2312" w:hAnsi="仿宋_GB2312" w:cs="仿宋_GB2312"/>
          <w:b/>
          <w:bCs/>
          <w:szCs w:val="21"/>
          <w:highlight w:val="yellow"/>
        </w:rPr>
      </w:pPr>
      <w:r>
        <w:rPr>
          <w:rFonts w:ascii="仿宋_GB2312" w:eastAsia="仿宋_GB2312" w:hAnsi="仿宋_GB2312" w:cs="仿宋_GB2312" w:hint="eastAsia"/>
          <w:b/>
          <w:bCs/>
          <w:sz w:val="21"/>
          <w:szCs w:val="21"/>
          <w:highlight w:val="yellow"/>
        </w:rPr>
        <w:t>LED颗粒的显色指数（CRI）：白光LED一般显色指数Ra≥80，且R9＞0。</w:t>
      </w:r>
    </w:p>
    <w:p w:rsidR="00A730D3" w:rsidRDefault="00A730D3" w:rsidP="00A730D3">
      <w:pPr>
        <w:pStyle w:val="3"/>
        <w:numPr>
          <w:ilvl w:val="0"/>
          <w:numId w:val="8"/>
        </w:numPr>
        <w:spacing w:before="0" w:after="0" w:line="360" w:lineRule="auto"/>
        <w:ind w:hanging="5"/>
        <w:jc w:val="left"/>
        <w:rPr>
          <w:rFonts w:ascii="仿宋_GB2312" w:eastAsia="仿宋_GB2312" w:hAnsi="仿宋_GB2312" w:cs="仿宋_GB2312"/>
          <w:sz w:val="21"/>
          <w:szCs w:val="21"/>
        </w:rPr>
      </w:pPr>
      <w:bookmarkStart w:id="14" w:name="_Toc517"/>
      <w:r>
        <w:rPr>
          <w:rFonts w:ascii="仿宋_GB2312" w:eastAsia="仿宋_GB2312" w:hAnsi="仿宋_GB2312" w:cs="仿宋_GB2312" w:hint="eastAsia"/>
          <w:sz w:val="21"/>
          <w:szCs w:val="21"/>
        </w:rPr>
        <w:t>LED灯具输入电压要求</w:t>
      </w:r>
      <w:bookmarkEnd w:id="14"/>
    </w:p>
    <w:p w:rsidR="00A730D3" w:rsidRDefault="00A730D3" w:rsidP="00A730D3">
      <w:pPr>
        <w:numPr>
          <w:ilvl w:val="0"/>
          <w:numId w:val="11"/>
        </w:numPr>
        <w:spacing w:line="360" w:lineRule="auto"/>
        <w:ind w:firstLineChars="200" w:firstLine="342"/>
        <w:rPr>
          <w:rFonts w:ascii="仿宋_GB2312" w:eastAsia="仿宋_GB2312" w:hAnsi="仿宋_GB2312" w:cs="仿宋_GB2312"/>
          <w:b/>
          <w:bCs/>
          <w:szCs w:val="21"/>
          <w:u w:val="single"/>
        </w:rPr>
      </w:pPr>
      <w:r>
        <w:rPr>
          <w:rFonts w:ascii="仿宋_GB2312" w:eastAsia="仿宋_GB2312" w:hAnsi="仿宋_GB2312" w:cs="仿宋_GB2312" w:hint="eastAsia"/>
          <w:b/>
          <w:bCs/>
          <w:sz w:val="21"/>
          <w:szCs w:val="21"/>
          <w:u w:val="single"/>
        </w:rPr>
        <w:t>详细参数未标明输入电压的，其输入电压必须为DC24V。详细参数标明输入电压的，按详细参数执行。</w:t>
      </w:r>
    </w:p>
    <w:p w:rsidR="00A730D3" w:rsidRDefault="00A730D3" w:rsidP="00A730D3">
      <w:pPr>
        <w:pStyle w:val="3"/>
        <w:numPr>
          <w:ilvl w:val="0"/>
          <w:numId w:val="8"/>
        </w:numPr>
        <w:spacing w:before="0" w:after="0" w:line="360" w:lineRule="auto"/>
        <w:ind w:hanging="5"/>
        <w:jc w:val="left"/>
        <w:rPr>
          <w:rFonts w:ascii="仿宋_GB2312" w:eastAsia="仿宋_GB2312" w:hAnsi="仿宋_GB2312" w:cs="仿宋_GB2312"/>
          <w:sz w:val="21"/>
          <w:szCs w:val="21"/>
        </w:rPr>
      </w:pPr>
      <w:bookmarkStart w:id="15" w:name="_Toc18301"/>
      <w:bookmarkStart w:id="16" w:name="_Toc13353"/>
      <w:r>
        <w:rPr>
          <w:rFonts w:ascii="仿宋_GB2312" w:eastAsia="仿宋_GB2312" w:hAnsi="仿宋_GB2312" w:cs="仿宋_GB2312" w:hint="eastAsia"/>
          <w:sz w:val="21"/>
          <w:szCs w:val="21"/>
        </w:rPr>
        <w:t>动态LED灯具要求</w:t>
      </w:r>
      <w:bookmarkEnd w:id="15"/>
    </w:p>
    <w:p w:rsidR="00A730D3" w:rsidRDefault="00A730D3" w:rsidP="00A730D3">
      <w:pPr>
        <w:numPr>
          <w:ilvl w:val="0"/>
          <w:numId w:val="12"/>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灯具要求有动态变化的，必须配置符合采购文件要求的控制系统及其所有附件，除主控外，其他设备均价格含在灯具中。</w:t>
      </w:r>
    </w:p>
    <w:p w:rsidR="00A730D3" w:rsidRDefault="00A730D3" w:rsidP="00A730D3">
      <w:pPr>
        <w:numPr>
          <w:ilvl w:val="0"/>
          <w:numId w:val="12"/>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所有动态（带控）灯具，必须采用DMX512-A标准控制协议，或兼容于上述协议。</w:t>
      </w:r>
    </w:p>
    <w:p w:rsidR="00A730D3" w:rsidRDefault="00A730D3" w:rsidP="00A730D3">
      <w:pPr>
        <w:numPr>
          <w:ilvl w:val="0"/>
          <w:numId w:val="12"/>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动态LED灯具，动态的速率可调，可缓慢连续变化也可跳变。芯片亮度可从0%-100%变化。动态</w:t>
      </w:r>
      <w:r>
        <w:rPr>
          <w:rFonts w:ascii="仿宋_GB2312" w:eastAsia="仿宋_GB2312" w:hAnsi="仿宋_GB2312" w:cs="仿宋_GB2312" w:hint="eastAsia"/>
          <w:sz w:val="21"/>
          <w:szCs w:val="21"/>
        </w:rPr>
        <w:lastRenderedPageBreak/>
        <w:t>LED灯具灰度级别必须达到256*256*256位灰度。灰度刷新频率不小于1000HZ。彩色的LED灯具必须发出1670万种真彩色。实现全场景同步色彩渐变及追光等各种动感色彩效果，色彩过渡要平稳、圆润，色彩还原要求逼真、细腻、自然。</w:t>
      </w:r>
      <w:r>
        <w:rPr>
          <w:rFonts w:ascii="仿宋_GB2312" w:eastAsia="仿宋_GB2312" w:hAnsi="仿宋_GB2312" w:cs="仿宋_GB2312" w:hint="eastAsia"/>
          <w:sz w:val="21"/>
          <w:szCs w:val="21"/>
          <w:shd w:val="clear" w:color="auto" w:fill="FFFF00"/>
        </w:rPr>
        <w:t>灯具要求3</w:t>
      </w:r>
      <w:proofErr w:type="gramStart"/>
      <w:r>
        <w:rPr>
          <w:rFonts w:ascii="仿宋_GB2312" w:eastAsia="仿宋_GB2312" w:hAnsi="仿宋_GB2312" w:cs="仿宋_GB2312" w:hint="eastAsia"/>
          <w:sz w:val="21"/>
          <w:szCs w:val="21"/>
          <w:shd w:val="clear" w:color="auto" w:fill="FFFF00"/>
        </w:rPr>
        <w:t>阶起灰</w:t>
      </w:r>
      <w:proofErr w:type="gramEnd"/>
      <w:r>
        <w:rPr>
          <w:rFonts w:ascii="仿宋_GB2312" w:eastAsia="仿宋_GB2312" w:hAnsi="仿宋_GB2312" w:cs="仿宋_GB2312" w:hint="eastAsia"/>
          <w:sz w:val="21"/>
          <w:szCs w:val="21"/>
          <w:shd w:val="clear" w:color="auto" w:fill="FFFF00"/>
        </w:rPr>
        <w:t>。同一栋建筑上，不同功率的RGB/RGBW灯具，需要整体联动变色时，灯具的控制位数为16 bit，保证所有型号灯具色彩、亮度变化一致。其他应用场景，灯具的控制位数为8bit。</w:t>
      </w:r>
    </w:p>
    <w:p w:rsidR="00A730D3" w:rsidRDefault="00A730D3" w:rsidP="00A730D3">
      <w:pPr>
        <w:numPr>
          <w:ilvl w:val="0"/>
          <w:numId w:val="12"/>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系统运行时，单个灯的故障必须只表现为它本身的故障，不得引起其他灯连带故障而扩大故障面。</w:t>
      </w:r>
    </w:p>
    <w:p w:rsidR="00A730D3" w:rsidRDefault="00A730D3" w:rsidP="00A730D3">
      <w:pPr>
        <w:spacing w:line="360" w:lineRule="auto"/>
        <w:ind w:firstLineChars="147" w:firstLine="250"/>
        <w:rPr>
          <w:rFonts w:ascii="仿宋_GB2312" w:eastAsia="仿宋_GB2312" w:hAnsi="仿宋_GB2312" w:cs="仿宋_GB2312"/>
          <w:szCs w:val="21"/>
        </w:rPr>
      </w:pPr>
      <w:r>
        <w:rPr>
          <w:rFonts w:ascii="仿宋_GB2312" w:eastAsia="仿宋_GB2312" w:hAnsi="仿宋_GB2312" w:cs="仿宋_GB2312" w:hint="eastAsia"/>
          <w:sz w:val="21"/>
          <w:szCs w:val="21"/>
        </w:rPr>
        <w:t>带控制</w:t>
      </w:r>
      <w:proofErr w:type="gramStart"/>
      <w:r>
        <w:rPr>
          <w:rFonts w:ascii="仿宋_GB2312" w:eastAsia="仿宋_GB2312" w:hAnsi="仿宋_GB2312" w:cs="仿宋_GB2312" w:hint="eastAsia"/>
          <w:sz w:val="21"/>
          <w:szCs w:val="21"/>
        </w:rPr>
        <w:t>灯具需可被</w:t>
      </w:r>
      <w:proofErr w:type="gramEnd"/>
      <w:r>
        <w:rPr>
          <w:rFonts w:ascii="仿宋_GB2312" w:eastAsia="仿宋_GB2312" w:hAnsi="仿宋_GB2312" w:cs="仿宋_GB2312" w:hint="eastAsia"/>
          <w:sz w:val="21"/>
          <w:szCs w:val="21"/>
        </w:rPr>
        <w:t>上级分控系统调试、调用。</w:t>
      </w:r>
    </w:p>
    <w:p w:rsidR="00A730D3" w:rsidRDefault="00A730D3" w:rsidP="00A730D3">
      <w:pPr>
        <w:pStyle w:val="3"/>
        <w:spacing w:line="360" w:lineRule="auto"/>
        <w:ind w:left="562"/>
        <w:rPr>
          <w:rFonts w:ascii="仿宋_GB2312" w:eastAsia="仿宋_GB2312" w:hAnsi="仿宋_GB2312" w:cs="仿宋_GB2312"/>
          <w:sz w:val="21"/>
          <w:szCs w:val="21"/>
        </w:rPr>
      </w:pPr>
      <w:r>
        <w:rPr>
          <w:rFonts w:ascii="仿宋_GB2312" w:eastAsia="仿宋_GB2312" w:hAnsi="仿宋_GB2312" w:cs="仿宋_GB2312" w:hint="eastAsia"/>
          <w:sz w:val="21"/>
          <w:szCs w:val="21"/>
        </w:rPr>
        <w:t>6)外观及结构要求</w:t>
      </w:r>
      <w:bookmarkEnd w:id="16"/>
    </w:p>
    <w:p w:rsidR="00A730D3" w:rsidRDefault="00A730D3" w:rsidP="00A730D3">
      <w:pPr>
        <w:numPr>
          <w:ilvl w:val="0"/>
          <w:numId w:val="13"/>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外观质量：灯具的表面应光滑，以防污物堆积和便于清洗;无损伤、变形、涂层剥落，玻璃罩应无气泡、明显划痕和裂纹等缺陷。</w:t>
      </w:r>
    </w:p>
    <w:p w:rsidR="00A730D3" w:rsidRDefault="00A730D3" w:rsidP="00A730D3">
      <w:pPr>
        <w:numPr>
          <w:ilvl w:val="0"/>
          <w:numId w:val="13"/>
        </w:numPr>
        <w:spacing w:line="360" w:lineRule="auto"/>
        <w:ind w:firstLineChars="200" w:firstLine="340"/>
        <w:rPr>
          <w:rFonts w:ascii="仿宋_GB2312" w:eastAsia="仿宋_GB2312" w:hAnsi="仿宋_GB2312" w:cs="仿宋_GB2312"/>
          <w:b/>
          <w:bCs/>
          <w:szCs w:val="21"/>
          <w:u w:val="single"/>
        </w:rPr>
      </w:pPr>
      <w:r>
        <w:rPr>
          <w:rFonts w:ascii="仿宋_GB2312" w:eastAsia="仿宋_GB2312" w:hAnsi="仿宋_GB2312" w:cs="仿宋_GB2312" w:hint="eastAsia"/>
          <w:sz w:val="21"/>
          <w:szCs w:val="21"/>
        </w:rPr>
        <w:t>外形尺寸：允许偏差范围标明区间的（例如：有≥、≤、±等符号）灯具尺寸在要求范围内为满足要求；未标明尺寸允许偏差范围的灯具尺寸上下浮动10%为满足要求。</w:t>
      </w:r>
    </w:p>
    <w:p w:rsidR="00A730D3" w:rsidRDefault="00A730D3" w:rsidP="00A730D3">
      <w:pPr>
        <w:numPr>
          <w:ilvl w:val="0"/>
          <w:numId w:val="13"/>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安装和位置尺寸：未标明尺寸允许偏差范围的按照GB-T1804的精度M级别标准执行。</w:t>
      </w:r>
    </w:p>
    <w:p w:rsidR="00A730D3" w:rsidRDefault="00A730D3" w:rsidP="00A730D3">
      <w:pPr>
        <w:numPr>
          <w:ilvl w:val="0"/>
          <w:numId w:val="13"/>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灯具应安装方便，</w:t>
      </w:r>
      <w:proofErr w:type="gramStart"/>
      <w:r>
        <w:rPr>
          <w:rFonts w:ascii="仿宋_GB2312" w:eastAsia="仿宋_GB2312" w:hAnsi="仿宋_GB2312" w:cs="仿宋_GB2312" w:hint="eastAsia"/>
          <w:sz w:val="21"/>
          <w:szCs w:val="21"/>
        </w:rPr>
        <w:t>灯具出线</w:t>
      </w:r>
      <w:proofErr w:type="gramEnd"/>
      <w:r>
        <w:rPr>
          <w:rFonts w:ascii="仿宋_GB2312" w:eastAsia="仿宋_GB2312" w:hAnsi="仿宋_GB2312" w:cs="仿宋_GB2312" w:hint="eastAsia"/>
          <w:sz w:val="21"/>
          <w:szCs w:val="21"/>
        </w:rPr>
        <w:t>方式不能影响现场安装。投光类灯具安装角度应能灵活调节。确定安装角度后，灯具有锁死固定功能。灯具应有特设的导线出(入)口密封装置。灯具内应有电源接线端子，外部接线和内部接线穿过硬质材料时应有保护措施。灯具应配备一个耐温度骤变、废气、烟雾和其他化学物质的钢化玻璃罩。</w:t>
      </w:r>
    </w:p>
    <w:p w:rsidR="00A730D3" w:rsidRDefault="00A730D3" w:rsidP="00A730D3">
      <w:pPr>
        <w:numPr>
          <w:ilvl w:val="0"/>
          <w:numId w:val="13"/>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所有LED灯具引出线线径应符合GB7000.1（灯具 第1部分：一般要求与试验）的要求，引出线长度按照现场安装情况提供，确保灯与灯之间连线符合最优化。一个回路的灯具可成串提供，灯具引出</w:t>
      </w:r>
      <w:proofErr w:type="gramStart"/>
      <w:r>
        <w:rPr>
          <w:rFonts w:ascii="仿宋_GB2312" w:eastAsia="仿宋_GB2312" w:hAnsi="仿宋_GB2312" w:cs="仿宋_GB2312" w:hint="eastAsia"/>
          <w:sz w:val="21"/>
          <w:szCs w:val="21"/>
        </w:rPr>
        <w:t>线满足</w:t>
      </w:r>
      <w:proofErr w:type="gramEnd"/>
      <w:r>
        <w:rPr>
          <w:rFonts w:ascii="仿宋_GB2312" w:eastAsia="仿宋_GB2312" w:hAnsi="仿宋_GB2312" w:cs="仿宋_GB2312" w:hint="eastAsia"/>
          <w:sz w:val="21"/>
          <w:szCs w:val="21"/>
        </w:rPr>
        <w:t>现场安装要求。 芯线颜色必须符合国标要求，且有明显区别。</w:t>
      </w:r>
    </w:p>
    <w:p w:rsidR="00A730D3" w:rsidRDefault="00A730D3" w:rsidP="00A730D3">
      <w:pPr>
        <w:numPr>
          <w:ilvl w:val="0"/>
          <w:numId w:val="13"/>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控制线采用专用RS485超五类屏蔽总线。接头必须具有防水措施、连接方便易操作。</w:t>
      </w:r>
    </w:p>
    <w:p w:rsidR="00A730D3" w:rsidRDefault="00A730D3" w:rsidP="00A730D3">
      <w:pPr>
        <w:numPr>
          <w:ilvl w:val="0"/>
          <w:numId w:val="13"/>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有针对感应雷击及静电的专用防护元件，器件性能符合IEC61000-4-4（电磁兼容-第4-4部分:试验和测量技术-电快速瞬变脉冲群抗扰度试验）的检测标准。</w:t>
      </w:r>
    </w:p>
    <w:p w:rsidR="00A730D3" w:rsidRDefault="00A730D3" w:rsidP="00A730D3">
      <w:pPr>
        <w:numPr>
          <w:ilvl w:val="0"/>
          <w:numId w:val="13"/>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明装灯具及其安装附件及嵌装灯具的颜色纹理需与背景墙面颜色一致，由设计方与甲方共同确定色卡号。</w:t>
      </w:r>
    </w:p>
    <w:p w:rsidR="00A730D3" w:rsidRDefault="00A730D3" w:rsidP="00A730D3">
      <w:pPr>
        <w:numPr>
          <w:ilvl w:val="0"/>
          <w:numId w:val="13"/>
        </w:numPr>
        <w:spacing w:line="360" w:lineRule="auto"/>
        <w:ind w:firstLineChars="200" w:firstLine="342"/>
        <w:rPr>
          <w:rFonts w:ascii="仿宋_GB2312" w:eastAsia="仿宋_GB2312" w:hAnsi="仿宋_GB2312" w:cs="仿宋_GB2312"/>
          <w:szCs w:val="21"/>
        </w:rPr>
      </w:pPr>
      <w:r>
        <w:rPr>
          <w:rFonts w:ascii="仿宋_GB2312" w:eastAsia="仿宋_GB2312" w:hAnsi="仿宋_GB2312" w:cs="仿宋_GB2312" w:hint="eastAsia"/>
          <w:b/>
          <w:bCs/>
          <w:sz w:val="21"/>
          <w:szCs w:val="21"/>
          <w:u w:val="single"/>
        </w:rPr>
        <w:t>水下灯具必须采用结构防水，防护等级不小于IP68。</w:t>
      </w:r>
      <w:r>
        <w:rPr>
          <w:rFonts w:ascii="仿宋_GB2312" w:eastAsia="仿宋_GB2312" w:hAnsi="仿宋_GB2312" w:cs="仿宋_GB2312" w:hint="eastAsia"/>
          <w:sz w:val="21"/>
          <w:szCs w:val="21"/>
        </w:rPr>
        <w:t>灯具防尘防水等级（IP等级）指：防水接头、接线、匹配电源、灯具四部分的防尘防水等级。公母头、三通等辅材的</w:t>
      </w:r>
      <w:r>
        <w:rPr>
          <w:rFonts w:ascii="仿宋_GB2312" w:eastAsia="仿宋_GB2312" w:hAnsi="仿宋_GB2312" w:cs="仿宋_GB2312" w:hint="eastAsia"/>
          <w:b/>
          <w:bCs/>
          <w:sz w:val="21"/>
          <w:szCs w:val="21"/>
          <w:u w:val="single"/>
        </w:rPr>
        <w:t>防护等级不小于IP66。</w:t>
      </w:r>
    </w:p>
    <w:p w:rsidR="00A730D3" w:rsidRDefault="00A730D3" w:rsidP="00A730D3">
      <w:pPr>
        <w:pStyle w:val="3"/>
        <w:spacing w:line="360" w:lineRule="auto"/>
        <w:ind w:left="562"/>
        <w:rPr>
          <w:rFonts w:ascii="仿宋_GB2312" w:eastAsia="仿宋_GB2312" w:hAnsi="仿宋_GB2312" w:cs="仿宋_GB2312"/>
          <w:sz w:val="21"/>
          <w:szCs w:val="21"/>
        </w:rPr>
      </w:pPr>
      <w:bookmarkStart w:id="17" w:name="_Toc20504"/>
      <w:r>
        <w:rPr>
          <w:rFonts w:ascii="仿宋_GB2312" w:eastAsia="仿宋_GB2312" w:hAnsi="仿宋_GB2312" w:cs="仿宋_GB2312" w:hint="eastAsia"/>
          <w:sz w:val="21"/>
          <w:szCs w:val="21"/>
        </w:rPr>
        <w:lastRenderedPageBreak/>
        <w:t>7)材料要求</w:t>
      </w:r>
      <w:bookmarkEnd w:id="17"/>
    </w:p>
    <w:p w:rsidR="00A730D3" w:rsidRDefault="00A730D3" w:rsidP="00A730D3">
      <w:pPr>
        <w:numPr>
          <w:ilvl w:val="0"/>
          <w:numId w:val="14"/>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所有要求为不锈钢的材质，必须采用304/2B不锈钢标号；所有要求为铝材的，必须采用高镁防锈3404标号或同等、优于该材料。灯具所采用的电线(缆)、LED和其他电子部件均应符合相应的国家标准或行业标准的规定要求。</w:t>
      </w:r>
    </w:p>
    <w:p w:rsidR="00A730D3" w:rsidRDefault="00A730D3" w:rsidP="00A730D3">
      <w:pPr>
        <w:numPr>
          <w:ilvl w:val="0"/>
          <w:numId w:val="14"/>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灯具密封圈需采用抗老化硅橡胶圈或同等、优于上标准。应耐温、耐老化和</w:t>
      </w:r>
      <w:proofErr w:type="gramStart"/>
      <w:r>
        <w:rPr>
          <w:rFonts w:ascii="仿宋_GB2312" w:eastAsia="仿宋_GB2312" w:hAnsi="仿宋_GB2312" w:cs="仿宋_GB2312" w:hint="eastAsia"/>
          <w:sz w:val="21"/>
          <w:szCs w:val="21"/>
        </w:rPr>
        <w:t>耐道路</w:t>
      </w:r>
      <w:proofErr w:type="gramEnd"/>
      <w:r>
        <w:rPr>
          <w:rFonts w:ascii="仿宋_GB2312" w:eastAsia="仿宋_GB2312" w:hAnsi="仿宋_GB2312" w:cs="仿宋_GB2312" w:hint="eastAsia"/>
          <w:sz w:val="21"/>
          <w:szCs w:val="21"/>
        </w:rPr>
        <w:t>上可能出现的腐蚀性气体，并应方便更换。灯具密封若</w:t>
      </w:r>
      <w:proofErr w:type="gramStart"/>
      <w:r>
        <w:rPr>
          <w:rFonts w:ascii="仿宋_GB2312" w:eastAsia="仿宋_GB2312" w:hAnsi="仿宋_GB2312" w:cs="仿宋_GB2312" w:hint="eastAsia"/>
          <w:sz w:val="21"/>
          <w:szCs w:val="21"/>
        </w:rPr>
        <w:t>采用灌胶形式</w:t>
      </w:r>
      <w:proofErr w:type="gramEnd"/>
      <w:r>
        <w:rPr>
          <w:rFonts w:ascii="仿宋_GB2312" w:eastAsia="仿宋_GB2312" w:hAnsi="仿宋_GB2312" w:cs="仿宋_GB2312" w:hint="eastAsia"/>
          <w:sz w:val="21"/>
          <w:szCs w:val="21"/>
        </w:rPr>
        <w:t>，</w:t>
      </w:r>
      <w:proofErr w:type="gramStart"/>
      <w:r>
        <w:rPr>
          <w:rFonts w:ascii="仿宋_GB2312" w:eastAsia="仿宋_GB2312" w:hAnsi="仿宋_GB2312" w:cs="仿宋_GB2312" w:hint="eastAsia"/>
          <w:sz w:val="21"/>
          <w:szCs w:val="21"/>
        </w:rPr>
        <w:t>灌胶材料</w:t>
      </w:r>
      <w:proofErr w:type="gramEnd"/>
      <w:r>
        <w:rPr>
          <w:rFonts w:ascii="仿宋_GB2312" w:eastAsia="仿宋_GB2312" w:hAnsi="仿宋_GB2312" w:cs="仿宋_GB2312" w:hint="eastAsia"/>
          <w:sz w:val="21"/>
          <w:szCs w:val="21"/>
        </w:rPr>
        <w:t xml:space="preserve">必须采用有机硅胶或同等、优于以上标准。 </w:t>
      </w:r>
    </w:p>
    <w:p w:rsidR="00A730D3" w:rsidRDefault="00A730D3" w:rsidP="00A730D3">
      <w:pPr>
        <w:numPr>
          <w:ilvl w:val="0"/>
          <w:numId w:val="14"/>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灯具的插销、铰链、螺钉和其他外部构件应用304/2B不锈钢或高镁防锈3404铝合金，其安装构件应不受混凝土的化学反应腐蚀。膨胀管、膨胀螺栓（含螺栓、胀管、平垫圈、弹簧垫和六角螺母等）必须采用不锈钢304/2B材料，且不受混凝土的化学反应腐蚀。</w:t>
      </w:r>
    </w:p>
    <w:p w:rsidR="00A730D3" w:rsidRDefault="00A730D3" w:rsidP="00A730D3">
      <w:pPr>
        <w:pStyle w:val="3"/>
        <w:spacing w:line="360" w:lineRule="auto"/>
        <w:ind w:left="562"/>
        <w:rPr>
          <w:rFonts w:ascii="仿宋_GB2312" w:eastAsia="仿宋_GB2312" w:hAnsi="仿宋_GB2312" w:cs="仿宋_GB2312"/>
          <w:sz w:val="21"/>
          <w:szCs w:val="21"/>
        </w:rPr>
      </w:pPr>
      <w:bookmarkStart w:id="18" w:name="_Toc19172"/>
      <w:r>
        <w:rPr>
          <w:rFonts w:ascii="仿宋_GB2312" w:eastAsia="仿宋_GB2312" w:hAnsi="仿宋_GB2312" w:cs="仿宋_GB2312" w:hint="eastAsia"/>
          <w:sz w:val="21"/>
          <w:szCs w:val="21"/>
        </w:rPr>
        <w:t>8)耐腐蚀性要求</w:t>
      </w:r>
      <w:bookmarkEnd w:id="18"/>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灯具应具有良好的耐腐蚀性能；灯具上的涂层部件，涂层应符合QB/T 1551（《灯具油漆涂层》国家标准）中II类（恶劣的使用环境，如含有工业废气或盐分，潮湿的使用场所）使用条件的要求；灯具上的电镀或化学覆盖件，覆盖层应符合QB/T3741（《灯具电镀、化学覆盖层》轻工行业标准）中Ⅲ类（严酷的使用条件，如空气中含有工业废气或盐分潮湿的环境）使用条件的要求。灯具灯</w:t>
      </w:r>
      <w:proofErr w:type="gramStart"/>
      <w:r>
        <w:rPr>
          <w:rFonts w:ascii="仿宋_GB2312" w:eastAsia="仿宋_GB2312" w:hAnsi="仿宋_GB2312" w:cs="仿宋_GB2312" w:hint="eastAsia"/>
          <w:sz w:val="21"/>
          <w:szCs w:val="21"/>
        </w:rPr>
        <w:t>体材</w:t>
      </w:r>
      <w:proofErr w:type="gramEnd"/>
      <w:r>
        <w:rPr>
          <w:rFonts w:ascii="仿宋_GB2312" w:eastAsia="仿宋_GB2312" w:hAnsi="仿宋_GB2312" w:cs="仿宋_GB2312" w:hint="eastAsia"/>
          <w:sz w:val="21"/>
          <w:szCs w:val="21"/>
        </w:rPr>
        <w:t>质表面应有耐腐蚀、</w:t>
      </w:r>
      <w:proofErr w:type="gramStart"/>
      <w:r>
        <w:rPr>
          <w:rFonts w:ascii="仿宋_GB2312" w:eastAsia="仿宋_GB2312" w:hAnsi="仿宋_GB2312" w:cs="仿宋_GB2312" w:hint="eastAsia"/>
          <w:sz w:val="21"/>
          <w:szCs w:val="21"/>
        </w:rPr>
        <w:t>抗破坏</w:t>
      </w:r>
      <w:proofErr w:type="gramEnd"/>
      <w:r>
        <w:rPr>
          <w:rFonts w:ascii="仿宋_GB2312" w:eastAsia="仿宋_GB2312" w:hAnsi="仿宋_GB2312" w:cs="仿宋_GB2312" w:hint="eastAsia"/>
          <w:sz w:val="21"/>
          <w:szCs w:val="21"/>
        </w:rPr>
        <w:t>处理手段，处理工艺需达10年使用寿命。压克力材料部分保证5年</w:t>
      </w:r>
      <w:proofErr w:type="gramStart"/>
      <w:r>
        <w:rPr>
          <w:rFonts w:ascii="仿宋_GB2312" w:eastAsia="仿宋_GB2312" w:hAnsi="仿宋_GB2312" w:cs="仿宋_GB2312" w:hint="eastAsia"/>
          <w:sz w:val="21"/>
          <w:szCs w:val="21"/>
        </w:rPr>
        <w:t>不</w:t>
      </w:r>
      <w:proofErr w:type="gramEnd"/>
      <w:r>
        <w:rPr>
          <w:rFonts w:ascii="仿宋_GB2312" w:eastAsia="仿宋_GB2312" w:hAnsi="仿宋_GB2312" w:cs="仿宋_GB2312" w:hint="eastAsia"/>
          <w:sz w:val="21"/>
          <w:szCs w:val="21"/>
        </w:rPr>
        <w:t>发黄。</w:t>
      </w:r>
    </w:p>
    <w:p w:rsidR="00A730D3" w:rsidRDefault="00A730D3" w:rsidP="00A730D3">
      <w:pPr>
        <w:pStyle w:val="3"/>
        <w:spacing w:line="360" w:lineRule="auto"/>
        <w:ind w:left="562"/>
        <w:rPr>
          <w:rFonts w:ascii="仿宋_GB2312" w:eastAsia="仿宋_GB2312" w:hAnsi="仿宋_GB2312" w:cs="仿宋_GB2312"/>
          <w:sz w:val="21"/>
          <w:szCs w:val="21"/>
        </w:rPr>
      </w:pPr>
      <w:bookmarkStart w:id="19" w:name="_Toc9926"/>
      <w:bookmarkStart w:id="20" w:name="_Toc2295"/>
      <w:bookmarkStart w:id="21" w:name="_Toc6693"/>
      <w:bookmarkStart w:id="22" w:name="_Toc4937"/>
      <w:bookmarkStart w:id="23" w:name="_Toc20838"/>
      <w:r>
        <w:rPr>
          <w:rFonts w:ascii="仿宋_GB2312" w:eastAsia="仿宋_GB2312" w:hAnsi="仿宋_GB2312" w:cs="仿宋_GB2312" w:hint="eastAsia"/>
          <w:sz w:val="21"/>
          <w:szCs w:val="21"/>
        </w:rPr>
        <w:t>9)电磁兼容</w:t>
      </w:r>
      <w:bookmarkEnd w:id="19"/>
      <w:bookmarkEnd w:id="20"/>
      <w:bookmarkEnd w:id="21"/>
      <w:bookmarkEnd w:id="22"/>
      <w:r>
        <w:rPr>
          <w:rFonts w:ascii="仿宋_GB2312" w:eastAsia="仿宋_GB2312" w:hAnsi="仿宋_GB2312" w:cs="仿宋_GB2312" w:hint="eastAsia"/>
          <w:sz w:val="21"/>
          <w:szCs w:val="21"/>
        </w:rPr>
        <w:t>要求</w:t>
      </w:r>
      <w:bookmarkEnd w:id="23"/>
    </w:p>
    <w:p w:rsidR="00A730D3" w:rsidRDefault="00A730D3" w:rsidP="00A730D3">
      <w:pPr>
        <w:numPr>
          <w:ilvl w:val="0"/>
          <w:numId w:val="15"/>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灯具的无线电骚扰特性应符合GB 17743的要求。</w:t>
      </w:r>
    </w:p>
    <w:p w:rsidR="00A730D3" w:rsidRDefault="00A730D3" w:rsidP="00A730D3">
      <w:pPr>
        <w:numPr>
          <w:ilvl w:val="0"/>
          <w:numId w:val="15"/>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灯具电磁兼容抗扰度应符合GB/T 18595 的要求。</w:t>
      </w:r>
    </w:p>
    <w:p w:rsidR="00A730D3" w:rsidRDefault="00A730D3" w:rsidP="00A730D3">
      <w:pPr>
        <w:numPr>
          <w:ilvl w:val="0"/>
          <w:numId w:val="15"/>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灯具的输入电流谐波应符合GB l7625.1的要求。</w:t>
      </w:r>
    </w:p>
    <w:p w:rsidR="00A730D3" w:rsidRDefault="00A730D3" w:rsidP="00A730D3">
      <w:pPr>
        <w:numPr>
          <w:ilvl w:val="0"/>
          <w:numId w:val="15"/>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LED电子控制装置应采用高压输出的LED电子控制装置，输出电流不超过1.5A。并应符合GB 19510.14的规定。</w:t>
      </w:r>
    </w:p>
    <w:p w:rsidR="00A730D3" w:rsidRDefault="00A730D3" w:rsidP="00A730D3">
      <w:pPr>
        <w:numPr>
          <w:ilvl w:val="0"/>
          <w:numId w:val="15"/>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LED灯具的蓝光控制应符合GB 7000.1的规定。</w:t>
      </w:r>
    </w:p>
    <w:p w:rsidR="00A730D3" w:rsidRDefault="00A730D3" w:rsidP="00A730D3">
      <w:pPr>
        <w:pStyle w:val="3"/>
        <w:spacing w:line="360" w:lineRule="auto"/>
        <w:ind w:left="562"/>
        <w:rPr>
          <w:rFonts w:ascii="仿宋_GB2312" w:eastAsia="仿宋_GB2312" w:hAnsi="仿宋_GB2312" w:cs="仿宋_GB2312"/>
          <w:sz w:val="21"/>
          <w:szCs w:val="21"/>
        </w:rPr>
      </w:pPr>
      <w:bookmarkStart w:id="24" w:name="_Toc28959"/>
      <w:r>
        <w:rPr>
          <w:rFonts w:ascii="仿宋_GB2312" w:eastAsia="仿宋_GB2312" w:hAnsi="仿宋_GB2312" w:cs="仿宋_GB2312" w:hint="eastAsia"/>
          <w:sz w:val="21"/>
          <w:szCs w:val="21"/>
        </w:rPr>
        <w:lastRenderedPageBreak/>
        <w:t>10)灯具寿命、光衰、散热等要求</w:t>
      </w:r>
      <w:bookmarkEnd w:id="24"/>
    </w:p>
    <w:p w:rsidR="00A730D3" w:rsidRDefault="00A730D3" w:rsidP="00A730D3">
      <w:pPr>
        <w:numPr>
          <w:ilvl w:val="0"/>
          <w:numId w:val="16"/>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灯的光源寿命不低于5万小时。灯具的平均寿命应不低于3万小时。</w:t>
      </w:r>
    </w:p>
    <w:p w:rsidR="00A730D3" w:rsidRDefault="00A730D3" w:rsidP="00A730D3">
      <w:pPr>
        <w:numPr>
          <w:ilvl w:val="0"/>
          <w:numId w:val="16"/>
        </w:numPr>
        <w:spacing w:line="360" w:lineRule="auto"/>
        <w:ind w:firstLineChars="131" w:firstLine="223"/>
        <w:rPr>
          <w:rFonts w:ascii="仿宋_GB2312" w:eastAsia="仿宋_GB2312" w:hAnsi="仿宋_GB2312" w:cs="仿宋_GB2312"/>
          <w:szCs w:val="21"/>
        </w:rPr>
      </w:pPr>
      <w:r>
        <w:rPr>
          <w:rFonts w:ascii="仿宋_GB2312" w:eastAsia="仿宋_GB2312" w:hAnsi="仿宋_GB2312" w:cs="仿宋_GB2312" w:hint="eastAsia"/>
          <w:sz w:val="21"/>
          <w:szCs w:val="21"/>
        </w:rPr>
        <w:t>灯在燃点3千小时时，其光</w:t>
      </w:r>
      <w:proofErr w:type="gramStart"/>
      <w:r>
        <w:rPr>
          <w:rFonts w:ascii="仿宋_GB2312" w:eastAsia="仿宋_GB2312" w:hAnsi="仿宋_GB2312" w:cs="仿宋_GB2312" w:hint="eastAsia"/>
          <w:sz w:val="21"/>
          <w:szCs w:val="21"/>
        </w:rPr>
        <w:t>通维持</w:t>
      </w:r>
      <w:proofErr w:type="gramEnd"/>
      <w:r>
        <w:rPr>
          <w:rFonts w:ascii="仿宋_GB2312" w:eastAsia="仿宋_GB2312" w:hAnsi="仿宋_GB2312" w:cs="仿宋_GB2312" w:hint="eastAsia"/>
          <w:sz w:val="21"/>
          <w:szCs w:val="21"/>
        </w:rPr>
        <w:t>率应不低于96%；在燃点6千小时时，其光</w:t>
      </w:r>
      <w:proofErr w:type="gramStart"/>
      <w:r>
        <w:rPr>
          <w:rFonts w:ascii="仿宋_GB2312" w:eastAsia="仿宋_GB2312" w:hAnsi="仿宋_GB2312" w:cs="仿宋_GB2312" w:hint="eastAsia"/>
          <w:sz w:val="21"/>
          <w:szCs w:val="21"/>
        </w:rPr>
        <w:t>通维持</w:t>
      </w:r>
      <w:proofErr w:type="gramEnd"/>
      <w:r>
        <w:rPr>
          <w:rFonts w:ascii="仿宋_GB2312" w:eastAsia="仿宋_GB2312" w:hAnsi="仿宋_GB2312" w:cs="仿宋_GB2312" w:hint="eastAsia"/>
          <w:sz w:val="21"/>
          <w:szCs w:val="21"/>
        </w:rPr>
        <w:t>率应不低于92%。</w:t>
      </w:r>
    </w:p>
    <w:p w:rsidR="00A730D3" w:rsidRDefault="00A730D3" w:rsidP="00A730D3">
      <w:pPr>
        <w:numPr>
          <w:ilvl w:val="0"/>
          <w:numId w:val="16"/>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灯的初始光通量（灯具入库或到达安装现场的时间点）可由制造商或销售商标称，但其实测值不得低于标称值的95%，不得高于标称值的105%。</w:t>
      </w:r>
    </w:p>
    <w:p w:rsidR="00A730D3" w:rsidRDefault="00A730D3" w:rsidP="00A730D3">
      <w:pPr>
        <w:numPr>
          <w:ilvl w:val="0"/>
          <w:numId w:val="16"/>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所有LED灯具外壳温度满载负荷两小时候后，温度升高不大于30℃。现场安装后抽检灯具的外壳温度。芯片引脚满载两小时后，温度升高不大于60℃。</w:t>
      </w:r>
    </w:p>
    <w:p w:rsidR="00D56B37" w:rsidRPr="00D56B37" w:rsidRDefault="00D56B37" w:rsidP="00D56B37">
      <w:pPr>
        <w:spacing w:line="360" w:lineRule="auto"/>
        <w:rPr>
          <w:rFonts w:eastAsia="宋体"/>
          <w:b/>
          <w:bCs/>
          <w:color w:val="000000"/>
          <w:spacing w:val="0"/>
          <w:sz w:val="28"/>
          <w:szCs w:val="28"/>
        </w:rPr>
      </w:pPr>
      <w:bookmarkStart w:id="25" w:name="_Toc11963"/>
      <w:bookmarkStart w:id="26" w:name="_Toc10067"/>
      <w:bookmarkEnd w:id="12"/>
      <w:r>
        <w:rPr>
          <w:rFonts w:eastAsia="宋体" w:hint="eastAsia"/>
          <w:b/>
          <w:bCs/>
          <w:color w:val="000000"/>
          <w:spacing w:val="0"/>
          <w:sz w:val="28"/>
          <w:szCs w:val="28"/>
        </w:rPr>
        <w:t>（三）</w:t>
      </w:r>
      <w:r w:rsidRPr="00D56B37">
        <w:rPr>
          <w:rFonts w:eastAsia="宋体" w:hint="eastAsia"/>
          <w:b/>
          <w:bCs/>
          <w:color w:val="000000"/>
          <w:spacing w:val="0"/>
          <w:sz w:val="28"/>
          <w:szCs w:val="28"/>
        </w:rPr>
        <w:t>灯具附属开关电源（驱动电源）技术通则</w:t>
      </w:r>
      <w:bookmarkEnd w:id="25"/>
    </w:p>
    <w:p w:rsidR="00D56B37" w:rsidRDefault="00D56B37" w:rsidP="00A730D3">
      <w:pPr>
        <w:pStyle w:val="3"/>
        <w:numPr>
          <w:ilvl w:val="0"/>
          <w:numId w:val="17"/>
        </w:numPr>
        <w:spacing w:before="0" w:after="0" w:line="360" w:lineRule="auto"/>
        <w:ind w:hanging="5"/>
        <w:jc w:val="left"/>
        <w:rPr>
          <w:rFonts w:ascii="仿宋_GB2312" w:eastAsia="仿宋_GB2312" w:hAnsi="仿宋_GB2312" w:cs="仿宋_GB2312"/>
          <w:sz w:val="21"/>
          <w:szCs w:val="21"/>
        </w:rPr>
      </w:pPr>
      <w:bookmarkStart w:id="27" w:name="_Toc30970"/>
      <w:r>
        <w:rPr>
          <w:rFonts w:ascii="仿宋_GB2312" w:eastAsia="仿宋_GB2312" w:hAnsi="仿宋_GB2312" w:cs="仿宋_GB2312" w:hint="eastAsia"/>
          <w:sz w:val="21"/>
          <w:szCs w:val="21"/>
        </w:rPr>
        <w:t>说明</w:t>
      </w:r>
      <w:bookmarkEnd w:id="27"/>
    </w:p>
    <w:p w:rsidR="00D56B37" w:rsidRDefault="00D56B37" w:rsidP="00A730D3">
      <w:pPr>
        <w:spacing w:line="360" w:lineRule="auto"/>
        <w:ind w:firstLineChars="139" w:firstLine="237"/>
        <w:rPr>
          <w:rFonts w:ascii="仿宋_GB2312" w:eastAsia="仿宋_GB2312" w:hAnsi="仿宋_GB2312" w:cs="仿宋_GB2312"/>
          <w:b/>
          <w:bCs/>
          <w:szCs w:val="21"/>
          <w:u w:val="single"/>
        </w:rPr>
      </w:pPr>
      <w:r>
        <w:rPr>
          <w:rFonts w:ascii="仿宋_GB2312" w:eastAsia="仿宋_GB2312" w:hAnsi="仿宋_GB2312" w:cs="仿宋_GB2312" w:hint="eastAsia"/>
          <w:b/>
          <w:bCs/>
          <w:sz w:val="21"/>
          <w:szCs w:val="21"/>
          <w:u w:val="single"/>
        </w:rPr>
        <w:t>灯具必须按照采购单位要求，提供全部驱动电源。</w:t>
      </w:r>
    </w:p>
    <w:p w:rsidR="00D56B37" w:rsidRDefault="00D56B37"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所有灯具附属驱动电源的深化设计，相关参数按照下表执行。</w:t>
      </w:r>
    </w:p>
    <w:tbl>
      <w:tblPr>
        <w:tblW w:w="7738"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0"/>
        <w:gridCol w:w="1369"/>
        <w:gridCol w:w="5809"/>
      </w:tblGrid>
      <w:tr w:rsidR="00D56B37" w:rsidTr="00C967B6">
        <w:trPr>
          <w:trHeight w:val="564"/>
          <w:tblHeader/>
        </w:trPr>
        <w:tc>
          <w:tcPr>
            <w:tcW w:w="560" w:type="dxa"/>
            <w:shd w:val="clear" w:color="auto" w:fill="D8D8D8" w:themeFill="background1" w:themeFillShade="D8"/>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序号</w:t>
            </w:r>
          </w:p>
        </w:tc>
        <w:tc>
          <w:tcPr>
            <w:tcW w:w="1369" w:type="dxa"/>
            <w:shd w:val="clear" w:color="auto" w:fill="D8D8D8" w:themeFill="background1" w:themeFillShade="D8"/>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内容</w:t>
            </w:r>
          </w:p>
        </w:tc>
        <w:tc>
          <w:tcPr>
            <w:tcW w:w="5809" w:type="dxa"/>
            <w:shd w:val="clear" w:color="auto" w:fill="D8D8D8" w:themeFill="background1" w:themeFillShade="D8"/>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要求</w:t>
            </w:r>
          </w:p>
        </w:tc>
      </w:tr>
      <w:tr w:rsidR="00D56B37" w:rsidTr="00C967B6">
        <w:trPr>
          <w:trHeight w:val="564"/>
        </w:trPr>
        <w:tc>
          <w:tcPr>
            <w:tcW w:w="560"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1</w:t>
            </w:r>
          </w:p>
        </w:tc>
        <w:tc>
          <w:tcPr>
            <w:tcW w:w="136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深化设计</w:t>
            </w:r>
          </w:p>
        </w:tc>
        <w:tc>
          <w:tcPr>
            <w:tcW w:w="580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中标单位根据现场安装条件优化使用方案，由业主最终确认</w:t>
            </w:r>
          </w:p>
        </w:tc>
      </w:tr>
      <w:tr w:rsidR="00D56B37" w:rsidTr="00C967B6">
        <w:trPr>
          <w:trHeight w:val="564"/>
        </w:trPr>
        <w:tc>
          <w:tcPr>
            <w:tcW w:w="560"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2</w:t>
            </w:r>
          </w:p>
        </w:tc>
        <w:tc>
          <w:tcPr>
            <w:tcW w:w="136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型号</w:t>
            </w:r>
          </w:p>
        </w:tc>
        <w:tc>
          <w:tcPr>
            <w:tcW w:w="580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厂家深化，设计确认</w:t>
            </w:r>
          </w:p>
        </w:tc>
      </w:tr>
      <w:tr w:rsidR="00D56B37" w:rsidTr="00C967B6">
        <w:trPr>
          <w:trHeight w:val="578"/>
        </w:trPr>
        <w:tc>
          <w:tcPr>
            <w:tcW w:w="560" w:type="dxa"/>
            <w:vMerge w:val="restart"/>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3</w:t>
            </w:r>
          </w:p>
        </w:tc>
        <w:tc>
          <w:tcPr>
            <w:tcW w:w="1369" w:type="dxa"/>
            <w:vMerge w:val="restart"/>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输出属性</w:t>
            </w:r>
          </w:p>
        </w:tc>
        <w:tc>
          <w:tcPr>
            <w:tcW w:w="580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详细参数输入电压标明为220V的灯具为内置驱动电源。</w:t>
            </w:r>
          </w:p>
        </w:tc>
      </w:tr>
      <w:tr w:rsidR="00D56B37" w:rsidTr="00C967B6">
        <w:trPr>
          <w:trHeight w:val="1046"/>
        </w:trPr>
        <w:tc>
          <w:tcPr>
            <w:tcW w:w="560" w:type="dxa"/>
            <w:vMerge/>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p>
        </w:tc>
        <w:tc>
          <w:tcPr>
            <w:tcW w:w="1369" w:type="dxa"/>
            <w:vMerge/>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p>
        </w:tc>
        <w:tc>
          <w:tcPr>
            <w:tcW w:w="580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工作电压为安全电压（≤36V）的灯具,必须采用外置驱动电源。</w:t>
            </w:r>
          </w:p>
        </w:tc>
      </w:tr>
      <w:tr w:rsidR="00D56B37" w:rsidTr="00C967B6">
        <w:trPr>
          <w:trHeight w:val="564"/>
        </w:trPr>
        <w:tc>
          <w:tcPr>
            <w:tcW w:w="560"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4</w:t>
            </w:r>
          </w:p>
        </w:tc>
        <w:tc>
          <w:tcPr>
            <w:tcW w:w="136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功率</w:t>
            </w:r>
          </w:p>
        </w:tc>
        <w:tc>
          <w:tcPr>
            <w:tcW w:w="580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根据现场合理配置</w:t>
            </w:r>
          </w:p>
        </w:tc>
      </w:tr>
      <w:tr w:rsidR="00D56B37" w:rsidTr="00C967B6">
        <w:trPr>
          <w:trHeight w:val="564"/>
        </w:trPr>
        <w:tc>
          <w:tcPr>
            <w:tcW w:w="560"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5</w:t>
            </w:r>
          </w:p>
        </w:tc>
        <w:tc>
          <w:tcPr>
            <w:tcW w:w="136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功率因数</w:t>
            </w:r>
          </w:p>
        </w:tc>
        <w:tc>
          <w:tcPr>
            <w:tcW w:w="580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≥0.9</w:t>
            </w:r>
          </w:p>
        </w:tc>
      </w:tr>
      <w:tr w:rsidR="00D56B37" w:rsidTr="00C967B6">
        <w:trPr>
          <w:trHeight w:val="564"/>
        </w:trPr>
        <w:tc>
          <w:tcPr>
            <w:tcW w:w="560"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6</w:t>
            </w:r>
          </w:p>
        </w:tc>
        <w:tc>
          <w:tcPr>
            <w:tcW w:w="136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3C认证</w:t>
            </w:r>
          </w:p>
        </w:tc>
        <w:tc>
          <w:tcPr>
            <w:tcW w:w="580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必须提供</w:t>
            </w:r>
          </w:p>
        </w:tc>
      </w:tr>
      <w:tr w:rsidR="00D56B37" w:rsidTr="00C967B6">
        <w:trPr>
          <w:trHeight w:val="564"/>
        </w:trPr>
        <w:tc>
          <w:tcPr>
            <w:tcW w:w="560"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7</w:t>
            </w:r>
          </w:p>
        </w:tc>
        <w:tc>
          <w:tcPr>
            <w:tcW w:w="136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效率</w:t>
            </w:r>
          </w:p>
        </w:tc>
        <w:tc>
          <w:tcPr>
            <w:tcW w:w="580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≥90%</w:t>
            </w:r>
          </w:p>
        </w:tc>
      </w:tr>
      <w:tr w:rsidR="00D56B37" w:rsidTr="00C967B6">
        <w:trPr>
          <w:trHeight w:val="564"/>
        </w:trPr>
        <w:tc>
          <w:tcPr>
            <w:tcW w:w="560" w:type="dxa"/>
            <w:vMerge w:val="restart"/>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8</w:t>
            </w:r>
          </w:p>
        </w:tc>
        <w:tc>
          <w:tcPr>
            <w:tcW w:w="1369" w:type="dxa"/>
            <w:vMerge w:val="restart"/>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防护等级</w:t>
            </w:r>
          </w:p>
        </w:tc>
        <w:tc>
          <w:tcPr>
            <w:tcW w:w="580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输出额定功率≤600W的驱动电源防护等级为IP67</w:t>
            </w:r>
          </w:p>
        </w:tc>
      </w:tr>
      <w:tr w:rsidR="00D56B37" w:rsidTr="00C967B6">
        <w:trPr>
          <w:trHeight w:val="564"/>
        </w:trPr>
        <w:tc>
          <w:tcPr>
            <w:tcW w:w="560" w:type="dxa"/>
            <w:vMerge/>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p>
        </w:tc>
        <w:tc>
          <w:tcPr>
            <w:tcW w:w="1369" w:type="dxa"/>
            <w:vMerge/>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p>
        </w:tc>
        <w:tc>
          <w:tcPr>
            <w:tcW w:w="580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输出额定功率＞600W的驱动电源为非防水电源</w:t>
            </w:r>
          </w:p>
        </w:tc>
      </w:tr>
      <w:tr w:rsidR="00D56B37" w:rsidTr="00C967B6">
        <w:trPr>
          <w:trHeight w:val="584"/>
        </w:trPr>
        <w:tc>
          <w:tcPr>
            <w:tcW w:w="560"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lastRenderedPageBreak/>
              <w:t>9</w:t>
            </w:r>
          </w:p>
        </w:tc>
        <w:tc>
          <w:tcPr>
            <w:tcW w:w="136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电磁兼容</w:t>
            </w:r>
          </w:p>
        </w:tc>
        <w:tc>
          <w:tcPr>
            <w:tcW w:w="5809" w:type="dxa"/>
            <w:shd w:val="clear" w:color="auto" w:fill="auto"/>
            <w:vAlign w:val="center"/>
          </w:tcPr>
          <w:p w:rsidR="00D56B37" w:rsidRDefault="00D56B37"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合格</w:t>
            </w:r>
          </w:p>
        </w:tc>
      </w:tr>
    </w:tbl>
    <w:p w:rsidR="00D56B37" w:rsidRDefault="00D56B37" w:rsidP="00A730D3">
      <w:pPr>
        <w:pStyle w:val="3"/>
        <w:numPr>
          <w:ilvl w:val="0"/>
          <w:numId w:val="17"/>
        </w:numPr>
        <w:spacing w:before="0" w:after="0" w:line="360" w:lineRule="auto"/>
        <w:ind w:hanging="5"/>
        <w:jc w:val="left"/>
        <w:rPr>
          <w:rFonts w:ascii="仿宋_GB2312" w:eastAsia="仿宋_GB2312" w:hAnsi="仿宋_GB2312" w:cs="仿宋_GB2312"/>
          <w:sz w:val="21"/>
          <w:szCs w:val="21"/>
        </w:rPr>
      </w:pPr>
      <w:bookmarkStart w:id="28" w:name="_Toc7509"/>
      <w:r>
        <w:rPr>
          <w:rFonts w:ascii="仿宋_GB2312" w:eastAsia="仿宋_GB2312" w:hAnsi="仿宋_GB2312" w:cs="仿宋_GB2312" w:hint="eastAsia"/>
          <w:sz w:val="21"/>
          <w:szCs w:val="21"/>
        </w:rPr>
        <w:t>驱动电源技术要求</w:t>
      </w:r>
      <w:bookmarkEnd w:id="28"/>
    </w:p>
    <w:p w:rsidR="00D56B37" w:rsidRDefault="00D56B37" w:rsidP="00A730D3">
      <w:pPr>
        <w:numPr>
          <w:ilvl w:val="0"/>
          <w:numId w:val="18"/>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品牌推荐使用“台湾明纬（MEAN WELL）”、“茂硕”、“英飞特”、“欧司朗（OSRAM）”、“飞利浦（PHILIPS）”、“创联”电源；</w:t>
      </w:r>
    </w:p>
    <w:p w:rsidR="00D56B37" w:rsidRDefault="00D56B37" w:rsidP="00A730D3">
      <w:pPr>
        <w:numPr>
          <w:ilvl w:val="0"/>
          <w:numId w:val="18"/>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详细参数输入电压标明为220V的灯具为内置驱动电源。详细参数未标明输入电压或标明为安全电压（≤36V）的灯具为外置恒压驱动电源集中供电。</w:t>
      </w:r>
    </w:p>
    <w:p w:rsidR="00D56B37" w:rsidRDefault="00D56B37" w:rsidP="00A730D3">
      <w:pPr>
        <w:numPr>
          <w:ilvl w:val="0"/>
          <w:numId w:val="18"/>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电源必须符合国家相关标准。小于70W的灯具必须配置恒压驱动电源。所有LED灯具必须结合现场安装条件配置适当的防水驱动电源（含内置电源），电源功率及数量由业主根据现场安装条件确定，电源的价格含在灯具总价中。电源数量不作为影响灯具价格的因素。根据具体灯具要求配置内置或外置。该电源必须为灯具标配，不得随意更换。</w:t>
      </w:r>
    </w:p>
    <w:p w:rsidR="00D56B37" w:rsidRDefault="00D56B37" w:rsidP="00A730D3">
      <w:pPr>
        <w:numPr>
          <w:ilvl w:val="0"/>
          <w:numId w:val="18"/>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外置驱动电源、内置外露驱动电源应考虑</w:t>
      </w:r>
      <w:proofErr w:type="gramStart"/>
      <w:r>
        <w:rPr>
          <w:rFonts w:ascii="仿宋_GB2312" w:eastAsia="仿宋_GB2312" w:hAnsi="仿宋_GB2312" w:cs="仿宋_GB2312" w:hint="eastAsia"/>
          <w:sz w:val="21"/>
          <w:szCs w:val="21"/>
        </w:rPr>
        <w:t>一</w:t>
      </w:r>
      <w:proofErr w:type="gramEnd"/>
      <w:r>
        <w:rPr>
          <w:rFonts w:ascii="仿宋_GB2312" w:eastAsia="仿宋_GB2312" w:hAnsi="仿宋_GB2312" w:cs="仿宋_GB2312" w:hint="eastAsia"/>
          <w:sz w:val="21"/>
          <w:szCs w:val="21"/>
        </w:rPr>
        <w:t>体式防水和散热。</w:t>
      </w:r>
    </w:p>
    <w:p w:rsidR="00D56B37" w:rsidRDefault="00D56B37" w:rsidP="00A730D3">
      <w:pPr>
        <w:numPr>
          <w:ilvl w:val="0"/>
          <w:numId w:val="18"/>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单颗芯片功率不小于1W的大功率LED灯具电源要有过载过压短路保护，自动温控保护。</w:t>
      </w:r>
    </w:p>
    <w:p w:rsidR="00D56B37" w:rsidRDefault="00D56B37" w:rsidP="00A730D3">
      <w:pPr>
        <w:numPr>
          <w:ilvl w:val="0"/>
          <w:numId w:val="18"/>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外置电源集中供电时，所提供的电源必须满足现场实际安装需要，每个电源的功率根据现场条件，由设计及业主确定。</w:t>
      </w:r>
    </w:p>
    <w:p w:rsidR="00D56B37" w:rsidRDefault="00D56B37" w:rsidP="00A730D3">
      <w:pPr>
        <w:numPr>
          <w:ilvl w:val="0"/>
          <w:numId w:val="18"/>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外置驱动电源：输入交流电压220VAC，输出直流电压24V/12V/48V恒压（以灯具技术参数为准）；输入输出引出线长不低于0.3米。防护等级IP67。防雷等级线对线4KV、线对地6KV。无风扇设计，自然风冷。功率小于36W的驱动电源效率不低于85%，功率大于36W的驱动电源效率不低于90%，有短路、过电流、过电压、过温度保护。功率因素不小于90%，安</w:t>
      </w:r>
      <w:proofErr w:type="gramStart"/>
      <w:r>
        <w:rPr>
          <w:rFonts w:ascii="仿宋_GB2312" w:eastAsia="仿宋_GB2312" w:hAnsi="仿宋_GB2312" w:cs="仿宋_GB2312" w:hint="eastAsia"/>
          <w:sz w:val="21"/>
          <w:szCs w:val="21"/>
        </w:rPr>
        <w:t>规</w:t>
      </w:r>
      <w:proofErr w:type="gramEnd"/>
      <w:r>
        <w:rPr>
          <w:rFonts w:ascii="仿宋_GB2312" w:eastAsia="仿宋_GB2312" w:hAnsi="仿宋_GB2312" w:cs="仿宋_GB2312" w:hint="eastAsia"/>
          <w:sz w:val="21"/>
          <w:szCs w:val="21"/>
        </w:rPr>
        <w:t>和电磁兼容符合相关国家、国际标准。</w:t>
      </w:r>
    </w:p>
    <w:p w:rsidR="00D56B37" w:rsidRDefault="00D56B37" w:rsidP="00A730D3">
      <w:pPr>
        <w:numPr>
          <w:ilvl w:val="0"/>
          <w:numId w:val="18"/>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外置驱动电源在电源箱内设置数量3~6个，在干燥、潮湿、淋雨环境下工作温度为-20℃~+60℃，潮湿环境为20~90%RH，质保期不小于5年。</w:t>
      </w:r>
    </w:p>
    <w:p w:rsidR="00D56B37" w:rsidRPr="00D56B37" w:rsidRDefault="00D56B37" w:rsidP="00D56B37">
      <w:pPr>
        <w:spacing w:line="360" w:lineRule="auto"/>
        <w:rPr>
          <w:rFonts w:eastAsia="宋体"/>
          <w:b/>
          <w:bCs/>
          <w:color w:val="000000"/>
          <w:spacing w:val="0"/>
          <w:sz w:val="28"/>
          <w:szCs w:val="28"/>
        </w:rPr>
      </w:pPr>
      <w:r>
        <w:rPr>
          <w:rFonts w:eastAsia="宋体" w:hint="eastAsia"/>
          <w:b/>
          <w:bCs/>
          <w:color w:val="000000"/>
          <w:spacing w:val="0"/>
          <w:sz w:val="28"/>
          <w:szCs w:val="28"/>
        </w:rPr>
        <w:t>（四）</w:t>
      </w:r>
      <w:r w:rsidRPr="00D56B37">
        <w:rPr>
          <w:rFonts w:eastAsia="宋体" w:hint="eastAsia"/>
          <w:b/>
          <w:bCs/>
          <w:color w:val="000000"/>
          <w:spacing w:val="0"/>
          <w:sz w:val="28"/>
          <w:szCs w:val="28"/>
        </w:rPr>
        <w:t>灯具附属控制系统技术通则</w:t>
      </w:r>
    </w:p>
    <w:p w:rsidR="00D56B37" w:rsidRDefault="00D56B37" w:rsidP="00A730D3">
      <w:pPr>
        <w:pStyle w:val="3"/>
        <w:numPr>
          <w:ilvl w:val="0"/>
          <w:numId w:val="19"/>
        </w:numPr>
        <w:spacing w:before="0" w:after="0" w:line="360" w:lineRule="auto"/>
        <w:ind w:hanging="5"/>
        <w:jc w:val="left"/>
        <w:rPr>
          <w:rFonts w:ascii="仿宋_GB2312" w:eastAsia="仿宋_GB2312" w:hAnsi="仿宋_GB2312" w:cs="仿宋_GB2312"/>
          <w:sz w:val="21"/>
          <w:szCs w:val="21"/>
        </w:rPr>
      </w:pPr>
      <w:bookmarkStart w:id="29" w:name="_Toc14069"/>
      <w:r>
        <w:rPr>
          <w:rFonts w:ascii="仿宋_GB2312" w:eastAsia="仿宋_GB2312" w:hAnsi="仿宋_GB2312" w:cs="仿宋_GB2312" w:hint="eastAsia"/>
          <w:sz w:val="21"/>
          <w:szCs w:val="21"/>
        </w:rPr>
        <w:t>说明</w:t>
      </w:r>
      <w:bookmarkEnd w:id="29"/>
    </w:p>
    <w:p w:rsidR="00D56B37" w:rsidRDefault="00D56B37"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技术文件详参有规定的，按详</w:t>
      </w:r>
      <w:proofErr w:type="gramStart"/>
      <w:r>
        <w:rPr>
          <w:rFonts w:ascii="仿宋_GB2312" w:eastAsia="仿宋_GB2312" w:hAnsi="仿宋_GB2312" w:cs="仿宋_GB2312" w:hint="eastAsia"/>
          <w:sz w:val="21"/>
          <w:szCs w:val="21"/>
        </w:rPr>
        <w:t>参规定</w:t>
      </w:r>
      <w:proofErr w:type="gramEnd"/>
      <w:r>
        <w:rPr>
          <w:rFonts w:ascii="仿宋_GB2312" w:eastAsia="仿宋_GB2312" w:hAnsi="仿宋_GB2312" w:cs="仿宋_GB2312" w:hint="eastAsia"/>
          <w:sz w:val="21"/>
          <w:szCs w:val="21"/>
        </w:rPr>
        <w:t>执行，没有详</w:t>
      </w:r>
      <w:proofErr w:type="gramStart"/>
      <w:r>
        <w:rPr>
          <w:rFonts w:ascii="仿宋_GB2312" w:eastAsia="仿宋_GB2312" w:hAnsi="仿宋_GB2312" w:cs="仿宋_GB2312" w:hint="eastAsia"/>
          <w:sz w:val="21"/>
          <w:szCs w:val="21"/>
        </w:rPr>
        <w:t>参规定</w:t>
      </w:r>
      <w:proofErr w:type="gramEnd"/>
      <w:r>
        <w:rPr>
          <w:rFonts w:ascii="仿宋_GB2312" w:eastAsia="仿宋_GB2312" w:hAnsi="仿宋_GB2312" w:cs="仿宋_GB2312" w:hint="eastAsia"/>
          <w:sz w:val="21"/>
          <w:szCs w:val="21"/>
        </w:rPr>
        <w:t>的，按照本通则执行。</w:t>
      </w:r>
    </w:p>
    <w:p w:rsidR="00D56B37" w:rsidRDefault="00D56B37" w:rsidP="00A730D3">
      <w:pPr>
        <w:spacing w:line="360" w:lineRule="auto"/>
        <w:ind w:firstLineChars="200" w:firstLine="342"/>
        <w:rPr>
          <w:rFonts w:ascii="仿宋_GB2312" w:eastAsia="仿宋_GB2312" w:hAnsi="仿宋_GB2312" w:cs="仿宋_GB2312"/>
          <w:b/>
          <w:bCs/>
          <w:szCs w:val="21"/>
          <w:u w:val="single"/>
        </w:rPr>
      </w:pPr>
      <w:r>
        <w:rPr>
          <w:rFonts w:ascii="仿宋_GB2312" w:eastAsia="仿宋_GB2312" w:hAnsi="仿宋_GB2312" w:cs="仿宋_GB2312" w:hint="eastAsia"/>
          <w:b/>
          <w:bCs/>
          <w:sz w:val="21"/>
          <w:szCs w:val="21"/>
          <w:u w:val="single"/>
        </w:rPr>
        <w:t>灯具要求有动态变化的，必须配置符合采购文件要求的控制系统及其所有附件，价格含在灯具中。</w:t>
      </w:r>
    </w:p>
    <w:p w:rsidR="00D56B37" w:rsidRDefault="00D56B37"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中标单位必须依据设计施工图纸和技术文件要求，本工程项目的材料、设备、施工必须达到现行中华人民共</w:t>
      </w:r>
      <w:r>
        <w:rPr>
          <w:rFonts w:ascii="仿宋_GB2312" w:eastAsia="仿宋_GB2312" w:hAnsi="仿宋_GB2312" w:cs="仿宋_GB2312" w:hint="eastAsia"/>
          <w:sz w:val="21"/>
          <w:szCs w:val="21"/>
        </w:rPr>
        <w:lastRenderedPageBreak/>
        <w:t>和国及省、市、行业的一切有关法规、规范的要求，如设计施工图纸、技术文件、标准及规范要求有出入则以较严格者为准。</w:t>
      </w:r>
    </w:p>
    <w:p w:rsidR="00D56B37" w:rsidRDefault="00D56B37"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下列技术参数为各类综合控制系统的总体要求，中标单位应根据所投灯具的情况，按照控制系统不同控制要求合理配置。</w:t>
      </w:r>
    </w:p>
    <w:p w:rsidR="00D56B37" w:rsidRDefault="00D56B37" w:rsidP="00A730D3">
      <w:pPr>
        <w:pStyle w:val="3"/>
        <w:numPr>
          <w:ilvl w:val="0"/>
          <w:numId w:val="19"/>
        </w:numPr>
        <w:spacing w:before="0" w:after="0" w:line="360" w:lineRule="auto"/>
        <w:ind w:hanging="5"/>
        <w:jc w:val="left"/>
        <w:rPr>
          <w:rFonts w:ascii="仿宋_GB2312" w:eastAsia="仿宋_GB2312" w:hAnsi="仿宋_GB2312" w:cs="仿宋_GB2312"/>
          <w:sz w:val="21"/>
          <w:szCs w:val="21"/>
        </w:rPr>
      </w:pPr>
      <w:bookmarkStart w:id="30" w:name="_Toc8710"/>
      <w:r>
        <w:rPr>
          <w:rFonts w:ascii="仿宋_GB2312" w:eastAsia="仿宋_GB2312" w:hAnsi="仿宋_GB2312" w:cs="仿宋_GB2312" w:hint="eastAsia"/>
          <w:sz w:val="21"/>
          <w:szCs w:val="21"/>
        </w:rPr>
        <w:t>通信网络技术要求</w:t>
      </w:r>
      <w:bookmarkEnd w:id="30"/>
    </w:p>
    <w:p w:rsidR="00D56B37" w:rsidRDefault="00D56B37" w:rsidP="00A730D3">
      <w:pPr>
        <w:numPr>
          <w:ilvl w:val="1"/>
          <w:numId w:val="20"/>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网络架构采用VPN专线方式，具有独立网络安全防范能力。</w:t>
      </w:r>
    </w:p>
    <w:p w:rsidR="00D56B37" w:rsidRDefault="00D56B37" w:rsidP="00A730D3">
      <w:pPr>
        <w:numPr>
          <w:ilvl w:val="1"/>
          <w:numId w:val="20"/>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各网关接口具有独立IP地址。</w:t>
      </w:r>
    </w:p>
    <w:p w:rsidR="00D56B37" w:rsidRDefault="00D56B37" w:rsidP="00A730D3">
      <w:pPr>
        <w:numPr>
          <w:ilvl w:val="1"/>
          <w:numId w:val="20"/>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信号传输方式：控制器联机信号接口和信号传输协议是TCP/IP。</w:t>
      </w:r>
    </w:p>
    <w:p w:rsidR="00D56B37" w:rsidRDefault="00D56B37" w:rsidP="00A730D3">
      <w:pPr>
        <w:numPr>
          <w:ilvl w:val="1"/>
          <w:numId w:val="20"/>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网络传输采用有线或4G两种方式。</w:t>
      </w:r>
    </w:p>
    <w:p w:rsidR="00D56B37" w:rsidRDefault="00D56B37" w:rsidP="00A730D3">
      <w:pPr>
        <w:numPr>
          <w:ilvl w:val="0"/>
          <w:numId w:val="21"/>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主体建筑及主要景观节点必须使用有线的传输方式，时延＜50ms；</w:t>
      </w:r>
    </w:p>
    <w:p w:rsidR="00D56B37" w:rsidRDefault="00D56B37" w:rsidP="00A730D3">
      <w:pPr>
        <w:numPr>
          <w:ilvl w:val="0"/>
          <w:numId w:val="21"/>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在无法敷设光纤的区域，且能够保证信号强度前提下，可以使用4G。为了保证网络质量，4G需满足以下要求：在设备接入点7*24小时监测情况下，吞吐量≥10M，时延＜100ms，丢包率≤0.1%。</w:t>
      </w:r>
    </w:p>
    <w:p w:rsidR="00D56B37" w:rsidRDefault="00D56B37" w:rsidP="00A730D3">
      <w:pPr>
        <w:numPr>
          <w:ilvl w:val="1"/>
          <w:numId w:val="20"/>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网络流量和接入速率要求：主控端光纤接入速率≥100Mbps；</w:t>
      </w:r>
      <w:proofErr w:type="gramStart"/>
      <w:r>
        <w:rPr>
          <w:rFonts w:ascii="仿宋_GB2312" w:eastAsia="仿宋_GB2312" w:hAnsi="仿宋_GB2312" w:cs="仿宋_GB2312" w:hint="eastAsia"/>
          <w:sz w:val="21"/>
          <w:szCs w:val="21"/>
        </w:rPr>
        <w:t>分控端网络</w:t>
      </w:r>
      <w:proofErr w:type="gramEnd"/>
      <w:r>
        <w:rPr>
          <w:rFonts w:ascii="仿宋_GB2312" w:eastAsia="仿宋_GB2312" w:hAnsi="仿宋_GB2312" w:cs="仿宋_GB2312" w:hint="eastAsia"/>
          <w:sz w:val="21"/>
          <w:szCs w:val="21"/>
        </w:rPr>
        <w:t>接入速率≥10Mbps；仅含开关控制的节点</w:t>
      </w:r>
      <w:proofErr w:type="gramStart"/>
      <w:r>
        <w:rPr>
          <w:rFonts w:ascii="仿宋_GB2312" w:eastAsia="仿宋_GB2312" w:hAnsi="仿宋_GB2312" w:cs="仿宋_GB2312" w:hint="eastAsia"/>
          <w:sz w:val="21"/>
          <w:szCs w:val="21"/>
        </w:rPr>
        <w:t>分控端网络</w:t>
      </w:r>
      <w:proofErr w:type="gramEnd"/>
      <w:r>
        <w:rPr>
          <w:rFonts w:ascii="仿宋_GB2312" w:eastAsia="仿宋_GB2312" w:hAnsi="仿宋_GB2312" w:cs="仿宋_GB2312" w:hint="eastAsia"/>
          <w:sz w:val="21"/>
          <w:szCs w:val="21"/>
        </w:rPr>
        <w:t>接入速率≥2Mbps。</w:t>
      </w:r>
    </w:p>
    <w:p w:rsidR="00D56B37" w:rsidRDefault="00D56B37" w:rsidP="00A730D3">
      <w:pPr>
        <w:numPr>
          <w:ilvl w:val="1"/>
          <w:numId w:val="20"/>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采用4G时，参考值：RSRP值优于-80dbm，SINR值优于10。</w:t>
      </w:r>
    </w:p>
    <w:p w:rsidR="00D56B37" w:rsidRDefault="00D56B37" w:rsidP="00A730D3">
      <w:pPr>
        <w:pStyle w:val="3"/>
        <w:numPr>
          <w:ilvl w:val="0"/>
          <w:numId w:val="19"/>
        </w:numPr>
        <w:spacing w:before="0" w:after="0" w:line="360" w:lineRule="auto"/>
        <w:ind w:hanging="5"/>
        <w:jc w:val="left"/>
        <w:rPr>
          <w:rFonts w:ascii="仿宋_GB2312" w:eastAsia="仿宋_GB2312" w:hAnsi="仿宋_GB2312" w:cs="仿宋_GB2312"/>
          <w:sz w:val="21"/>
          <w:szCs w:val="21"/>
        </w:rPr>
      </w:pPr>
      <w:bookmarkStart w:id="31" w:name="_Toc237"/>
      <w:r>
        <w:rPr>
          <w:rFonts w:ascii="仿宋_GB2312" w:eastAsia="仿宋_GB2312" w:hAnsi="仿宋_GB2312" w:cs="仿宋_GB2312" w:hint="eastAsia"/>
          <w:sz w:val="21"/>
          <w:szCs w:val="21"/>
        </w:rPr>
        <w:t>基本要求</w:t>
      </w:r>
      <w:bookmarkEnd w:id="31"/>
    </w:p>
    <w:p w:rsidR="00D56B37" w:rsidRDefault="00D56B37" w:rsidP="00A730D3">
      <w:pPr>
        <w:numPr>
          <w:ilvl w:val="0"/>
          <w:numId w:val="22"/>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效果相关功能要求：</w:t>
      </w:r>
    </w:p>
    <w:p w:rsidR="00D56B37" w:rsidRDefault="00D56B37" w:rsidP="00A730D3">
      <w:pPr>
        <w:numPr>
          <w:ilvl w:val="0"/>
          <w:numId w:val="23"/>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统一开关：通过网络连接，实现统一开关灯，统一动画播放的开启；</w:t>
      </w:r>
    </w:p>
    <w:p w:rsidR="00D56B37" w:rsidRDefault="00D56B37" w:rsidP="00A730D3">
      <w:pPr>
        <w:numPr>
          <w:ilvl w:val="0"/>
          <w:numId w:val="23"/>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场景模式调整：根据设计场景需求调换各种模式；</w:t>
      </w:r>
    </w:p>
    <w:p w:rsidR="00D56B37" w:rsidRDefault="00D56B37" w:rsidP="00A730D3">
      <w:pPr>
        <w:numPr>
          <w:ilvl w:val="0"/>
          <w:numId w:val="23"/>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日程设置：根据不同季节时令，调整开启时间和流程；</w:t>
      </w:r>
    </w:p>
    <w:p w:rsidR="00D56B37" w:rsidRDefault="00D56B37" w:rsidP="00A730D3">
      <w:pPr>
        <w:numPr>
          <w:ilvl w:val="0"/>
          <w:numId w:val="23"/>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节目动画内容更改：节目动画片源的自动切分与下发，储存多套节目，根据需求调用节目；</w:t>
      </w:r>
    </w:p>
    <w:p w:rsidR="00D56B37" w:rsidRDefault="00D56B37" w:rsidP="00A730D3">
      <w:pPr>
        <w:numPr>
          <w:ilvl w:val="0"/>
          <w:numId w:val="23"/>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远程控制：应急需求时，可一键式关停；</w:t>
      </w:r>
    </w:p>
    <w:p w:rsidR="00D56B37" w:rsidRDefault="00D56B37" w:rsidP="00A730D3">
      <w:pPr>
        <w:numPr>
          <w:ilvl w:val="0"/>
          <w:numId w:val="23"/>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开放性和多元集成：总控制系统具备一定开放性，可集成舞台灯光设备、投影设备、水雾系统、互动系统等各子系统，在总控</w:t>
      </w:r>
      <w:proofErr w:type="gramStart"/>
      <w:r>
        <w:rPr>
          <w:rFonts w:ascii="仿宋_GB2312" w:eastAsia="仿宋_GB2312" w:hAnsi="仿宋_GB2312" w:cs="仿宋_GB2312" w:hint="eastAsia"/>
          <w:sz w:val="21"/>
          <w:szCs w:val="21"/>
        </w:rPr>
        <w:t>端具备</w:t>
      </w:r>
      <w:proofErr w:type="gramEnd"/>
      <w:r>
        <w:rPr>
          <w:rFonts w:ascii="仿宋_GB2312" w:eastAsia="仿宋_GB2312" w:hAnsi="仿宋_GB2312" w:cs="仿宋_GB2312" w:hint="eastAsia"/>
          <w:sz w:val="21"/>
          <w:szCs w:val="21"/>
        </w:rPr>
        <w:t>对各子系统节目的更改、调用、配置等功能。</w:t>
      </w:r>
    </w:p>
    <w:p w:rsidR="00D56B37" w:rsidRDefault="00D56B37" w:rsidP="00A730D3">
      <w:pPr>
        <w:numPr>
          <w:ilvl w:val="0"/>
          <w:numId w:val="23"/>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lastRenderedPageBreak/>
        <w:t>与各品牌灯具的兼容性：项目中涉及多类型、多品牌的灯具，控制系统应具备与各家灯具产品的兼容性。</w:t>
      </w:r>
    </w:p>
    <w:p w:rsidR="00D56B37" w:rsidRDefault="00D56B37" w:rsidP="00A730D3">
      <w:pPr>
        <w:numPr>
          <w:ilvl w:val="0"/>
          <w:numId w:val="22"/>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管理相关功能要求：</w:t>
      </w:r>
    </w:p>
    <w:p w:rsidR="00D56B37" w:rsidRDefault="00D56B37" w:rsidP="00A730D3">
      <w:pPr>
        <w:numPr>
          <w:ilvl w:val="0"/>
          <w:numId w:val="24"/>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权限管理：登录账户的管理，分配使用权限的管理功能；</w:t>
      </w:r>
    </w:p>
    <w:p w:rsidR="00D56B37" w:rsidRDefault="00D56B37" w:rsidP="00A730D3">
      <w:pPr>
        <w:numPr>
          <w:ilvl w:val="0"/>
          <w:numId w:val="24"/>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数据管理：运行、检测等数据储存、统计、报表生成；</w:t>
      </w:r>
    </w:p>
    <w:p w:rsidR="00D56B37" w:rsidRDefault="00D56B37" w:rsidP="00A730D3">
      <w:pPr>
        <w:numPr>
          <w:ilvl w:val="0"/>
          <w:numId w:val="24"/>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检测管理（建议项）：实时数据采集（电压、电流等）、设备状态采集、网络信息、传感器、摄像头视频采集、报警管理（报警记录、通知）等。</w:t>
      </w:r>
    </w:p>
    <w:p w:rsidR="00D56B37" w:rsidRDefault="00D56B37" w:rsidP="00A730D3">
      <w:pPr>
        <w:pStyle w:val="3"/>
        <w:numPr>
          <w:ilvl w:val="0"/>
          <w:numId w:val="19"/>
        </w:numPr>
        <w:spacing w:before="0" w:after="0" w:line="360" w:lineRule="auto"/>
        <w:ind w:hanging="5"/>
        <w:jc w:val="left"/>
        <w:rPr>
          <w:rFonts w:ascii="仿宋_GB2312" w:eastAsia="仿宋_GB2312" w:hAnsi="仿宋_GB2312" w:cs="仿宋_GB2312"/>
          <w:sz w:val="21"/>
          <w:szCs w:val="21"/>
        </w:rPr>
      </w:pPr>
      <w:bookmarkStart w:id="32" w:name="_Toc31641"/>
      <w:r>
        <w:rPr>
          <w:rFonts w:ascii="仿宋_GB2312" w:eastAsia="仿宋_GB2312" w:hAnsi="仿宋_GB2312" w:cs="仿宋_GB2312" w:hint="eastAsia"/>
          <w:sz w:val="21"/>
          <w:szCs w:val="21"/>
        </w:rPr>
        <w:t>系统运行基本要求</w:t>
      </w:r>
      <w:bookmarkEnd w:id="32"/>
    </w:p>
    <w:p w:rsidR="00D56B37" w:rsidRDefault="00D56B37" w:rsidP="00A730D3">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 w:val="21"/>
          <w:szCs w:val="21"/>
        </w:rPr>
        <w:t>1标准化</w:t>
      </w:r>
    </w:p>
    <w:p w:rsidR="00D56B37" w:rsidRDefault="00D56B37" w:rsidP="00A730D3">
      <w:pPr>
        <w:pStyle w:val="12"/>
        <w:numPr>
          <w:ilvl w:val="0"/>
          <w:numId w:val="25"/>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数据模型设计遵循业主管理中心统一标准；</w:t>
      </w:r>
    </w:p>
    <w:p w:rsidR="00D56B37" w:rsidRDefault="00D56B37" w:rsidP="00A730D3">
      <w:pPr>
        <w:pStyle w:val="12"/>
        <w:numPr>
          <w:ilvl w:val="0"/>
          <w:numId w:val="25"/>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系统间接口遵循业主管理中心制定的统一接口标准。</w:t>
      </w:r>
    </w:p>
    <w:p w:rsidR="00D56B37" w:rsidRDefault="00D56B37" w:rsidP="00A730D3">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 w:val="21"/>
          <w:szCs w:val="21"/>
        </w:rPr>
        <w:t>2可靠性</w:t>
      </w:r>
    </w:p>
    <w:p w:rsidR="00D56B37" w:rsidRDefault="00D56B37" w:rsidP="00A730D3">
      <w:pPr>
        <w:pStyle w:val="12"/>
        <w:numPr>
          <w:ilvl w:val="0"/>
          <w:numId w:val="26"/>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总控系统的关键节点应采用合适的冗余策略，在运行过程中不应出现操作失效、数据丢失或数据不一致的情况；</w:t>
      </w:r>
    </w:p>
    <w:p w:rsidR="00D56B37" w:rsidRDefault="00D56B37" w:rsidP="00A730D3">
      <w:pPr>
        <w:pStyle w:val="12"/>
        <w:numPr>
          <w:ilvl w:val="0"/>
          <w:numId w:val="26"/>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对于配置了集群的系统具备集群失效时正常运行的能力；</w:t>
      </w:r>
    </w:p>
    <w:p w:rsidR="00D56B37" w:rsidRDefault="00D56B37" w:rsidP="00A730D3">
      <w:pPr>
        <w:pStyle w:val="12"/>
        <w:numPr>
          <w:ilvl w:val="0"/>
          <w:numId w:val="26"/>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系统不得因商用数据库的失效而中断运行。</w:t>
      </w:r>
    </w:p>
    <w:p w:rsidR="00D56B37" w:rsidRDefault="00D56B37" w:rsidP="00A730D3">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 w:val="21"/>
          <w:szCs w:val="21"/>
        </w:rPr>
        <w:t>3安全性要求</w:t>
      </w:r>
    </w:p>
    <w:p w:rsidR="00D56B37" w:rsidRDefault="00D56B37" w:rsidP="00A730D3">
      <w:pPr>
        <w:pStyle w:val="12"/>
        <w:numPr>
          <w:ilvl w:val="0"/>
          <w:numId w:val="27"/>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系统应采取严格的措施来确保各项操作的安全性，具有完善的权限管理机制，防止未授权用户非法访问系统、非法获取信息或进行非法操作，确保数据信息的安全。</w:t>
      </w:r>
    </w:p>
    <w:p w:rsidR="00D56B37" w:rsidRDefault="00D56B37" w:rsidP="00A730D3">
      <w:pPr>
        <w:pStyle w:val="12"/>
        <w:numPr>
          <w:ilvl w:val="0"/>
          <w:numId w:val="27"/>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数据通信采取加密方式，防止数据被截获、破解。</w:t>
      </w:r>
    </w:p>
    <w:p w:rsidR="00D56B37" w:rsidRDefault="00D56B37" w:rsidP="00A730D3">
      <w:pPr>
        <w:spacing w:line="360" w:lineRule="auto"/>
        <w:ind w:left="4" w:firstLine="416"/>
        <w:rPr>
          <w:rFonts w:ascii="仿宋_GB2312" w:eastAsia="仿宋_GB2312" w:hAnsi="仿宋_GB2312" w:cs="仿宋_GB2312"/>
          <w:szCs w:val="21"/>
        </w:rPr>
      </w:pPr>
      <w:r>
        <w:rPr>
          <w:rFonts w:ascii="仿宋_GB2312" w:eastAsia="仿宋_GB2312" w:hAnsi="仿宋_GB2312" w:cs="仿宋_GB2312" w:hint="eastAsia"/>
          <w:sz w:val="21"/>
          <w:szCs w:val="21"/>
        </w:rPr>
        <w:t>4实时性要求：系统必须保证数据采集、处理、传输、显示，报警、执行控制命令的实时性，满足景观照明运营要求。</w:t>
      </w:r>
    </w:p>
    <w:p w:rsidR="00D56B37" w:rsidRDefault="00D56B37" w:rsidP="00A730D3">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 w:val="21"/>
          <w:szCs w:val="21"/>
        </w:rPr>
        <w:t>5实用性要求</w:t>
      </w:r>
    </w:p>
    <w:p w:rsidR="00D56B37" w:rsidRDefault="00D56B37" w:rsidP="00A730D3">
      <w:pPr>
        <w:pStyle w:val="12"/>
        <w:numPr>
          <w:ilvl w:val="0"/>
          <w:numId w:val="28"/>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应具备正常运行模式和紧急运行模式；</w:t>
      </w:r>
    </w:p>
    <w:p w:rsidR="00D56B37" w:rsidRDefault="00D56B37" w:rsidP="00A730D3">
      <w:pPr>
        <w:pStyle w:val="12"/>
        <w:numPr>
          <w:ilvl w:val="0"/>
          <w:numId w:val="28"/>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应具备完善、实用的各集成互连系统联动功能；</w:t>
      </w:r>
    </w:p>
    <w:p w:rsidR="00D56B37" w:rsidRDefault="00D56B37" w:rsidP="00A730D3">
      <w:pPr>
        <w:pStyle w:val="12"/>
        <w:numPr>
          <w:ilvl w:val="0"/>
          <w:numId w:val="28"/>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应具有报警管理功能，报警可分级配置、可过滤；</w:t>
      </w:r>
    </w:p>
    <w:p w:rsidR="00D56B37" w:rsidRDefault="00D56B37" w:rsidP="00A730D3">
      <w:pPr>
        <w:pStyle w:val="12"/>
        <w:numPr>
          <w:ilvl w:val="0"/>
          <w:numId w:val="28"/>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应具有完善的历史数据记录、分类、查询、转储、显示、统计分析等管理功能；</w:t>
      </w:r>
    </w:p>
    <w:p w:rsidR="00D56B37" w:rsidRDefault="00D56B37" w:rsidP="00A730D3">
      <w:pPr>
        <w:pStyle w:val="12"/>
        <w:numPr>
          <w:ilvl w:val="0"/>
          <w:numId w:val="28"/>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应便于组态、调试；</w:t>
      </w:r>
    </w:p>
    <w:p w:rsidR="00D56B37" w:rsidRDefault="00D56B37" w:rsidP="00A730D3">
      <w:pPr>
        <w:pStyle w:val="12"/>
        <w:numPr>
          <w:ilvl w:val="0"/>
          <w:numId w:val="28"/>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lastRenderedPageBreak/>
        <w:t>应有利于制定合理的运营管理模式，提高景观照明的运营管理水平。</w:t>
      </w:r>
    </w:p>
    <w:p w:rsidR="00D56B37" w:rsidRDefault="00D56B37" w:rsidP="00A730D3">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 w:val="21"/>
          <w:szCs w:val="21"/>
        </w:rPr>
        <w:t>6可维护性要求</w:t>
      </w:r>
    </w:p>
    <w:p w:rsidR="00D56B37" w:rsidRDefault="00D56B37" w:rsidP="00A730D3">
      <w:pPr>
        <w:pStyle w:val="12"/>
        <w:numPr>
          <w:ilvl w:val="0"/>
          <w:numId w:val="29"/>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系统设计应包括有适当的测点及诊断措施，具有自身设备（如计算机、网络设备等）的监视管理系统；</w:t>
      </w:r>
    </w:p>
    <w:p w:rsidR="00D56B37" w:rsidRDefault="00D56B37" w:rsidP="00A730D3">
      <w:pPr>
        <w:pStyle w:val="12"/>
        <w:numPr>
          <w:ilvl w:val="0"/>
          <w:numId w:val="29"/>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应选用统一的、优化的硬件平台，设备标准化，降低维护、维修成本。</w:t>
      </w:r>
    </w:p>
    <w:p w:rsidR="00D56B37" w:rsidRDefault="00D56B37" w:rsidP="00A730D3">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 w:val="21"/>
          <w:szCs w:val="21"/>
        </w:rPr>
        <w:t>7开放性要求</w:t>
      </w:r>
    </w:p>
    <w:p w:rsidR="00D56B37" w:rsidRDefault="00D56B37" w:rsidP="00A730D3">
      <w:pPr>
        <w:pStyle w:val="12"/>
        <w:numPr>
          <w:ilvl w:val="0"/>
          <w:numId w:val="30"/>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系统应提供统一标准接口，支持第三</w:t>
      </w:r>
      <w:proofErr w:type="gramStart"/>
      <w:r>
        <w:rPr>
          <w:rFonts w:ascii="仿宋_GB2312" w:eastAsia="仿宋_GB2312" w:hAnsi="仿宋_GB2312" w:cs="仿宋_GB2312" w:hint="eastAsia"/>
          <w:szCs w:val="21"/>
        </w:rPr>
        <w:t>方应用</w:t>
      </w:r>
      <w:proofErr w:type="gramEnd"/>
      <w:r>
        <w:rPr>
          <w:rFonts w:ascii="仿宋_GB2312" w:eastAsia="仿宋_GB2312" w:hAnsi="仿宋_GB2312" w:cs="仿宋_GB2312" w:hint="eastAsia"/>
          <w:szCs w:val="21"/>
        </w:rPr>
        <w:t>集成；</w:t>
      </w:r>
    </w:p>
    <w:p w:rsidR="00D56B37" w:rsidRDefault="00D56B37" w:rsidP="00A730D3">
      <w:pPr>
        <w:pStyle w:val="12"/>
        <w:numPr>
          <w:ilvl w:val="0"/>
          <w:numId w:val="30"/>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系统应具有良好的软件和硬件在线可扩展性；</w:t>
      </w:r>
    </w:p>
    <w:p w:rsidR="00D56B37" w:rsidRDefault="00D56B37" w:rsidP="00A730D3">
      <w:pPr>
        <w:pStyle w:val="12"/>
        <w:numPr>
          <w:ilvl w:val="0"/>
          <w:numId w:val="30"/>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系统容量可扩充。</w:t>
      </w:r>
    </w:p>
    <w:p w:rsidR="00D56B37" w:rsidRDefault="00D56B37" w:rsidP="00A730D3">
      <w:pPr>
        <w:pStyle w:val="3"/>
        <w:numPr>
          <w:ilvl w:val="0"/>
          <w:numId w:val="19"/>
        </w:numPr>
        <w:spacing w:before="0" w:after="0" w:line="360" w:lineRule="auto"/>
        <w:ind w:hanging="5"/>
        <w:jc w:val="left"/>
        <w:rPr>
          <w:rFonts w:ascii="仿宋_GB2312" w:eastAsia="仿宋_GB2312" w:hAnsi="仿宋_GB2312" w:cs="仿宋_GB2312"/>
          <w:sz w:val="21"/>
          <w:szCs w:val="21"/>
        </w:rPr>
      </w:pPr>
      <w:bookmarkStart w:id="33" w:name="_Toc7776"/>
      <w:r>
        <w:rPr>
          <w:rFonts w:ascii="仿宋_GB2312" w:eastAsia="仿宋_GB2312" w:hAnsi="仿宋_GB2312" w:cs="仿宋_GB2312" w:hint="eastAsia"/>
          <w:sz w:val="21"/>
          <w:szCs w:val="21"/>
        </w:rPr>
        <w:t>弱电变化控制系统</w:t>
      </w:r>
      <w:bookmarkEnd w:id="33"/>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控制系统网络通信协议使用TCP/IP或UDP数据传输方式。</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控制系统采用标准DMX512及DMX512-A控制协议。</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主控系统支持双机备份功能。</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 xml:space="preserve">主控制器具备≥200万个像素（RGB）控制能力。 </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软硬件设备具备连接其他设备的相应接口。</w:t>
      </w:r>
    </w:p>
    <w:p w:rsidR="00D56B37" w:rsidRDefault="00D56B37" w:rsidP="00A730D3">
      <w:pPr>
        <w:numPr>
          <w:ilvl w:val="0"/>
          <w:numId w:val="32"/>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控制强电系统的接口；</w:t>
      </w:r>
    </w:p>
    <w:p w:rsidR="00D56B37" w:rsidRDefault="00D56B37" w:rsidP="00A730D3">
      <w:pPr>
        <w:numPr>
          <w:ilvl w:val="0"/>
          <w:numId w:val="32"/>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控制投影秀、光束灯等第三方设备的接口；</w:t>
      </w:r>
    </w:p>
    <w:p w:rsidR="00D56B37" w:rsidRDefault="00D56B37" w:rsidP="00A730D3">
      <w:pPr>
        <w:numPr>
          <w:ilvl w:val="0"/>
          <w:numId w:val="32"/>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与实现灯光互动功能相关设备对接的接口。</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预留标准TCP/IP、DMX512-A、RS485扩展接口至少2个，可连接其他扩展设备。</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所有动态变化方式可以在总控进行编辑，可在非开灯时间进行下载传输。</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软件界面操作简单，可通过无线终端如iPad/iPhone、专用手机等操作；能够依据需求进行定制，包括文字、图片、Logo、按钮、状态信息等。</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软件系统具有自动更新下载的功能，新的场景或播放列表可以远程更新。</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软件系统可进行定时设置，实现任意时刻的场景自动播放。</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软件系统储存并随时调用＞32套节目，支持短时间内便捷更换节目内容。</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lastRenderedPageBreak/>
        <w:t>软件系统具备布灯文件，将计算机屏幕上显示的画面通过该文件在LED灯具上显示出来，后期升级软件后，不必重新制作布灯文件。</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软件系统可以实现实时视频文件或图形效果文件的自动切割和分发。</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软件系统具有断网工作能力，在无网络信号的情况下可脱机工作。</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硬件设备就近放置于照明配电箱附近，专用控制箱或者置于配电箱内。</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硬件设备控制端口到第一套灯具的通信距离不小于100米。</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硬件设备要求工作温度温度-20～60℃，相对湿度0％～80％且无人值守的环境下长期稳定工作。</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硬件设备支持防雷及POE，光电隔离浪涌抑制保护的功能。</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硬件设备具备通讯保护功能：控制设备必须具备浪涌抑制保护的功能，静电抑制保护功能，过压、短路、过</w:t>
      </w:r>
      <w:proofErr w:type="gramStart"/>
      <w:r>
        <w:rPr>
          <w:rFonts w:ascii="仿宋_GB2312" w:eastAsia="仿宋_GB2312" w:hAnsi="仿宋_GB2312" w:cs="仿宋_GB2312" w:hint="eastAsia"/>
          <w:sz w:val="21"/>
          <w:szCs w:val="21"/>
        </w:rPr>
        <w:t>温保护</w:t>
      </w:r>
      <w:proofErr w:type="gramEnd"/>
      <w:r>
        <w:rPr>
          <w:rFonts w:ascii="仿宋_GB2312" w:eastAsia="仿宋_GB2312" w:hAnsi="仿宋_GB2312" w:cs="仿宋_GB2312" w:hint="eastAsia"/>
          <w:sz w:val="21"/>
          <w:szCs w:val="21"/>
        </w:rPr>
        <w:t>功能和斜率、空闲保护功能。</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硬件设备与灯具质保期限一致。</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硬件设备应符合国家CCC、EMC/EMI等相应标准。</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主控制器设置密码锁，防止随意篡改程序。</w:t>
      </w:r>
    </w:p>
    <w:p w:rsidR="00D56B37" w:rsidRDefault="00D56B37" w:rsidP="00A730D3">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分</w:t>
      </w:r>
      <w:proofErr w:type="gramStart"/>
      <w:r>
        <w:rPr>
          <w:rFonts w:ascii="仿宋_GB2312" w:eastAsia="仿宋_GB2312" w:hAnsi="仿宋_GB2312" w:cs="仿宋_GB2312" w:hint="eastAsia"/>
          <w:sz w:val="21"/>
          <w:szCs w:val="21"/>
        </w:rPr>
        <w:t>控设备</w:t>
      </w:r>
      <w:proofErr w:type="gramEnd"/>
      <w:r>
        <w:rPr>
          <w:rFonts w:ascii="仿宋_GB2312" w:eastAsia="仿宋_GB2312" w:hAnsi="仿宋_GB2312" w:cs="仿宋_GB2312" w:hint="eastAsia"/>
          <w:sz w:val="21"/>
          <w:szCs w:val="21"/>
        </w:rPr>
        <w:t>具有识别主控功能，不接受其他设备控制。</w:t>
      </w:r>
    </w:p>
    <w:p w:rsidR="00D56B37" w:rsidRPr="00D56B37" w:rsidRDefault="00D56B37" w:rsidP="00D56B37">
      <w:pPr>
        <w:numPr>
          <w:ilvl w:val="0"/>
          <w:numId w:val="31"/>
        </w:numPr>
        <w:spacing w:line="360" w:lineRule="auto"/>
        <w:rPr>
          <w:rFonts w:ascii="仿宋_GB2312" w:eastAsia="仿宋_GB2312" w:hAnsi="仿宋_GB2312" w:cs="仿宋_GB2312"/>
          <w:szCs w:val="21"/>
        </w:rPr>
      </w:pPr>
      <w:r>
        <w:rPr>
          <w:rFonts w:ascii="仿宋_GB2312" w:eastAsia="仿宋_GB2312" w:hAnsi="仿宋_GB2312" w:cs="仿宋_GB2312" w:hint="eastAsia"/>
          <w:sz w:val="21"/>
          <w:szCs w:val="21"/>
        </w:rPr>
        <w:t>电气负荷为三级负荷，硬件设备具有上电后运行状态自恢复功能，保证在上电后装置能立即恢复到正常的工作状态。</w:t>
      </w:r>
      <w:bookmarkStart w:id="34" w:name="_Toc13459"/>
      <w:bookmarkEnd w:id="26"/>
    </w:p>
    <w:p w:rsidR="00A730D3" w:rsidRPr="00D56B37" w:rsidRDefault="00A730D3" w:rsidP="00D56B37">
      <w:pPr>
        <w:spacing w:line="360" w:lineRule="auto"/>
        <w:ind w:left="425"/>
        <w:rPr>
          <w:rFonts w:ascii="仿宋_GB2312" w:eastAsia="仿宋_GB2312" w:hAnsi="仿宋_GB2312" w:cs="仿宋_GB2312"/>
          <w:szCs w:val="21"/>
        </w:rPr>
      </w:pPr>
      <w:r w:rsidRPr="00D56B37">
        <w:rPr>
          <w:rFonts w:eastAsia="宋体" w:hint="eastAsia"/>
          <w:b/>
          <w:bCs/>
          <w:color w:val="000000"/>
          <w:spacing w:val="0"/>
          <w:sz w:val="28"/>
          <w:szCs w:val="28"/>
        </w:rPr>
        <w:t>（五）景观灯具检测要求</w:t>
      </w:r>
      <w:bookmarkEnd w:id="34"/>
    </w:p>
    <w:p w:rsidR="00A730D3" w:rsidRDefault="00A730D3" w:rsidP="00A730D3">
      <w:pPr>
        <w:pStyle w:val="3"/>
        <w:numPr>
          <w:ilvl w:val="0"/>
          <w:numId w:val="33"/>
        </w:numPr>
        <w:spacing w:before="0" w:after="0" w:line="360" w:lineRule="auto"/>
        <w:ind w:hanging="5"/>
        <w:jc w:val="left"/>
        <w:rPr>
          <w:rFonts w:ascii="仿宋_GB2312" w:eastAsia="仿宋_GB2312" w:hAnsi="仿宋_GB2312" w:cs="仿宋_GB2312"/>
          <w:sz w:val="21"/>
          <w:szCs w:val="21"/>
        </w:rPr>
      </w:pPr>
      <w:bookmarkStart w:id="35" w:name="_Toc30365"/>
      <w:r>
        <w:rPr>
          <w:rFonts w:ascii="仿宋_GB2312" w:eastAsia="仿宋_GB2312" w:hAnsi="仿宋_GB2312" w:cs="仿宋_GB2312" w:hint="eastAsia"/>
          <w:sz w:val="21"/>
          <w:szCs w:val="21"/>
        </w:rPr>
        <w:t>说明</w:t>
      </w:r>
      <w:bookmarkEnd w:id="35"/>
    </w:p>
    <w:p w:rsidR="00A730D3" w:rsidRDefault="00A730D3" w:rsidP="00A730D3">
      <w:pPr>
        <w:spacing w:line="360" w:lineRule="auto"/>
        <w:ind w:firstLineChars="131" w:firstLine="224"/>
        <w:rPr>
          <w:rFonts w:ascii="仿宋_GB2312" w:eastAsia="仿宋_GB2312" w:hAnsi="仿宋_GB2312" w:cs="仿宋_GB2312"/>
          <w:b/>
          <w:bCs/>
          <w:szCs w:val="21"/>
        </w:rPr>
      </w:pPr>
      <w:r>
        <w:rPr>
          <w:rFonts w:ascii="仿宋_GB2312" w:eastAsia="仿宋_GB2312" w:hAnsi="仿宋_GB2312" w:cs="仿宋_GB2312" w:hint="eastAsia"/>
          <w:b/>
          <w:bCs/>
          <w:sz w:val="21"/>
          <w:szCs w:val="21"/>
        </w:rPr>
        <w:t>所有检测机构均必须为“国家级权威检测机构”。</w:t>
      </w:r>
    </w:p>
    <w:p w:rsidR="00A730D3" w:rsidRDefault="00A730D3" w:rsidP="00A730D3">
      <w:pPr>
        <w:pStyle w:val="3"/>
        <w:numPr>
          <w:ilvl w:val="0"/>
          <w:numId w:val="33"/>
        </w:numPr>
        <w:spacing w:before="0" w:after="0" w:line="360" w:lineRule="auto"/>
        <w:ind w:hanging="5"/>
        <w:jc w:val="left"/>
        <w:rPr>
          <w:rFonts w:ascii="仿宋_GB2312" w:eastAsia="仿宋_GB2312" w:hAnsi="仿宋_GB2312" w:cs="仿宋_GB2312"/>
          <w:sz w:val="21"/>
          <w:szCs w:val="21"/>
        </w:rPr>
      </w:pPr>
      <w:bookmarkStart w:id="36" w:name="_Toc6588"/>
      <w:r>
        <w:rPr>
          <w:rFonts w:ascii="仿宋_GB2312" w:eastAsia="仿宋_GB2312" w:hAnsi="仿宋_GB2312" w:cs="仿宋_GB2312" w:hint="eastAsia"/>
          <w:sz w:val="21"/>
          <w:szCs w:val="21"/>
        </w:rPr>
        <w:t>灯具不同阶段检测项目</w:t>
      </w:r>
      <w:bookmarkEnd w:id="36"/>
    </w:p>
    <w:tbl>
      <w:tblPr>
        <w:tblW w:w="8314" w:type="dxa"/>
        <w:jc w:val="center"/>
        <w:tblLayout w:type="fixed"/>
        <w:tblCellMar>
          <w:left w:w="0" w:type="dxa"/>
          <w:right w:w="0" w:type="dxa"/>
        </w:tblCellMar>
        <w:tblLook w:val="04A0" w:firstRow="1" w:lastRow="0" w:firstColumn="1" w:lastColumn="0" w:noHBand="0" w:noVBand="1"/>
      </w:tblPr>
      <w:tblGrid>
        <w:gridCol w:w="807"/>
        <w:gridCol w:w="5995"/>
        <w:gridCol w:w="1512"/>
      </w:tblGrid>
      <w:tr w:rsidR="00A730D3" w:rsidTr="00C967B6">
        <w:trPr>
          <w:trHeight w:val="91"/>
          <w:tblHeader/>
          <w:jc w:val="center"/>
        </w:trPr>
        <w:tc>
          <w:tcPr>
            <w:tcW w:w="807" w:type="dxa"/>
            <w:tcBorders>
              <w:top w:val="single" w:sz="4" w:space="0" w:color="000000"/>
              <w:left w:val="single" w:sz="4" w:space="0" w:color="000000"/>
              <w:right w:val="single" w:sz="4" w:space="0" w:color="000000"/>
            </w:tcBorders>
            <w:shd w:val="clear" w:color="auto" w:fill="D8D8D8" w:themeFill="background1" w:themeFillShade="D8"/>
            <w:tcMar>
              <w:top w:w="4" w:type="dxa"/>
              <w:left w:w="4" w:type="dxa"/>
              <w:bottom w:w="0" w:type="dxa"/>
              <w:right w:w="4" w:type="dxa"/>
            </w:tcMar>
            <w:vAlign w:val="center"/>
          </w:tcPr>
          <w:p w:rsidR="00A730D3" w:rsidRDefault="00A730D3" w:rsidP="00C967B6">
            <w:pPr>
              <w:spacing w:line="360" w:lineRule="auto"/>
              <w:jc w:val="center"/>
              <w:rPr>
                <w:rFonts w:ascii="仿宋_GB2312" w:eastAsia="仿宋_GB2312" w:hAnsi="仿宋_GB2312" w:cs="仿宋_GB2312"/>
                <w:b/>
                <w:bCs/>
                <w:szCs w:val="21"/>
              </w:rPr>
            </w:pPr>
            <w:r>
              <w:rPr>
                <w:rFonts w:ascii="仿宋_GB2312" w:eastAsia="仿宋_GB2312" w:hAnsi="仿宋_GB2312" w:cs="仿宋_GB2312" w:hint="eastAsia"/>
                <w:b/>
                <w:bCs/>
                <w:sz w:val="21"/>
                <w:szCs w:val="21"/>
              </w:rPr>
              <w:t>序号</w:t>
            </w:r>
          </w:p>
        </w:tc>
        <w:tc>
          <w:tcPr>
            <w:tcW w:w="5995" w:type="dxa"/>
            <w:tcBorders>
              <w:top w:val="single" w:sz="4" w:space="0" w:color="000000"/>
              <w:left w:val="nil"/>
              <w:bottom w:val="single" w:sz="4" w:space="0" w:color="auto"/>
              <w:right w:val="single" w:sz="4" w:space="0" w:color="000000"/>
            </w:tcBorders>
            <w:shd w:val="clear" w:color="auto" w:fill="D8D8D8" w:themeFill="background1" w:themeFillShade="D8"/>
            <w:tcMar>
              <w:top w:w="4" w:type="dxa"/>
              <w:left w:w="4" w:type="dxa"/>
              <w:bottom w:w="0" w:type="dxa"/>
              <w:right w:w="4" w:type="dxa"/>
            </w:tcMar>
            <w:vAlign w:val="center"/>
          </w:tcPr>
          <w:p w:rsidR="00A730D3" w:rsidRDefault="00A730D3" w:rsidP="00C967B6">
            <w:pPr>
              <w:spacing w:line="360" w:lineRule="auto"/>
              <w:jc w:val="center"/>
              <w:rPr>
                <w:rFonts w:ascii="仿宋_GB2312" w:eastAsia="仿宋_GB2312" w:hAnsi="仿宋_GB2312" w:cs="仿宋_GB2312"/>
                <w:b/>
                <w:bCs/>
                <w:szCs w:val="21"/>
              </w:rPr>
            </w:pPr>
            <w:r>
              <w:rPr>
                <w:rFonts w:ascii="仿宋_GB2312" w:eastAsia="仿宋_GB2312" w:hAnsi="仿宋_GB2312" w:cs="仿宋_GB2312" w:hint="eastAsia"/>
                <w:b/>
                <w:bCs/>
                <w:sz w:val="21"/>
                <w:szCs w:val="21"/>
              </w:rPr>
              <w:t>检测项目</w:t>
            </w:r>
          </w:p>
        </w:tc>
        <w:tc>
          <w:tcPr>
            <w:tcW w:w="1512" w:type="dxa"/>
            <w:tcBorders>
              <w:top w:val="single" w:sz="4" w:space="0" w:color="000000"/>
              <w:left w:val="nil"/>
              <w:bottom w:val="single" w:sz="4" w:space="0" w:color="auto"/>
              <w:right w:val="single" w:sz="4" w:space="0" w:color="000000"/>
            </w:tcBorders>
            <w:shd w:val="clear" w:color="auto" w:fill="D8D8D8" w:themeFill="background1" w:themeFillShade="D8"/>
            <w:tcMar>
              <w:top w:w="4" w:type="dxa"/>
              <w:left w:w="4" w:type="dxa"/>
              <w:bottom w:w="0" w:type="dxa"/>
              <w:right w:w="4" w:type="dxa"/>
            </w:tcMar>
            <w:vAlign w:val="center"/>
          </w:tcPr>
          <w:p w:rsidR="00A730D3" w:rsidRDefault="00A730D3" w:rsidP="00C967B6">
            <w:pPr>
              <w:jc w:val="center"/>
              <w:rPr>
                <w:rFonts w:ascii="仿宋_GB2312" w:eastAsia="仿宋_GB2312" w:hAnsi="仿宋_GB2312" w:cs="仿宋_GB2312"/>
                <w:b/>
                <w:bCs/>
                <w:szCs w:val="21"/>
              </w:rPr>
            </w:pPr>
            <w:r>
              <w:rPr>
                <w:rFonts w:ascii="仿宋_GB2312" w:eastAsia="仿宋_GB2312" w:hAnsi="仿宋_GB2312" w:cs="仿宋_GB2312" w:hint="eastAsia"/>
                <w:b/>
                <w:bCs/>
                <w:sz w:val="21"/>
                <w:szCs w:val="21"/>
              </w:rPr>
              <w:t>质保期期间</w:t>
            </w:r>
          </w:p>
          <w:p w:rsidR="00A730D3" w:rsidRDefault="00A730D3" w:rsidP="00C967B6">
            <w:pPr>
              <w:jc w:val="center"/>
              <w:rPr>
                <w:rFonts w:ascii="仿宋_GB2312" w:eastAsia="仿宋_GB2312" w:hAnsi="仿宋_GB2312" w:cs="仿宋_GB2312"/>
                <w:b/>
                <w:bCs/>
                <w:szCs w:val="21"/>
              </w:rPr>
            </w:pPr>
            <w:r>
              <w:rPr>
                <w:rFonts w:ascii="仿宋_GB2312" w:eastAsia="仿宋_GB2312" w:hAnsi="仿宋_GB2312" w:cs="仿宋_GB2312" w:hint="eastAsia"/>
                <w:b/>
                <w:bCs/>
                <w:sz w:val="21"/>
                <w:szCs w:val="21"/>
              </w:rPr>
              <w:t>全部灯具</w:t>
            </w:r>
          </w:p>
          <w:p w:rsidR="00A730D3" w:rsidRDefault="00A730D3" w:rsidP="00C967B6">
            <w:pPr>
              <w:jc w:val="center"/>
              <w:rPr>
                <w:rFonts w:ascii="仿宋_GB2312" w:eastAsia="仿宋_GB2312" w:hAnsi="仿宋_GB2312" w:cs="仿宋_GB2312"/>
                <w:b/>
                <w:bCs/>
                <w:szCs w:val="21"/>
              </w:rPr>
            </w:pPr>
            <w:r>
              <w:rPr>
                <w:rFonts w:ascii="仿宋_GB2312" w:eastAsia="仿宋_GB2312" w:hAnsi="仿宋_GB2312" w:cs="仿宋_GB2312" w:hint="eastAsia"/>
                <w:b/>
                <w:bCs/>
                <w:sz w:val="21"/>
                <w:szCs w:val="21"/>
              </w:rPr>
              <w:t>抽检项目</w:t>
            </w:r>
          </w:p>
        </w:tc>
      </w:tr>
      <w:tr w:rsidR="00A730D3" w:rsidTr="00C967B6">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730D3" w:rsidRDefault="00A730D3"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1</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0D3" w:rsidRDefault="00A730D3" w:rsidP="00C967B6">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 w:val="21"/>
                <w:szCs w:val="21"/>
              </w:rPr>
              <w:t>色度参数：相关色温、波长、色容差（仅2700K-6500K）。</w:t>
            </w:r>
          </w:p>
        </w:tc>
        <w:tc>
          <w:tcPr>
            <w:tcW w:w="1512" w:type="dxa"/>
            <w:tcBorders>
              <w:top w:val="single" w:sz="4" w:space="0" w:color="000000"/>
              <w:left w:val="single" w:sz="4" w:space="0" w:color="auto"/>
              <w:bottom w:val="single" w:sz="4" w:space="0" w:color="auto"/>
              <w:right w:val="single" w:sz="4" w:space="0" w:color="000000"/>
            </w:tcBorders>
            <w:shd w:val="clear" w:color="auto" w:fill="FFFFFF"/>
            <w:tcMar>
              <w:top w:w="4" w:type="dxa"/>
              <w:left w:w="4" w:type="dxa"/>
              <w:bottom w:w="0" w:type="dxa"/>
              <w:right w:w="4" w:type="dxa"/>
            </w:tcMar>
            <w:vAlign w:val="center"/>
          </w:tcPr>
          <w:p w:rsidR="00A730D3" w:rsidRDefault="00A730D3"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w:t>
            </w:r>
          </w:p>
        </w:tc>
      </w:tr>
      <w:tr w:rsidR="00A730D3" w:rsidTr="00C967B6">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730D3" w:rsidRDefault="00A730D3"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2</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0D3" w:rsidRDefault="00A730D3" w:rsidP="00C967B6">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 w:val="21"/>
                <w:szCs w:val="21"/>
              </w:rPr>
              <w:t>电参数： 电压、电流、功率、功率因数（如果为交流供电）</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0D3" w:rsidRDefault="00A730D3"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w:t>
            </w:r>
          </w:p>
        </w:tc>
      </w:tr>
      <w:tr w:rsidR="00A730D3" w:rsidTr="00C967B6">
        <w:trPr>
          <w:trHeight w:val="468"/>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730D3" w:rsidRDefault="00A730D3"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3</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0D3" w:rsidRDefault="00A730D3" w:rsidP="00C967B6">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 w:val="21"/>
                <w:szCs w:val="21"/>
              </w:rPr>
              <w:t>光度参数：配光曲线、光强、光束角/</w:t>
            </w:r>
            <w:proofErr w:type="gramStart"/>
            <w:r>
              <w:rPr>
                <w:rFonts w:ascii="仿宋_GB2312" w:eastAsia="仿宋_GB2312" w:hAnsi="仿宋_GB2312" w:cs="仿宋_GB2312" w:hint="eastAsia"/>
                <w:sz w:val="21"/>
                <w:szCs w:val="21"/>
              </w:rPr>
              <w:t>半峰发散</w:t>
            </w:r>
            <w:proofErr w:type="gramEnd"/>
            <w:r>
              <w:rPr>
                <w:rFonts w:ascii="仿宋_GB2312" w:eastAsia="仿宋_GB2312" w:hAnsi="仿宋_GB2312" w:cs="仿宋_GB2312" w:hint="eastAsia"/>
                <w:sz w:val="21"/>
                <w:szCs w:val="21"/>
              </w:rPr>
              <w:t>角、光通量、整灯光效</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0D3" w:rsidRDefault="00A730D3"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w:t>
            </w:r>
          </w:p>
        </w:tc>
      </w:tr>
      <w:tr w:rsidR="00A730D3" w:rsidTr="00C967B6">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730D3" w:rsidRDefault="00A730D3"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lastRenderedPageBreak/>
              <w:t>4</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0D3" w:rsidRDefault="00A730D3" w:rsidP="00C967B6">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 w:val="21"/>
                <w:szCs w:val="21"/>
              </w:rPr>
              <w:t>外部接线和内部接线</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0D3" w:rsidRDefault="00A730D3"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w:t>
            </w:r>
          </w:p>
        </w:tc>
      </w:tr>
      <w:tr w:rsidR="00A730D3" w:rsidTr="00C967B6">
        <w:trPr>
          <w:trHeight w:val="494"/>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730D3" w:rsidRDefault="00A730D3"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5</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0D3" w:rsidRDefault="00A730D3" w:rsidP="00C967B6">
            <w:pPr>
              <w:spacing w:line="360" w:lineRule="auto"/>
              <w:rPr>
                <w:rFonts w:ascii="仿宋_GB2312" w:eastAsia="仿宋_GB2312" w:hAnsi="仿宋_GB2312" w:cs="仿宋_GB2312"/>
                <w:b/>
                <w:bCs/>
                <w:szCs w:val="21"/>
                <w:u w:val="single"/>
              </w:rPr>
            </w:pPr>
            <w:r>
              <w:rPr>
                <w:rFonts w:ascii="仿宋_GB2312" w:eastAsia="仿宋_GB2312" w:hAnsi="仿宋_GB2312" w:cs="仿宋_GB2312" w:hint="eastAsia"/>
                <w:b/>
                <w:bCs/>
                <w:sz w:val="21"/>
                <w:szCs w:val="21"/>
                <w:u w:val="single"/>
              </w:rPr>
              <w:t>防尘、防固体异物和防水：</w:t>
            </w:r>
          </w:p>
          <w:p w:rsidR="00A730D3" w:rsidRDefault="00A730D3" w:rsidP="00C967B6">
            <w:pPr>
              <w:spacing w:line="360" w:lineRule="auto"/>
              <w:rPr>
                <w:rFonts w:ascii="仿宋_GB2312" w:eastAsia="仿宋_GB2312" w:hAnsi="仿宋_GB2312" w:cs="仿宋_GB2312"/>
                <w:szCs w:val="21"/>
              </w:rPr>
            </w:pPr>
            <w:r>
              <w:rPr>
                <w:rFonts w:ascii="仿宋_GB2312" w:eastAsia="仿宋_GB2312" w:hAnsi="仿宋_GB2312" w:cs="仿宋_GB2312" w:hint="eastAsia"/>
                <w:b/>
                <w:bCs/>
                <w:sz w:val="21"/>
                <w:szCs w:val="21"/>
                <w:u w:val="single"/>
              </w:rPr>
              <w:t>灯具≥IP68。</w:t>
            </w:r>
          </w:p>
        </w:tc>
        <w:tc>
          <w:tcPr>
            <w:tcW w:w="1512" w:type="dxa"/>
            <w:tcBorders>
              <w:top w:val="single" w:sz="4" w:space="0" w:color="000000"/>
              <w:left w:val="single" w:sz="4" w:space="0" w:color="auto"/>
              <w:bottom w:val="single" w:sz="4" w:space="0" w:color="000000"/>
              <w:right w:val="single" w:sz="4" w:space="0" w:color="000000"/>
            </w:tcBorders>
            <w:shd w:val="clear" w:color="auto" w:fill="auto"/>
            <w:tcMar>
              <w:top w:w="4" w:type="dxa"/>
              <w:left w:w="4" w:type="dxa"/>
              <w:bottom w:w="0" w:type="dxa"/>
              <w:right w:w="4" w:type="dxa"/>
            </w:tcMar>
            <w:vAlign w:val="center"/>
          </w:tcPr>
          <w:p w:rsidR="00A730D3" w:rsidRDefault="00A730D3" w:rsidP="00C967B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sz w:val="21"/>
                <w:szCs w:val="21"/>
              </w:rPr>
              <w:t>√</w:t>
            </w:r>
          </w:p>
        </w:tc>
      </w:tr>
      <w:tr w:rsidR="00A730D3" w:rsidTr="00C967B6">
        <w:trPr>
          <w:trHeight w:val="267"/>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730D3" w:rsidRDefault="00A730D3"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6</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0D3" w:rsidRDefault="00A730D3" w:rsidP="00C967B6">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 w:val="21"/>
                <w:szCs w:val="21"/>
              </w:rPr>
              <w:t>潮湿后的绝缘电阻和电气强度</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730D3" w:rsidRDefault="00A730D3" w:rsidP="00C967B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 w:val="21"/>
                <w:szCs w:val="21"/>
              </w:rPr>
              <w:t>√</w:t>
            </w:r>
          </w:p>
        </w:tc>
      </w:tr>
    </w:tbl>
    <w:p w:rsidR="00A730D3" w:rsidRDefault="00A730D3" w:rsidP="00A730D3">
      <w:pPr>
        <w:pStyle w:val="3"/>
        <w:numPr>
          <w:ilvl w:val="0"/>
          <w:numId w:val="33"/>
        </w:numPr>
        <w:spacing w:before="0" w:after="0" w:line="360" w:lineRule="auto"/>
        <w:ind w:hanging="5"/>
        <w:jc w:val="left"/>
        <w:rPr>
          <w:rFonts w:ascii="仿宋_GB2312" w:eastAsia="仿宋_GB2312" w:hAnsi="仿宋_GB2312" w:cs="仿宋_GB2312"/>
          <w:sz w:val="21"/>
          <w:szCs w:val="21"/>
        </w:rPr>
      </w:pPr>
      <w:bookmarkStart w:id="37" w:name="_Toc12436"/>
      <w:r>
        <w:rPr>
          <w:rFonts w:ascii="仿宋_GB2312" w:eastAsia="仿宋_GB2312" w:hAnsi="仿宋_GB2312" w:cs="仿宋_GB2312" w:hint="eastAsia"/>
          <w:sz w:val="21"/>
          <w:szCs w:val="21"/>
        </w:rPr>
        <w:t>质保期期间灯具其他抽检项目</w:t>
      </w:r>
      <w:bookmarkEnd w:id="37"/>
    </w:p>
    <w:tbl>
      <w:tblPr>
        <w:tblW w:w="8298" w:type="dxa"/>
        <w:jc w:val="center"/>
        <w:tblLayout w:type="fixed"/>
        <w:tblCellMar>
          <w:top w:w="15" w:type="dxa"/>
          <w:left w:w="15" w:type="dxa"/>
          <w:bottom w:w="15" w:type="dxa"/>
          <w:right w:w="15" w:type="dxa"/>
        </w:tblCellMar>
        <w:tblLook w:val="04A0" w:firstRow="1" w:lastRow="0" w:firstColumn="1" w:lastColumn="0" w:noHBand="0" w:noVBand="1"/>
      </w:tblPr>
      <w:tblGrid>
        <w:gridCol w:w="488"/>
        <w:gridCol w:w="1861"/>
        <w:gridCol w:w="5949"/>
      </w:tblGrid>
      <w:tr w:rsidR="00A730D3" w:rsidTr="00C967B6">
        <w:trPr>
          <w:trHeight w:val="681"/>
          <w:tblHeader/>
          <w:jc w:val="center"/>
        </w:trPr>
        <w:tc>
          <w:tcPr>
            <w:tcW w:w="488"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rsidR="00A730D3" w:rsidRDefault="00A730D3" w:rsidP="00C967B6">
            <w:pPr>
              <w:spacing w:line="360" w:lineRule="auto"/>
              <w:jc w:val="center"/>
              <w:rPr>
                <w:rFonts w:ascii="仿宋_GB2312" w:eastAsia="仿宋_GB2312" w:hAnsi="仿宋_GB2312" w:cs="仿宋_GB2312"/>
                <w:b/>
                <w:szCs w:val="21"/>
              </w:rPr>
            </w:pPr>
            <w:r>
              <w:rPr>
                <w:rFonts w:ascii="仿宋_GB2312" w:eastAsia="仿宋_GB2312" w:hAnsi="仿宋_GB2312" w:cs="仿宋_GB2312" w:hint="eastAsia"/>
                <w:b/>
                <w:bCs/>
                <w:sz w:val="21"/>
                <w:szCs w:val="21"/>
              </w:rPr>
              <w:t>序号</w:t>
            </w:r>
          </w:p>
        </w:tc>
        <w:tc>
          <w:tcPr>
            <w:tcW w:w="1861"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rsidR="00A730D3" w:rsidRDefault="00A730D3" w:rsidP="00C967B6">
            <w:pPr>
              <w:spacing w:line="360" w:lineRule="auto"/>
              <w:jc w:val="center"/>
              <w:rPr>
                <w:rFonts w:ascii="仿宋_GB2312" w:eastAsia="仿宋_GB2312" w:hAnsi="仿宋_GB2312" w:cs="仿宋_GB2312"/>
                <w:b/>
                <w:szCs w:val="21"/>
              </w:rPr>
            </w:pPr>
            <w:r>
              <w:rPr>
                <w:rFonts w:ascii="仿宋_GB2312" w:eastAsia="仿宋_GB2312" w:hAnsi="仿宋_GB2312" w:cs="仿宋_GB2312" w:hint="eastAsia"/>
                <w:b/>
                <w:bCs/>
                <w:sz w:val="21"/>
                <w:szCs w:val="21"/>
              </w:rPr>
              <w:t>检测对象</w:t>
            </w:r>
          </w:p>
        </w:tc>
        <w:tc>
          <w:tcPr>
            <w:tcW w:w="5949"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rsidR="00A730D3" w:rsidRDefault="00A730D3" w:rsidP="00C967B6">
            <w:pPr>
              <w:widowControl/>
              <w:spacing w:line="360" w:lineRule="auto"/>
              <w:jc w:val="center"/>
              <w:textAlignment w:val="center"/>
              <w:rPr>
                <w:rFonts w:ascii="仿宋_GB2312" w:eastAsia="仿宋_GB2312" w:hAnsi="仿宋_GB2312" w:cs="仿宋_GB2312"/>
                <w:b/>
                <w:szCs w:val="21"/>
              </w:rPr>
            </w:pPr>
            <w:r>
              <w:rPr>
                <w:rFonts w:ascii="仿宋_GB2312" w:eastAsia="仿宋_GB2312" w:hAnsi="仿宋_GB2312" w:cs="仿宋_GB2312" w:hint="eastAsia"/>
                <w:b/>
                <w:bCs/>
                <w:sz w:val="21"/>
                <w:szCs w:val="21"/>
              </w:rPr>
              <w:t>检测项目</w:t>
            </w:r>
          </w:p>
        </w:tc>
      </w:tr>
      <w:tr w:rsidR="00A730D3" w:rsidTr="00C967B6">
        <w:trPr>
          <w:trHeight w:val="539"/>
          <w:jc w:val="center"/>
        </w:trPr>
        <w:tc>
          <w:tcPr>
            <w:tcW w:w="488" w:type="dxa"/>
            <w:tcBorders>
              <w:top w:val="single" w:sz="4" w:space="0" w:color="000000"/>
              <w:left w:val="single" w:sz="4" w:space="0" w:color="000000"/>
              <w:right w:val="single" w:sz="4" w:space="0" w:color="000000"/>
            </w:tcBorders>
            <w:shd w:val="clear" w:color="auto" w:fill="auto"/>
            <w:vAlign w:val="center"/>
          </w:tcPr>
          <w:p w:rsidR="00A730D3" w:rsidRDefault="00A730D3" w:rsidP="00C967B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1</w:t>
            </w:r>
          </w:p>
        </w:tc>
        <w:tc>
          <w:tcPr>
            <w:tcW w:w="1861" w:type="dxa"/>
            <w:tcBorders>
              <w:top w:val="single" w:sz="4" w:space="0" w:color="000000"/>
              <w:left w:val="single" w:sz="4" w:space="0" w:color="000000"/>
              <w:right w:val="single" w:sz="4" w:space="0" w:color="000000"/>
            </w:tcBorders>
            <w:shd w:val="clear" w:color="auto" w:fill="auto"/>
            <w:vAlign w:val="center"/>
          </w:tcPr>
          <w:p w:rsidR="00A730D3" w:rsidRDefault="00A730D3" w:rsidP="00C967B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外壳、外露安装支架、螺丝螺帽等附件</w:t>
            </w: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rsidR="00A730D3" w:rsidRDefault="00A730D3" w:rsidP="00C967B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1、必须采用高压铸铝合金、拉伸铝合金、以及304不锈钢等材质。</w:t>
            </w:r>
          </w:p>
        </w:tc>
      </w:tr>
      <w:tr w:rsidR="00A730D3" w:rsidTr="00C967B6">
        <w:trPr>
          <w:trHeight w:val="445"/>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3</w:t>
            </w: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电气安全</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1、外部接线和内部接线</w:t>
            </w:r>
          </w:p>
        </w:tc>
      </w:tr>
      <w:tr w:rsidR="00A730D3" w:rsidTr="00C967B6">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spacing w:line="360" w:lineRule="auto"/>
              <w:jc w:val="center"/>
              <w:rPr>
                <w:rFonts w:ascii="仿宋_GB2312" w:eastAsia="仿宋_GB2312" w:hAnsi="仿宋_GB2312" w:cs="仿宋_GB2312"/>
                <w:szCs w:val="21"/>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spacing w:line="360" w:lineRule="auto"/>
              <w:jc w:val="center"/>
              <w:rPr>
                <w:rFonts w:ascii="仿宋_GB2312" w:eastAsia="仿宋_GB2312" w:hAnsi="仿宋_GB2312" w:cs="仿宋_GB2312"/>
                <w:szCs w:val="21"/>
              </w:rPr>
            </w:pP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rsidR="00A730D3" w:rsidRDefault="00A730D3" w:rsidP="00C967B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2、潮湿后的绝缘电阻和电气强度</w:t>
            </w:r>
          </w:p>
        </w:tc>
      </w:tr>
      <w:tr w:rsidR="00A730D3" w:rsidTr="00C967B6">
        <w:trPr>
          <w:trHeight w:val="357"/>
          <w:jc w:val="center"/>
        </w:trPr>
        <w:tc>
          <w:tcPr>
            <w:tcW w:w="488" w:type="dxa"/>
            <w:vMerge/>
            <w:tcBorders>
              <w:left w:val="single" w:sz="4" w:space="0" w:color="000000"/>
              <w:bottom w:val="single" w:sz="4" w:space="0" w:color="000000"/>
              <w:right w:val="single" w:sz="4" w:space="0" w:color="000000"/>
            </w:tcBorders>
            <w:shd w:val="clear" w:color="auto" w:fill="auto"/>
            <w:vAlign w:val="center"/>
          </w:tcPr>
          <w:p w:rsidR="00A730D3" w:rsidRDefault="00A730D3" w:rsidP="00C967B6">
            <w:pPr>
              <w:spacing w:line="360" w:lineRule="auto"/>
              <w:jc w:val="center"/>
              <w:rPr>
                <w:rFonts w:ascii="仿宋_GB2312" w:eastAsia="仿宋_GB2312" w:hAnsi="仿宋_GB2312" w:cs="仿宋_GB2312"/>
                <w:szCs w:val="21"/>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A730D3" w:rsidRDefault="00A730D3" w:rsidP="00C967B6">
            <w:pPr>
              <w:spacing w:line="360" w:lineRule="auto"/>
              <w:jc w:val="center"/>
              <w:rPr>
                <w:rFonts w:ascii="仿宋_GB2312" w:eastAsia="仿宋_GB2312" w:hAnsi="仿宋_GB2312" w:cs="仿宋_GB2312"/>
                <w:szCs w:val="21"/>
              </w:rPr>
            </w:pPr>
          </w:p>
        </w:tc>
        <w:tc>
          <w:tcPr>
            <w:tcW w:w="5949" w:type="dxa"/>
            <w:tcBorders>
              <w:top w:val="single" w:sz="4" w:space="0" w:color="auto"/>
              <w:left w:val="single" w:sz="4" w:space="0" w:color="000000"/>
              <w:bottom w:val="single" w:sz="4" w:space="0" w:color="000000"/>
              <w:right w:val="single" w:sz="4" w:space="0" w:color="000000"/>
            </w:tcBorders>
            <w:shd w:val="clear" w:color="auto" w:fill="auto"/>
            <w:vAlign w:val="center"/>
          </w:tcPr>
          <w:p w:rsidR="00A730D3" w:rsidRDefault="00A730D3" w:rsidP="00C967B6">
            <w:pPr>
              <w:widowControl/>
              <w:spacing w:line="360" w:lineRule="auto"/>
              <w:jc w:val="left"/>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 w:val="21"/>
                <w:szCs w:val="21"/>
              </w:rPr>
              <w:t>3、其他：防雷击、防静电能力、电磁干扰、灯具外壳温升等</w:t>
            </w:r>
          </w:p>
        </w:tc>
      </w:tr>
      <w:tr w:rsidR="00A730D3" w:rsidTr="00C967B6">
        <w:trPr>
          <w:trHeight w:val="362"/>
          <w:jc w:val="center"/>
        </w:trPr>
        <w:tc>
          <w:tcPr>
            <w:tcW w:w="488" w:type="dxa"/>
            <w:tcBorders>
              <w:top w:val="single" w:sz="4" w:space="0" w:color="000000"/>
              <w:left w:val="single" w:sz="4" w:space="0" w:color="000000"/>
              <w:right w:val="single" w:sz="4" w:space="0" w:color="000000"/>
            </w:tcBorders>
            <w:shd w:val="clear" w:color="auto" w:fill="auto"/>
            <w:vAlign w:val="center"/>
          </w:tcPr>
          <w:p w:rsidR="00A730D3" w:rsidRDefault="00A730D3" w:rsidP="00C967B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4</w:t>
            </w:r>
          </w:p>
        </w:tc>
        <w:tc>
          <w:tcPr>
            <w:tcW w:w="1861" w:type="dxa"/>
            <w:tcBorders>
              <w:top w:val="single" w:sz="4" w:space="0" w:color="000000"/>
              <w:left w:val="single" w:sz="4" w:space="0" w:color="000000"/>
              <w:right w:val="single" w:sz="4" w:space="0" w:color="000000"/>
            </w:tcBorders>
            <w:shd w:val="clear" w:color="auto" w:fill="auto"/>
            <w:vAlign w:val="center"/>
          </w:tcPr>
          <w:p w:rsidR="00A730D3" w:rsidRDefault="00A730D3" w:rsidP="00C967B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防护等级</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widowControl/>
              <w:numPr>
                <w:ilvl w:val="0"/>
                <w:numId w:val="34"/>
              </w:numPr>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灯具防护等级不小于IP68。</w:t>
            </w:r>
          </w:p>
        </w:tc>
      </w:tr>
      <w:tr w:rsidR="00A730D3" w:rsidTr="00C967B6">
        <w:trPr>
          <w:trHeight w:val="357"/>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5</w:t>
            </w:r>
          </w:p>
        </w:tc>
        <w:tc>
          <w:tcPr>
            <w:tcW w:w="1861" w:type="dxa"/>
            <w:vMerge w:val="restart"/>
            <w:tcBorders>
              <w:top w:val="single" w:sz="4" w:space="0" w:color="000000"/>
              <w:left w:val="single" w:sz="4" w:space="0" w:color="000000"/>
              <w:right w:val="single" w:sz="4" w:space="0" w:color="000000"/>
            </w:tcBorders>
            <w:shd w:val="clear" w:color="auto" w:fill="auto"/>
            <w:vAlign w:val="center"/>
          </w:tcPr>
          <w:p w:rsidR="00A730D3" w:rsidRDefault="00A730D3" w:rsidP="00C967B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灯具寿命</w:t>
            </w:r>
            <w:proofErr w:type="gramStart"/>
            <w:r>
              <w:rPr>
                <w:rFonts w:ascii="仿宋_GB2312" w:eastAsia="仿宋_GB2312" w:hAnsi="仿宋_GB2312" w:cs="仿宋_GB2312" w:hint="eastAsia"/>
                <w:kern w:val="0"/>
                <w:sz w:val="21"/>
                <w:szCs w:val="21"/>
              </w:rPr>
              <w:t>及光衰</w:t>
            </w:r>
            <w:proofErr w:type="gramEnd"/>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1、颗粒寿命不低于5万小时；</w:t>
            </w:r>
          </w:p>
        </w:tc>
      </w:tr>
      <w:tr w:rsidR="00A730D3" w:rsidTr="00C967B6">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spacing w:line="360" w:lineRule="auto"/>
              <w:jc w:val="center"/>
              <w:rPr>
                <w:rFonts w:ascii="仿宋_GB2312" w:eastAsia="仿宋_GB2312" w:hAnsi="仿宋_GB2312" w:cs="仿宋_GB2312"/>
                <w:szCs w:val="21"/>
              </w:rPr>
            </w:pPr>
          </w:p>
        </w:tc>
        <w:tc>
          <w:tcPr>
            <w:tcW w:w="1861" w:type="dxa"/>
            <w:vMerge/>
            <w:tcBorders>
              <w:left w:val="single" w:sz="4" w:space="0" w:color="000000"/>
              <w:right w:val="single" w:sz="4" w:space="0" w:color="000000"/>
            </w:tcBorders>
            <w:shd w:val="clear" w:color="auto" w:fill="auto"/>
            <w:vAlign w:val="center"/>
          </w:tcPr>
          <w:p w:rsidR="00A730D3" w:rsidRDefault="00A730D3" w:rsidP="00C967B6">
            <w:pPr>
              <w:widowControl/>
              <w:spacing w:line="360" w:lineRule="auto"/>
              <w:jc w:val="center"/>
              <w:textAlignment w:val="center"/>
              <w:rPr>
                <w:rFonts w:ascii="仿宋_GB2312" w:eastAsia="仿宋_GB2312" w:hAnsi="仿宋_GB2312" w:cs="仿宋_GB2312"/>
                <w:szCs w:val="21"/>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2、灯具寿命不低于3万小时。</w:t>
            </w:r>
          </w:p>
        </w:tc>
      </w:tr>
      <w:tr w:rsidR="00A730D3" w:rsidTr="00C967B6">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spacing w:line="360" w:lineRule="auto"/>
              <w:jc w:val="center"/>
              <w:rPr>
                <w:rFonts w:ascii="仿宋_GB2312" w:eastAsia="仿宋_GB2312" w:hAnsi="仿宋_GB2312" w:cs="仿宋_GB2312"/>
                <w:szCs w:val="21"/>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A730D3" w:rsidRDefault="00A730D3" w:rsidP="00C967B6">
            <w:pPr>
              <w:spacing w:line="360" w:lineRule="auto"/>
              <w:jc w:val="center"/>
              <w:rPr>
                <w:rFonts w:ascii="仿宋_GB2312" w:eastAsia="仿宋_GB2312" w:hAnsi="仿宋_GB2312" w:cs="仿宋_GB2312"/>
                <w:szCs w:val="21"/>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3、灯具</w:t>
            </w:r>
            <w:proofErr w:type="gramStart"/>
            <w:r>
              <w:rPr>
                <w:rFonts w:ascii="仿宋_GB2312" w:eastAsia="仿宋_GB2312" w:hAnsi="仿宋_GB2312" w:cs="仿宋_GB2312" w:hint="eastAsia"/>
                <w:kern w:val="0"/>
                <w:sz w:val="21"/>
                <w:szCs w:val="21"/>
              </w:rPr>
              <w:t>光衰符合</w:t>
            </w:r>
            <w:proofErr w:type="gramEnd"/>
            <w:r>
              <w:rPr>
                <w:rFonts w:ascii="仿宋_GB2312" w:eastAsia="仿宋_GB2312" w:hAnsi="仿宋_GB2312" w:cs="仿宋_GB2312" w:hint="eastAsia"/>
                <w:kern w:val="0"/>
                <w:sz w:val="21"/>
                <w:szCs w:val="21"/>
              </w:rPr>
              <w:t>国标要求。</w:t>
            </w:r>
          </w:p>
        </w:tc>
      </w:tr>
      <w:tr w:rsidR="00A730D3" w:rsidTr="00C967B6">
        <w:trPr>
          <w:trHeight w:val="624"/>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6</w:t>
            </w: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驱动电源</w:t>
            </w:r>
          </w:p>
        </w:tc>
        <w:tc>
          <w:tcPr>
            <w:tcW w:w="59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widowControl/>
              <w:spacing w:line="360" w:lineRule="auto"/>
              <w:jc w:val="left"/>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 w:val="21"/>
                <w:szCs w:val="21"/>
              </w:rPr>
              <w:t>品牌推荐使用“台湾明纬(MEAN WELL)”、“茂硕”、“英飞特”、“欧司朗（OSRAM）”、“飞利浦（PHILIPS）”；</w:t>
            </w:r>
          </w:p>
        </w:tc>
      </w:tr>
      <w:tr w:rsidR="00A730D3" w:rsidTr="00C967B6">
        <w:trPr>
          <w:trHeight w:val="624"/>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spacing w:line="360" w:lineRule="auto"/>
              <w:jc w:val="center"/>
              <w:rPr>
                <w:rFonts w:ascii="仿宋_GB2312" w:eastAsia="仿宋_GB2312" w:hAnsi="仿宋_GB2312" w:cs="仿宋_GB2312"/>
                <w:szCs w:val="21"/>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spacing w:line="360" w:lineRule="auto"/>
              <w:jc w:val="center"/>
              <w:rPr>
                <w:rFonts w:ascii="仿宋_GB2312" w:eastAsia="仿宋_GB2312" w:hAnsi="仿宋_GB2312" w:cs="仿宋_GB2312"/>
                <w:szCs w:val="21"/>
              </w:rPr>
            </w:pPr>
          </w:p>
        </w:tc>
        <w:tc>
          <w:tcPr>
            <w:tcW w:w="5949"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A730D3" w:rsidRDefault="00A730D3" w:rsidP="00C967B6">
            <w:pPr>
              <w:spacing w:line="360" w:lineRule="auto"/>
              <w:jc w:val="left"/>
              <w:rPr>
                <w:rFonts w:ascii="仿宋_GB2312" w:eastAsia="仿宋_GB2312" w:hAnsi="仿宋_GB2312" w:cs="仿宋_GB2312"/>
                <w:szCs w:val="21"/>
              </w:rPr>
            </w:pPr>
          </w:p>
        </w:tc>
      </w:tr>
      <w:tr w:rsidR="00A730D3" w:rsidTr="00C967B6">
        <w:trPr>
          <w:trHeight w:val="485"/>
          <w:jc w:val="center"/>
        </w:trPr>
        <w:tc>
          <w:tcPr>
            <w:tcW w:w="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7</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配光曲线</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0D3" w:rsidRDefault="00A730D3" w:rsidP="00C967B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 w:val="21"/>
                <w:szCs w:val="21"/>
              </w:rPr>
              <w:t>光强、光通量、出光角度、色漂移、色容差、色一致性</w:t>
            </w:r>
          </w:p>
        </w:tc>
      </w:tr>
    </w:tbl>
    <w:p w:rsidR="00A730D3" w:rsidRDefault="00A730D3" w:rsidP="00A730D3">
      <w:pPr>
        <w:pStyle w:val="2"/>
        <w:spacing w:line="360" w:lineRule="auto"/>
        <w:ind w:left="420"/>
        <w:rPr>
          <w:rFonts w:ascii="仿宋_GB2312" w:eastAsia="仿宋_GB2312" w:hAnsi="仿宋_GB2312" w:cs="仿宋_GB2312"/>
          <w:sz w:val="28"/>
          <w:szCs w:val="28"/>
        </w:rPr>
      </w:pPr>
      <w:bookmarkStart w:id="38" w:name="_Toc23670"/>
      <w:r>
        <w:rPr>
          <w:rFonts w:ascii="仿宋_GB2312" w:eastAsia="仿宋_GB2312" w:hAnsi="仿宋_GB2312" w:cs="仿宋_GB2312" w:hint="eastAsia"/>
          <w:sz w:val="28"/>
          <w:szCs w:val="28"/>
        </w:rPr>
        <w:t>（六）室外防水UTP超五类网络电缆及水晶头</w:t>
      </w:r>
    </w:p>
    <w:p w:rsidR="00A730D3" w:rsidRDefault="00A730D3" w:rsidP="00A730D3">
      <w:pPr>
        <w:numPr>
          <w:ilvl w:val="0"/>
          <w:numId w:val="35"/>
        </w:numPr>
        <w:tabs>
          <w:tab w:val="left" w:pos="360"/>
        </w:tabs>
        <w:outlineLvl w:val="2"/>
        <w:rPr>
          <w:rFonts w:ascii="仿宋_GB2312" w:eastAsia="仿宋_GB2312" w:hAnsi="仿宋_GB2312" w:cs="仿宋_GB2312"/>
          <w:szCs w:val="21"/>
        </w:rPr>
      </w:pPr>
      <w:bookmarkStart w:id="39" w:name="_Toc17164"/>
      <w:bookmarkStart w:id="40" w:name="_Toc16098"/>
      <w:bookmarkEnd w:id="38"/>
      <w:r>
        <w:rPr>
          <w:rFonts w:ascii="仿宋_GB2312" w:eastAsia="仿宋_GB2312" w:hAnsi="仿宋_GB2312" w:cs="仿宋_GB2312" w:hint="eastAsia"/>
          <w:sz w:val="21"/>
          <w:szCs w:val="21"/>
        </w:rPr>
        <w:t>室外防水UTP超五类网络电缆（非屏蔽双绞线UTP）</w:t>
      </w:r>
      <w:bookmarkEnd w:id="39"/>
      <w:bookmarkEnd w:id="40"/>
    </w:p>
    <w:p w:rsidR="00A730D3" w:rsidRDefault="00A730D3" w:rsidP="00A730D3">
      <w:pPr>
        <w:rPr>
          <w:rFonts w:ascii="仿宋_GB2312" w:eastAsia="仿宋_GB2312" w:hAnsi="仿宋_GB2312" w:cs="仿宋_GB2312"/>
          <w:szCs w:val="21"/>
        </w:rPr>
      </w:pPr>
      <w:r>
        <w:rPr>
          <w:rFonts w:ascii="仿宋_GB2312" w:eastAsia="仿宋_GB2312" w:hAnsi="仿宋_GB2312" w:cs="仿宋_GB2312" w:hint="eastAsia"/>
          <w:noProof/>
          <w:szCs w:val="21"/>
        </w:rPr>
        <w:lastRenderedPageBreak/>
        <w:drawing>
          <wp:inline distT="0" distB="0" distL="114300" distR="114300" wp14:anchorId="4D16623E" wp14:editId="6EC3C135">
            <wp:extent cx="2364105" cy="1669415"/>
            <wp:effectExtent l="0" t="0" r="17145" b="6985"/>
            <wp:docPr id="199" name="图片 199" descr="5aa8ee39N387e94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descr="5aa8ee39N387e941e"/>
                    <pic:cNvPicPr>
                      <a:picLocks noChangeAspect="1"/>
                    </pic:cNvPicPr>
                  </pic:nvPicPr>
                  <pic:blipFill>
                    <a:blip r:embed="rId6"/>
                    <a:srcRect b="5532"/>
                    <a:stretch>
                      <a:fillRect/>
                    </a:stretch>
                  </pic:blipFill>
                  <pic:spPr>
                    <a:xfrm>
                      <a:off x="0" y="0"/>
                      <a:ext cx="2364105" cy="1669415"/>
                    </a:xfrm>
                    <a:prstGeom prst="rect">
                      <a:avLst/>
                    </a:prstGeom>
                  </pic:spPr>
                </pic:pic>
              </a:graphicData>
            </a:graphic>
          </wp:inline>
        </w:drawing>
      </w:r>
      <w:r>
        <w:rPr>
          <w:rFonts w:ascii="仿宋_GB2312" w:eastAsia="仿宋_GB2312" w:hAnsi="仿宋_GB2312" w:cs="仿宋_GB2312" w:hint="eastAsia"/>
          <w:sz w:val="21"/>
          <w:szCs w:val="21"/>
        </w:rPr>
        <w:t xml:space="preserve">      </w:t>
      </w:r>
      <w:r>
        <w:rPr>
          <w:rFonts w:ascii="仿宋_GB2312" w:eastAsia="仿宋_GB2312" w:hAnsi="仿宋_GB2312" w:cs="仿宋_GB2312" w:hint="eastAsia"/>
          <w:noProof/>
          <w:szCs w:val="21"/>
        </w:rPr>
        <w:drawing>
          <wp:inline distT="0" distB="0" distL="114300" distR="114300" wp14:anchorId="66D8028A" wp14:editId="07E664BE">
            <wp:extent cx="2151380" cy="1673225"/>
            <wp:effectExtent l="0" t="0" r="1270" b="3175"/>
            <wp:docPr id="200" name="图片 200" descr="670-141203135240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descr="670-141203135240595"/>
                    <pic:cNvPicPr>
                      <a:picLocks noChangeAspect="1"/>
                    </pic:cNvPicPr>
                  </pic:nvPicPr>
                  <pic:blipFill>
                    <a:blip r:embed="rId7"/>
                    <a:srcRect r="24293" b="16071"/>
                    <a:stretch>
                      <a:fillRect/>
                    </a:stretch>
                  </pic:blipFill>
                  <pic:spPr>
                    <a:xfrm>
                      <a:off x="0" y="0"/>
                      <a:ext cx="2151380" cy="1673225"/>
                    </a:xfrm>
                    <a:prstGeom prst="rect">
                      <a:avLst/>
                    </a:prstGeom>
                  </pic:spPr>
                </pic:pic>
              </a:graphicData>
            </a:graphic>
          </wp:inline>
        </w:drawing>
      </w:r>
    </w:p>
    <w:p w:rsidR="00A730D3" w:rsidRDefault="00A730D3" w:rsidP="00A730D3">
      <w:pPr>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14:anchorId="2CB38320" wp14:editId="7DBA1BA4">
            <wp:extent cx="1896745" cy="669290"/>
            <wp:effectExtent l="0" t="0" r="8255" b="16510"/>
            <wp:docPr id="201" name="图片 201" descr="7437561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descr="74375611_2"/>
                    <pic:cNvPicPr>
                      <a:picLocks noChangeAspect="1"/>
                    </pic:cNvPicPr>
                  </pic:nvPicPr>
                  <pic:blipFill>
                    <a:blip r:embed="rId8"/>
                    <a:srcRect r="43345" b="45064"/>
                    <a:stretch>
                      <a:fillRect/>
                    </a:stretch>
                  </pic:blipFill>
                  <pic:spPr>
                    <a:xfrm>
                      <a:off x="0" y="0"/>
                      <a:ext cx="1896745" cy="669290"/>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14:anchorId="67C36B8C" wp14:editId="4F01B532">
            <wp:extent cx="2183765" cy="1000125"/>
            <wp:effectExtent l="0" t="0" r="6985" b="9525"/>
            <wp:docPr id="207" name="图片 207" descr="59b0f65eNbf52e5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59b0f65eNbf52e50e"/>
                    <pic:cNvPicPr>
                      <a:picLocks noChangeAspect="1"/>
                    </pic:cNvPicPr>
                  </pic:nvPicPr>
                  <pic:blipFill>
                    <a:blip r:embed="rId9"/>
                    <a:srcRect b="24028"/>
                    <a:stretch>
                      <a:fillRect/>
                    </a:stretch>
                  </pic:blipFill>
                  <pic:spPr>
                    <a:xfrm>
                      <a:off x="0" y="0"/>
                      <a:ext cx="2183765" cy="1000125"/>
                    </a:xfrm>
                    <a:prstGeom prst="rect">
                      <a:avLst/>
                    </a:prstGeom>
                  </pic:spPr>
                </pic:pic>
              </a:graphicData>
            </a:graphic>
          </wp:inline>
        </w:drawing>
      </w:r>
    </w:p>
    <w:p w:rsidR="00A730D3" w:rsidRDefault="00A730D3" w:rsidP="00A730D3">
      <w:pPr>
        <w:rPr>
          <w:rFonts w:ascii="仿宋_GB2312" w:eastAsia="仿宋_GB2312" w:hAnsi="仿宋_GB2312" w:cs="仿宋_GB2312"/>
          <w:szCs w:val="21"/>
        </w:rPr>
      </w:pP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由4对双绞线、1条抗拉线和一个塑料外皮构成。有一层绝缘胶皮包裹，组网灵活。具有防水、防冻、防鼠疫、防晒、抗紫外线的特性。</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1.标准。符合100Base-T4标准要求使用全部的4对线进行信号传输。衰减小，串扰少，并且具有更高的衰减与串扰的比值（ACR）和信噪比（Structural Return Loss）、更小的时延误差。标识是“CAT5E”，带宽155M，主要用于千兆位以太网（1000Mbps）。</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2.外观特征。①双绞线应弯曲自然，以方便布线;②电缆中的铜芯具有较好的韧性。为了使双绞线在移动中不至于断线，除外皮保护层外，内部的铜芯还要具有一定的韧性。同时为便于接头的制作和连接可靠，铜芯既不能太软，也不能太硬，太软不易接头的制作，太硬则容易产生接头处断裂;③具有阻燃性。为了避免受高温或起火而引起的线缆损坏，双绞线最外面的一层包皮除应具有很好的抗拉特性外，还应具有阻燃性(可以用火来烧一下测试:如果是正品，胶皮会受热松软，不会起火;如果是假货，一点就着)。④</w:t>
      </w:r>
      <w:proofErr w:type="gramStart"/>
      <w:r>
        <w:rPr>
          <w:rFonts w:ascii="仿宋_GB2312" w:eastAsia="仿宋_GB2312" w:hAnsi="仿宋_GB2312" w:cs="仿宋_GB2312" w:hint="eastAsia"/>
          <w:sz w:val="21"/>
          <w:szCs w:val="21"/>
        </w:rPr>
        <w:t>最大单段长度</w:t>
      </w:r>
      <w:proofErr w:type="gramEnd"/>
      <w:r>
        <w:rPr>
          <w:rFonts w:ascii="仿宋_GB2312" w:eastAsia="仿宋_GB2312" w:hAnsi="仿宋_GB2312" w:cs="仿宋_GB2312" w:hint="eastAsia"/>
          <w:sz w:val="21"/>
          <w:szCs w:val="21"/>
        </w:rPr>
        <w:t>100米。标准长度305米一箱，连包装重量不低于13.5公斤。</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3.制造工艺。为了降低信号的干扰，双绞线电缆中的每一线对都是由两根绝缘的铜导线相互</w:t>
      </w:r>
      <w:proofErr w:type="gramStart"/>
      <w:r>
        <w:rPr>
          <w:rFonts w:ascii="仿宋_GB2312" w:eastAsia="仿宋_GB2312" w:hAnsi="仿宋_GB2312" w:cs="仿宋_GB2312" w:hint="eastAsia"/>
          <w:sz w:val="21"/>
          <w:szCs w:val="21"/>
        </w:rPr>
        <w:t>扭绕而</w:t>
      </w:r>
      <w:proofErr w:type="gramEnd"/>
      <w:r>
        <w:rPr>
          <w:rFonts w:ascii="仿宋_GB2312" w:eastAsia="仿宋_GB2312" w:hAnsi="仿宋_GB2312" w:cs="仿宋_GB2312" w:hint="eastAsia"/>
          <w:sz w:val="21"/>
          <w:szCs w:val="21"/>
        </w:rPr>
        <w:t>成，而且同一电缆中的不同线对具有不同的</w:t>
      </w:r>
      <w:proofErr w:type="gramStart"/>
      <w:r>
        <w:rPr>
          <w:rFonts w:ascii="仿宋_GB2312" w:eastAsia="仿宋_GB2312" w:hAnsi="仿宋_GB2312" w:cs="仿宋_GB2312" w:hint="eastAsia"/>
          <w:sz w:val="21"/>
          <w:szCs w:val="21"/>
        </w:rPr>
        <w:t>扭绕度</w:t>
      </w:r>
      <w:proofErr w:type="gramEnd"/>
      <w:r>
        <w:rPr>
          <w:rFonts w:ascii="仿宋_GB2312" w:eastAsia="仿宋_GB2312" w:hAnsi="仿宋_GB2312" w:cs="仿宋_GB2312" w:hint="eastAsia"/>
          <w:sz w:val="21"/>
          <w:szCs w:val="21"/>
        </w:rPr>
        <w:t>(就是扭绕线圈的数量多少)。同时，双绞线电缆中的线对按逆时针方向进行扭绕。严禁出现以下问题:①为了简化制造工艺，电缆中所有线对</w:t>
      </w:r>
      <w:proofErr w:type="gramStart"/>
      <w:r>
        <w:rPr>
          <w:rFonts w:ascii="仿宋_GB2312" w:eastAsia="仿宋_GB2312" w:hAnsi="仿宋_GB2312" w:cs="仿宋_GB2312" w:hint="eastAsia"/>
          <w:sz w:val="21"/>
          <w:szCs w:val="21"/>
        </w:rPr>
        <w:t>的扭绕密度</w:t>
      </w:r>
      <w:proofErr w:type="gramEnd"/>
      <w:r>
        <w:rPr>
          <w:rFonts w:ascii="仿宋_GB2312" w:eastAsia="仿宋_GB2312" w:hAnsi="仿宋_GB2312" w:cs="仿宋_GB2312" w:hint="eastAsia"/>
          <w:sz w:val="21"/>
          <w:szCs w:val="21"/>
        </w:rPr>
        <w:t>相同;②线对中两根绝缘导线</w:t>
      </w:r>
      <w:proofErr w:type="gramStart"/>
      <w:r>
        <w:rPr>
          <w:rFonts w:ascii="仿宋_GB2312" w:eastAsia="仿宋_GB2312" w:hAnsi="仿宋_GB2312" w:cs="仿宋_GB2312" w:hint="eastAsia"/>
          <w:sz w:val="21"/>
          <w:szCs w:val="21"/>
        </w:rPr>
        <w:t>的扭绕密度</w:t>
      </w:r>
      <w:proofErr w:type="gramEnd"/>
      <w:r>
        <w:rPr>
          <w:rFonts w:ascii="仿宋_GB2312" w:eastAsia="仿宋_GB2312" w:hAnsi="仿宋_GB2312" w:cs="仿宋_GB2312" w:hint="eastAsia"/>
          <w:sz w:val="21"/>
          <w:szCs w:val="21"/>
        </w:rPr>
        <w:t>不符合技术要求;③线对的</w:t>
      </w:r>
      <w:proofErr w:type="gramStart"/>
      <w:r>
        <w:rPr>
          <w:rFonts w:ascii="仿宋_GB2312" w:eastAsia="仿宋_GB2312" w:hAnsi="仿宋_GB2312" w:cs="仿宋_GB2312" w:hint="eastAsia"/>
          <w:sz w:val="21"/>
          <w:szCs w:val="21"/>
        </w:rPr>
        <w:t>扭绕方向</w:t>
      </w:r>
      <w:proofErr w:type="gramEnd"/>
      <w:r>
        <w:rPr>
          <w:rFonts w:ascii="仿宋_GB2312" w:eastAsia="仿宋_GB2312" w:hAnsi="仿宋_GB2312" w:cs="仿宋_GB2312" w:hint="eastAsia"/>
          <w:sz w:val="21"/>
          <w:szCs w:val="21"/>
        </w:rPr>
        <w:t>不符合要求。如果存在以上问题，将会引起双绞线的近端串扰(指UTP中两线对之间的信号干扰程度)，从而使传输距离达不到要求。线对的</w:t>
      </w:r>
      <w:proofErr w:type="gramStart"/>
      <w:r>
        <w:rPr>
          <w:rFonts w:ascii="仿宋_GB2312" w:eastAsia="仿宋_GB2312" w:hAnsi="仿宋_GB2312" w:cs="仿宋_GB2312" w:hint="eastAsia"/>
          <w:sz w:val="21"/>
          <w:szCs w:val="21"/>
        </w:rPr>
        <w:t>扭绕度超</w:t>
      </w:r>
      <w:proofErr w:type="gramEnd"/>
      <w:r>
        <w:rPr>
          <w:rFonts w:ascii="仿宋_GB2312" w:eastAsia="仿宋_GB2312" w:hAnsi="仿宋_GB2312" w:cs="仿宋_GB2312" w:hint="eastAsia"/>
          <w:sz w:val="21"/>
          <w:szCs w:val="21"/>
        </w:rPr>
        <w:t>五类要比五类密。</w:t>
      </w:r>
      <w:proofErr w:type="gramStart"/>
      <w:r>
        <w:rPr>
          <w:rFonts w:ascii="仿宋_GB2312" w:eastAsia="仿宋_GB2312" w:hAnsi="仿宋_GB2312" w:cs="仿宋_GB2312" w:hint="eastAsia"/>
          <w:sz w:val="21"/>
          <w:szCs w:val="21"/>
        </w:rPr>
        <w:t>除组成</w:t>
      </w:r>
      <w:proofErr w:type="gramEnd"/>
      <w:r>
        <w:rPr>
          <w:rFonts w:ascii="仿宋_GB2312" w:eastAsia="仿宋_GB2312" w:hAnsi="仿宋_GB2312" w:cs="仿宋_GB2312" w:hint="eastAsia"/>
          <w:sz w:val="21"/>
          <w:szCs w:val="21"/>
        </w:rPr>
        <w:t>双绞线线对的两条绝缘铜导线要按要求进行</w:t>
      </w:r>
      <w:proofErr w:type="gramStart"/>
      <w:r>
        <w:rPr>
          <w:rFonts w:ascii="仿宋_GB2312" w:eastAsia="仿宋_GB2312" w:hAnsi="仿宋_GB2312" w:cs="仿宋_GB2312" w:hint="eastAsia"/>
          <w:sz w:val="21"/>
          <w:szCs w:val="21"/>
        </w:rPr>
        <w:t>扭绕外</w:t>
      </w:r>
      <w:proofErr w:type="gramEnd"/>
      <w:r>
        <w:rPr>
          <w:rFonts w:ascii="仿宋_GB2312" w:eastAsia="仿宋_GB2312" w:hAnsi="仿宋_GB2312" w:cs="仿宋_GB2312" w:hint="eastAsia"/>
          <w:sz w:val="21"/>
          <w:szCs w:val="21"/>
        </w:rPr>
        <w:t>，标准双绞线电缆中的线对之间也要按逆时针方向进行扭绕。否则将会引起电缆电阻的不匹配，限制了传输距离。应符合TIA/EIA568A中的具体规定。</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lastRenderedPageBreak/>
        <w:t>4.传输速率：1000Mbps。需满足的测试方式：用一条双绞线连接两台100Mbps的设备(网卡到网卡或网卡到HUB)，通信时用Windows 95/98自带的monitor检测工具对其数据传输率进行监测。检验方法为:①选择"开始→程序→附件→系统工具→系统监视器"，将出现"系统监视器"窗口。如果在"系统工具"中没有"系统监视器"工具时，可通过"我的电脑→添加/删除程序→Windows安装程序→系统工具→系统监视器"建立。②在"系统监视器"窗口中设置监视对象。选择"编辑"菜单中的"添加项目"选项，在出现的对话框的"类别"列表中选择"Microsoft网络服务器"或"Microsoft网络客户"(注意:在保证网络连接正常的情况下)，在下一个对话框中选择"写入的字节数/秒"或"读取的字节数/秒"。至于选择"Microsoft网络服务器"或"Microsoft网络客户"，还是"写入的字节数/秒"或"读取的字节数/秒"，读者可任意选择，因为在网络中一个节点发送出的数据应该等于另一个节点接收到的数据。③设置测试数据的输出方式。系统提供了折线图、条形图和数字图三种输出方式，可通过窗口工具栏内的按钮来选择。④进行测试。最有效的办法是从服务器向你进行测试的工作站上拷贝大量的文件(为了测试的准确性，所拷贝的内容一定要足够多)。显示的峰值数值在4M/s以上，就基本可以肯定是五类网络电缆了(3类线所能达到的峰值数值大约为2.5M/s)。</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5.线缆对数。超五类室外防水网络电缆也是采用</w:t>
      </w:r>
      <w:proofErr w:type="gramStart"/>
      <w:r>
        <w:rPr>
          <w:rFonts w:ascii="仿宋_GB2312" w:eastAsia="仿宋_GB2312" w:hAnsi="仿宋_GB2312" w:cs="仿宋_GB2312" w:hint="eastAsia"/>
          <w:sz w:val="21"/>
          <w:szCs w:val="21"/>
        </w:rPr>
        <w:t>4个绕对和</w:t>
      </w:r>
      <w:proofErr w:type="gramEnd"/>
      <w:r>
        <w:rPr>
          <w:rFonts w:ascii="仿宋_GB2312" w:eastAsia="仿宋_GB2312" w:hAnsi="仿宋_GB2312" w:cs="仿宋_GB2312" w:hint="eastAsia"/>
          <w:sz w:val="21"/>
          <w:szCs w:val="21"/>
        </w:rPr>
        <w:t>1条抗拉线。线对的颜色分别为白橙、橙、白绿、绿、白蓝、蓝、白棕和</w:t>
      </w:r>
      <w:proofErr w:type="gramStart"/>
      <w:r>
        <w:rPr>
          <w:rFonts w:ascii="仿宋_GB2312" w:eastAsia="仿宋_GB2312" w:hAnsi="仿宋_GB2312" w:cs="仿宋_GB2312" w:hint="eastAsia"/>
          <w:sz w:val="21"/>
          <w:szCs w:val="21"/>
        </w:rPr>
        <w:t>棕。裸</w:t>
      </w:r>
      <w:proofErr w:type="gramEnd"/>
      <w:r>
        <w:rPr>
          <w:rFonts w:ascii="仿宋_GB2312" w:eastAsia="仿宋_GB2312" w:hAnsi="仿宋_GB2312" w:cs="仿宋_GB2312" w:hint="eastAsia"/>
          <w:sz w:val="21"/>
          <w:szCs w:val="21"/>
        </w:rPr>
        <w:t>铜线径为0.51mm（线规为24AWG），绝缘线径为0.92mm，UTP电缆直径为6.3mm。</w:t>
      </w:r>
    </w:p>
    <w:p w:rsidR="00A730D3" w:rsidRDefault="00A730D3" w:rsidP="00A730D3">
      <w:pPr>
        <w:jc w:val="left"/>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14:anchorId="0F91291E" wp14:editId="4EE3113B">
            <wp:extent cx="1790065" cy="2149475"/>
            <wp:effectExtent l="0" t="0" r="635" b="3175"/>
            <wp:docPr id="208" name="图片 208" descr="微信图片_201901291333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微信图片_20190129133331-1"/>
                    <pic:cNvPicPr>
                      <a:picLocks noChangeAspect="1"/>
                    </pic:cNvPicPr>
                  </pic:nvPicPr>
                  <pic:blipFill>
                    <a:blip r:embed="rId10"/>
                    <a:stretch>
                      <a:fillRect/>
                    </a:stretch>
                  </pic:blipFill>
                  <pic:spPr>
                    <a:xfrm>
                      <a:off x="0" y="0"/>
                      <a:ext cx="1790065" cy="2149475"/>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14:anchorId="7818DA26" wp14:editId="6C75DC36">
            <wp:extent cx="1597660" cy="2108200"/>
            <wp:effectExtent l="0" t="0" r="2540" b="6350"/>
            <wp:docPr id="209" name="图片 209" descr="微信图片_201901291333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微信图片_20190129133347-1"/>
                    <pic:cNvPicPr>
                      <a:picLocks noChangeAspect="1"/>
                    </pic:cNvPicPr>
                  </pic:nvPicPr>
                  <pic:blipFill>
                    <a:blip r:embed="rId11"/>
                    <a:srcRect t="4267"/>
                    <a:stretch>
                      <a:fillRect/>
                    </a:stretch>
                  </pic:blipFill>
                  <pic:spPr>
                    <a:xfrm>
                      <a:off x="0" y="0"/>
                      <a:ext cx="1597660" cy="2108200"/>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14:anchorId="008DFFED" wp14:editId="629FE7C2">
            <wp:extent cx="1406525" cy="2089785"/>
            <wp:effectExtent l="0" t="0" r="3175" b="5715"/>
            <wp:docPr id="210" name="图片 210" descr="微信图片_201901291333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descr="微信图片_20190129133350-1"/>
                    <pic:cNvPicPr>
                      <a:picLocks noChangeAspect="1"/>
                    </pic:cNvPicPr>
                  </pic:nvPicPr>
                  <pic:blipFill>
                    <a:blip r:embed="rId12"/>
                    <a:srcRect t="4276"/>
                    <a:stretch>
                      <a:fillRect/>
                    </a:stretch>
                  </pic:blipFill>
                  <pic:spPr>
                    <a:xfrm>
                      <a:off x="0" y="0"/>
                      <a:ext cx="1406525" cy="2089785"/>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14:anchorId="2B8AF451" wp14:editId="0CCB8984">
            <wp:extent cx="1683385" cy="2436495"/>
            <wp:effectExtent l="0" t="0" r="12065" b="1905"/>
            <wp:docPr id="211" name="图片 211" descr="微信图片_20190221112537副本-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微信图片_20190221112537副本-1"/>
                    <pic:cNvPicPr>
                      <a:picLocks noChangeAspect="1"/>
                    </pic:cNvPicPr>
                  </pic:nvPicPr>
                  <pic:blipFill>
                    <a:blip r:embed="rId13"/>
                    <a:srcRect t="2352"/>
                    <a:stretch>
                      <a:fillRect/>
                    </a:stretch>
                  </pic:blipFill>
                  <pic:spPr>
                    <a:xfrm>
                      <a:off x="0" y="0"/>
                      <a:ext cx="1683385" cy="2436495"/>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14:anchorId="7767485E" wp14:editId="50503FEC">
            <wp:extent cx="1722755" cy="2690495"/>
            <wp:effectExtent l="0" t="0" r="10795" b="14605"/>
            <wp:docPr id="212" name="图片 212" descr="微信图片_201901291333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2" descr="微信图片_20190129133354-1"/>
                    <pic:cNvPicPr>
                      <a:picLocks noChangeAspect="1"/>
                    </pic:cNvPicPr>
                  </pic:nvPicPr>
                  <pic:blipFill>
                    <a:blip r:embed="rId14"/>
                    <a:stretch>
                      <a:fillRect/>
                    </a:stretch>
                  </pic:blipFill>
                  <pic:spPr>
                    <a:xfrm>
                      <a:off x="0" y="0"/>
                      <a:ext cx="1722755" cy="2690495"/>
                    </a:xfrm>
                    <a:prstGeom prst="rect">
                      <a:avLst/>
                    </a:prstGeom>
                  </pic:spPr>
                </pic:pic>
              </a:graphicData>
            </a:graphic>
          </wp:inline>
        </w:drawing>
      </w:r>
    </w:p>
    <w:p w:rsidR="00A730D3" w:rsidRDefault="00A730D3" w:rsidP="00A730D3">
      <w:pPr>
        <w:numPr>
          <w:ilvl w:val="0"/>
          <w:numId w:val="35"/>
        </w:numPr>
        <w:tabs>
          <w:tab w:val="left" w:pos="360"/>
        </w:tabs>
        <w:outlineLvl w:val="2"/>
        <w:rPr>
          <w:rStyle w:val="30"/>
          <w:rFonts w:ascii="仿宋_GB2312" w:eastAsia="仿宋_GB2312" w:hAnsi="仿宋_GB2312" w:cs="仿宋_GB2312"/>
          <w:sz w:val="21"/>
          <w:szCs w:val="21"/>
        </w:rPr>
      </w:pPr>
      <w:bookmarkStart w:id="41" w:name="_Toc7320"/>
      <w:r>
        <w:rPr>
          <w:rStyle w:val="30"/>
          <w:rFonts w:ascii="仿宋_GB2312" w:eastAsia="仿宋_GB2312" w:hAnsi="仿宋_GB2312" w:cs="仿宋_GB2312" w:hint="eastAsia"/>
          <w:sz w:val="21"/>
          <w:szCs w:val="21"/>
        </w:rPr>
        <w:lastRenderedPageBreak/>
        <w:t>水晶头</w:t>
      </w:r>
      <w:bookmarkEnd w:id="41"/>
    </w:p>
    <w:p w:rsidR="00A730D3" w:rsidRDefault="00A730D3" w:rsidP="00A730D3">
      <w:pPr>
        <w:ind w:firstLineChars="200" w:firstLine="640"/>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14:anchorId="31B131A7" wp14:editId="75CAA33D">
            <wp:extent cx="1092200" cy="1468755"/>
            <wp:effectExtent l="0" t="0" r="12700" b="17145"/>
            <wp:docPr id="205" name="图片 205" descr="53b4f50eNfbadee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53b4f50eNfbadeea0"/>
                    <pic:cNvPicPr>
                      <a:picLocks noChangeAspect="1"/>
                    </pic:cNvPicPr>
                  </pic:nvPicPr>
                  <pic:blipFill>
                    <a:blip r:embed="rId15"/>
                    <a:srcRect l="11334" r="14267"/>
                    <a:stretch>
                      <a:fillRect/>
                    </a:stretch>
                  </pic:blipFill>
                  <pic:spPr>
                    <a:xfrm>
                      <a:off x="0" y="0"/>
                      <a:ext cx="1092200" cy="1468755"/>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14:anchorId="79E5579D" wp14:editId="6E5F16FF">
            <wp:extent cx="3435985" cy="1503045"/>
            <wp:effectExtent l="0" t="0" r="12065" b="1905"/>
            <wp:docPr id="206" name="图片 206" descr="t013e3ab382272a02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t013e3ab382272a02d8"/>
                    <pic:cNvPicPr>
                      <a:picLocks noChangeAspect="1"/>
                    </pic:cNvPicPr>
                  </pic:nvPicPr>
                  <pic:blipFill>
                    <a:blip r:embed="rId16"/>
                    <a:stretch>
                      <a:fillRect/>
                    </a:stretch>
                  </pic:blipFill>
                  <pic:spPr>
                    <a:xfrm>
                      <a:off x="0" y="0"/>
                      <a:ext cx="3435985" cy="1503045"/>
                    </a:xfrm>
                    <a:prstGeom prst="rect">
                      <a:avLst/>
                    </a:prstGeom>
                  </pic:spPr>
                </pic:pic>
              </a:graphicData>
            </a:graphic>
          </wp:inline>
        </w:drawing>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 xml:space="preserve">应符合的技术标准：1、YD/T 577-19294《室内电话机插头座》；2、YD/T926；3.《大楼通信综合布线系统第3部分：连接硬件和接插软线技术要求》 </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技术详参：</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1、外观：水晶头外观应为无色透明、色泽均匀且不含杂质、无气泡，塑料弹性良好。水晶头与通信线咬合紧密，不易脱落；</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2、结构尺寸：RJ45应符合TIA／EIA568A和TIA／E1A568AB线序，8个位置（8针）的模块化插孔，应符合规范要求长X宽X高，即21.34×11.68×8.00；</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3、材料要求：外壳材料为环保PC材料，水晶头金片果用0.35m磷青铜或高强度黄（≥65％含铜量），结构三叉，表面经整体</w:t>
      </w:r>
      <w:proofErr w:type="gramStart"/>
      <w:r>
        <w:rPr>
          <w:rFonts w:ascii="仿宋_GB2312" w:eastAsia="仿宋_GB2312" w:hAnsi="仿宋_GB2312" w:cs="仿宋_GB2312" w:hint="eastAsia"/>
          <w:sz w:val="21"/>
          <w:szCs w:val="21"/>
        </w:rPr>
        <w:t>锞</w:t>
      </w:r>
      <w:proofErr w:type="gramEnd"/>
      <w:r>
        <w:rPr>
          <w:rFonts w:ascii="仿宋_GB2312" w:eastAsia="仿宋_GB2312" w:hAnsi="仿宋_GB2312" w:cs="仿宋_GB2312" w:hint="eastAsia"/>
          <w:sz w:val="21"/>
          <w:szCs w:val="21"/>
        </w:rPr>
        <w:t>后镀金，厚度0.0254至1.27；</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4、导线拉脱力：应≥70N；</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5、直流电阻：常态≤20mΩ；温热试验后：增值≤5mΩ；</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6、绝缘电阻：常态＞1000mΩ；湿热试验后：＞1000mΩ；</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7、耐压试验：湿热试验前后，簧片与簧片间：直流1000V或交流700V不击穿：所有簧片与安装板或地间：直流1500V或交流1000V不击穿；</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8、</w:t>
      </w:r>
      <w:proofErr w:type="gramStart"/>
      <w:r>
        <w:rPr>
          <w:rFonts w:ascii="仿宋_GB2312" w:eastAsia="仿宋_GB2312" w:hAnsi="仿宋_GB2312" w:cs="仿宋_GB2312" w:hint="eastAsia"/>
          <w:sz w:val="21"/>
          <w:szCs w:val="21"/>
        </w:rPr>
        <w:t>插技试验</w:t>
      </w:r>
      <w:proofErr w:type="gramEnd"/>
      <w:r>
        <w:rPr>
          <w:rFonts w:ascii="仿宋_GB2312" w:eastAsia="仿宋_GB2312" w:hAnsi="仿宋_GB2312" w:cs="仿宋_GB2312" w:hint="eastAsia"/>
          <w:sz w:val="21"/>
          <w:szCs w:val="21"/>
        </w:rPr>
        <w:t>：50次机械寿命合格；</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9、塑料扣寿命：塑料锁扣90度弯折试验10次，仍具有弹性；</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10、高温试验：试验时间：48h，试验温度：（85+2）℃，塑壳无熔化、变形现象，试验后须做电气特性试验并满足相关要求；</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11、温热试验：40℃，92%，8h，插针表面无发绿、氧化现象；试验后须做电气特性试验并满足相关要求；</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12、阻燃性能：应达到V0等级；</w:t>
      </w:r>
    </w:p>
    <w:p w:rsidR="00A730D3" w:rsidRDefault="00A730D3" w:rsidP="00A730D3">
      <w:pPr>
        <w:pStyle w:val="2"/>
        <w:spacing w:line="360" w:lineRule="auto"/>
        <w:ind w:left="420"/>
        <w:rPr>
          <w:rFonts w:ascii="仿宋_GB2312" w:eastAsia="仿宋_GB2312" w:hAnsi="仿宋_GB2312" w:cs="仿宋_GB2312"/>
          <w:sz w:val="28"/>
          <w:szCs w:val="28"/>
        </w:rPr>
      </w:pPr>
      <w:bookmarkStart w:id="42" w:name="_Toc694"/>
      <w:r>
        <w:rPr>
          <w:rFonts w:ascii="仿宋_GB2312" w:eastAsia="仿宋_GB2312" w:hAnsi="仿宋_GB2312" w:cs="仿宋_GB2312" w:hint="eastAsia"/>
          <w:sz w:val="28"/>
          <w:szCs w:val="28"/>
        </w:rPr>
        <w:lastRenderedPageBreak/>
        <w:t>（七）所有设施运输要求</w:t>
      </w:r>
      <w:bookmarkEnd w:id="42"/>
    </w:p>
    <w:p w:rsidR="00A730D3" w:rsidRDefault="00A730D3" w:rsidP="00A730D3">
      <w:pPr>
        <w:pStyle w:val="3"/>
        <w:numPr>
          <w:ilvl w:val="0"/>
          <w:numId w:val="36"/>
        </w:numPr>
        <w:spacing w:before="0" w:after="0" w:line="360" w:lineRule="auto"/>
        <w:ind w:hanging="5"/>
        <w:jc w:val="left"/>
        <w:rPr>
          <w:rFonts w:ascii="仿宋_GB2312" w:eastAsia="仿宋_GB2312" w:hAnsi="仿宋_GB2312" w:cs="仿宋_GB2312"/>
          <w:sz w:val="21"/>
          <w:szCs w:val="21"/>
        </w:rPr>
      </w:pPr>
      <w:bookmarkStart w:id="43" w:name="_Toc28100"/>
      <w:r>
        <w:rPr>
          <w:rFonts w:ascii="仿宋_GB2312" w:eastAsia="仿宋_GB2312" w:hAnsi="仿宋_GB2312" w:cs="仿宋_GB2312" w:hint="eastAsia"/>
          <w:sz w:val="21"/>
          <w:szCs w:val="21"/>
        </w:rPr>
        <w:t>说明</w:t>
      </w:r>
      <w:bookmarkEnd w:id="43"/>
    </w:p>
    <w:p w:rsidR="00A730D3" w:rsidRDefault="00A730D3" w:rsidP="00A730D3">
      <w:pPr>
        <w:pStyle w:val="Style2"/>
        <w:snapToGrid w:val="0"/>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技术文件详参有规定的，按详</w:t>
      </w:r>
      <w:proofErr w:type="gramStart"/>
      <w:r>
        <w:rPr>
          <w:rFonts w:ascii="仿宋_GB2312" w:eastAsia="仿宋_GB2312" w:hAnsi="仿宋_GB2312" w:cs="仿宋_GB2312" w:hint="eastAsia"/>
          <w:szCs w:val="21"/>
        </w:rPr>
        <w:t>参规定</w:t>
      </w:r>
      <w:proofErr w:type="gramEnd"/>
      <w:r>
        <w:rPr>
          <w:rFonts w:ascii="仿宋_GB2312" w:eastAsia="仿宋_GB2312" w:hAnsi="仿宋_GB2312" w:cs="仿宋_GB2312" w:hint="eastAsia"/>
          <w:szCs w:val="21"/>
        </w:rPr>
        <w:t>执行，没有详</w:t>
      </w:r>
      <w:proofErr w:type="gramStart"/>
      <w:r>
        <w:rPr>
          <w:rFonts w:ascii="仿宋_GB2312" w:eastAsia="仿宋_GB2312" w:hAnsi="仿宋_GB2312" w:cs="仿宋_GB2312" w:hint="eastAsia"/>
          <w:szCs w:val="21"/>
        </w:rPr>
        <w:t>参规定</w:t>
      </w:r>
      <w:proofErr w:type="gramEnd"/>
      <w:r>
        <w:rPr>
          <w:rFonts w:ascii="仿宋_GB2312" w:eastAsia="仿宋_GB2312" w:hAnsi="仿宋_GB2312" w:cs="仿宋_GB2312" w:hint="eastAsia"/>
          <w:szCs w:val="21"/>
        </w:rPr>
        <w:t>的，按照本通则执行。</w:t>
      </w:r>
    </w:p>
    <w:p w:rsidR="00A730D3" w:rsidRDefault="00A730D3" w:rsidP="00A730D3">
      <w:pPr>
        <w:pStyle w:val="Style2"/>
        <w:snapToGrid w:val="0"/>
        <w:spacing w:line="360" w:lineRule="auto"/>
        <w:rPr>
          <w:rFonts w:ascii="仿宋_GB2312" w:eastAsia="仿宋_GB2312" w:hAnsi="仿宋_GB2312" w:cs="仿宋_GB2312"/>
          <w:szCs w:val="21"/>
        </w:rPr>
      </w:pPr>
      <w:r>
        <w:rPr>
          <w:rFonts w:ascii="仿宋_GB2312" w:eastAsia="仿宋_GB2312" w:hAnsi="仿宋_GB2312" w:cs="仿宋_GB2312" w:hint="eastAsia"/>
          <w:szCs w:val="21"/>
        </w:rPr>
        <w:t>包装应牢固，保证在运输过程中包捆不松动，避免构件之间、构件与包装物之间相互磨擦，损坏表面处理层。钢管管体的突出部分，如法兰、节点板等，采用有弹性、牢固的包装物包装。包装应采用合理的包装材料（草包、垫木、晴纶带、支架、打包带、打包扣、胶带等），采用合理的包装方式保证钢杆镀锌层/喷塑层/黑杆在储存、运输过程中不会因为颠簸、碰撞而表面划伤和变形。</w:t>
      </w:r>
    </w:p>
    <w:p w:rsidR="00A730D3" w:rsidRDefault="00A730D3" w:rsidP="00A730D3">
      <w:pPr>
        <w:pStyle w:val="3"/>
        <w:numPr>
          <w:ilvl w:val="0"/>
          <w:numId w:val="36"/>
        </w:numPr>
        <w:spacing w:before="0" w:after="0" w:line="360" w:lineRule="auto"/>
        <w:ind w:hanging="5"/>
        <w:jc w:val="left"/>
        <w:rPr>
          <w:rFonts w:ascii="仿宋_GB2312" w:eastAsia="仿宋_GB2312" w:hAnsi="仿宋_GB2312" w:cs="仿宋_GB2312"/>
          <w:sz w:val="21"/>
          <w:szCs w:val="21"/>
        </w:rPr>
      </w:pPr>
      <w:bookmarkStart w:id="44" w:name="_Toc5657"/>
      <w:r>
        <w:rPr>
          <w:rFonts w:ascii="仿宋_GB2312" w:eastAsia="仿宋_GB2312" w:hAnsi="仿宋_GB2312" w:cs="仿宋_GB2312" w:hint="eastAsia"/>
          <w:sz w:val="21"/>
          <w:szCs w:val="21"/>
        </w:rPr>
        <w:t>运输用基本设备及常用材料</w:t>
      </w:r>
      <w:bookmarkEnd w:id="44"/>
    </w:p>
    <w:p w:rsidR="00A730D3" w:rsidRDefault="00A730D3" w:rsidP="00A730D3">
      <w:pPr>
        <w:numPr>
          <w:ilvl w:val="0"/>
          <w:numId w:val="37"/>
        </w:num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行车；b.叉车；c.各种规格的胶合板垫木；d.带塑料保护套的钢丝绳、紧固拉钩套件、</w:t>
      </w:r>
      <w:proofErr w:type="gramStart"/>
      <w:r>
        <w:rPr>
          <w:rFonts w:ascii="仿宋_GB2312" w:eastAsia="仿宋_GB2312" w:hAnsi="仿宋_GB2312" w:cs="仿宋_GB2312" w:hint="eastAsia"/>
          <w:sz w:val="21"/>
          <w:szCs w:val="21"/>
        </w:rPr>
        <w:t>花兰</w:t>
      </w:r>
      <w:proofErr w:type="gramEnd"/>
      <w:r>
        <w:rPr>
          <w:rFonts w:ascii="仿宋_GB2312" w:eastAsia="仿宋_GB2312" w:hAnsi="仿宋_GB2312" w:cs="仿宋_GB2312" w:hint="eastAsia"/>
          <w:sz w:val="21"/>
          <w:szCs w:val="21"/>
        </w:rPr>
        <w:t>螺丝、捆绑器、钢钉；e.晴纶卷、橡胶板、稻草绳；f.钢制打包带；g.发泡塑料（喷塑杆专用）；h.尼龙绳（用于替代目前喷塑杆包装中使用的草绳）；</w:t>
      </w:r>
      <w:proofErr w:type="spellStart"/>
      <w:r>
        <w:rPr>
          <w:rFonts w:ascii="仿宋_GB2312" w:eastAsia="仿宋_GB2312" w:hAnsi="仿宋_GB2312" w:cs="仿宋_GB2312" w:hint="eastAsia"/>
          <w:sz w:val="21"/>
          <w:szCs w:val="21"/>
        </w:rPr>
        <w:t>i</w:t>
      </w:r>
      <w:proofErr w:type="spellEnd"/>
      <w:r>
        <w:rPr>
          <w:rFonts w:ascii="仿宋_GB2312" w:eastAsia="仿宋_GB2312" w:hAnsi="仿宋_GB2312" w:cs="仿宋_GB2312" w:hint="eastAsia"/>
          <w:sz w:val="21"/>
          <w:szCs w:val="21"/>
        </w:rPr>
        <w:t>.胶合板配件箱；j.木料切割机；k.镀锌螺丝及螺母（用于小部件固定）。</w:t>
      </w:r>
    </w:p>
    <w:p w:rsidR="00A730D3" w:rsidRDefault="00A730D3" w:rsidP="00A730D3">
      <w:pPr>
        <w:spacing w:line="360" w:lineRule="auto"/>
        <w:ind w:firstLineChars="200" w:firstLine="340"/>
        <w:rPr>
          <w:rFonts w:ascii="仿宋_GB2312" w:eastAsia="仿宋_GB2312" w:hAnsi="仿宋_GB2312" w:cs="仿宋_GB2312"/>
          <w:szCs w:val="21"/>
        </w:rPr>
      </w:pPr>
      <w:r>
        <w:rPr>
          <w:rFonts w:ascii="仿宋_GB2312" w:eastAsia="仿宋_GB2312" w:hAnsi="仿宋_GB2312" w:cs="仿宋_GB2312" w:hint="eastAsia"/>
          <w:sz w:val="21"/>
          <w:szCs w:val="21"/>
        </w:rPr>
        <w:t>在运输、装卸等环节，必须做好成品保护，确保货物完好无损。所有措施费用含在投标报价中。</w:t>
      </w:r>
    </w:p>
    <w:p w:rsidR="00A730D3" w:rsidRPr="009438FB" w:rsidRDefault="009438FB" w:rsidP="009438FB">
      <w:r>
        <w:rPr>
          <w:rFonts w:hint="eastAsia"/>
        </w:rPr>
        <w:t>四、</w:t>
      </w:r>
      <w:bookmarkStart w:id="45" w:name="_GoBack"/>
      <w:bookmarkEnd w:id="45"/>
      <w:r w:rsidR="00A730D3" w:rsidRPr="009438FB">
        <w:rPr>
          <w:rFonts w:hint="eastAsia"/>
        </w:rPr>
        <w:t>灯具详细参数</w:t>
      </w:r>
    </w:p>
    <w:p w:rsidR="00A730D3" w:rsidRDefault="00A730D3" w:rsidP="00A730D3">
      <w:pPr>
        <w:pStyle w:val="3"/>
        <w:rPr>
          <w:sz w:val="21"/>
          <w:szCs w:val="21"/>
        </w:rPr>
      </w:pPr>
      <w:r>
        <w:rPr>
          <w:rFonts w:ascii="仿宋_GB2312" w:eastAsia="仿宋_GB2312" w:hAnsi="仿宋_GB2312" w:cs="仿宋_GB2312" w:hint="eastAsia"/>
          <w:kern w:val="0"/>
          <w:sz w:val="21"/>
          <w:szCs w:val="21"/>
        </w:rPr>
        <w:t>1）</w:t>
      </w:r>
      <w:r>
        <w:rPr>
          <w:rFonts w:hint="eastAsia"/>
          <w:sz w:val="21"/>
          <w:szCs w:val="21"/>
        </w:rPr>
        <w:t xml:space="preserve">12W </w:t>
      </w:r>
      <w:r>
        <w:rPr>
          <w:rFonts w:hint="eastAsia"/>
          <w:sz w:val="21"/>
          <w:szCs w:val="21"/>
        </w:rPr>
        <w:t>线型</w:t>
      </w:r>
      <w:r>
        <w:rPr>
          <w:rFonts w:hint="eastAsia"/>
          <w:sz w:val="21"/>
          <w:szCs w:val="21"/>
        </w:rPr>
        <w:t>LED</w:t>
      </w:r>
      <w:r>
        <w:rPr>
          <w:rFonts w:hint="eastAsia"/>
          <w:sz w:val="21"/>
          <w:szCs w:val="21"/>
        </w:rPr>
        <w:t>水下投光灯（</w:t>
      </w:r>
      <w:r>
        <w:rPr>
          <w:rFonts w:hint="eastAsia"/>
          <w:sz w:val="21"/>
          <w:szCs w:val="21"/>
        </w:rPr>
        <w:t>1m</w:t>
      </w:r>
      <w:r>
        <w:rPr>
          <w:rFonts w:hint="eastAsia"/>
          <w:sz w:val="21"/>
          <w:szCs w:val="21"/>
        </w:rPr>
        <w:t>）</w:t>
      </w:r>
    </w:p>
    <w:p w:rsidR="00A730D3" w:rsidRDefault="00A730D3" w:rsidP="00A730D3"/>
    <w:tbl>
      <w:tblPr>
        <w:tblW w:w="8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19"/>
        <w:gridCol w:w="1142"/>
        <w:gridCol w:w="1057"/>
        <w:gridCol w:w="1018"/>
        <w:gridCol w:w="1204"/>
        <w:gridCol w:w="1084"/>
        <w:gridCol w:w="2033"/>
      </w:tblGrid>
      <w:tr w:rsidR="00A730D3" w:rsidTr="00C967B6">
        <w:trPr>
          <w:trHeight w:val="1830"/>
        </w:trPr>
        <w:tc>
          <w:tcPr>
            <w:tcW w:w="919" w:type="dxa"/>
            <w:vMerge w:val="restart"/>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灯具</w:t>
            </w:r>
          </w:p>
        </w:tc>
        <w:tc>
          <w:tcPr>
            <w:tcW w:w="2199" w:type="dxa"/>
            <w:gridSpan w:val="2"/>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外形</w:t>
            </w:r>
            <w:r>
              <w:rPr>
                <w:rFonts w:ascii="宋体" w:eastAsia="宋体" w:hAnsi="宋体" w:cs="宋体" w:hint="eastAsia"/>
                <w:b/>
                <w:kern w:val="0"/>
                <w:sz w:val="22"/>
                <w:szCs w:val="22"/>
                <w:lang w:bidi="ar"/>
              </w:rPr>
              <w:br/>
              <w:t>（仅供参考）</w:t>
            </w:r>
          </w:p>
        </w:tc>
        <w:tc>
          <w:tcPr>
            <w:tcW w:w="5339" w:type="dxa"/>
            <w:gridSpan w:val="4"/>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noProof/>
                <w:kern w:val="0"/>
                <w:sz w:val="22"/>
                <w:szCs w:val="22"/>
              </w:rPr>
              <w:drawing>
                <wp:inline distT="0" distB="0" distL="114300" distR="114300" wp14:anchorId="5102234E" wp14:editId="5A114C1D">
                  <wp:extent cx="525145" cy="504825"/>
                  <wp:effectExtent l="0" t="0" r="8255" b="9525"/>
                  <wp:docPr id="109"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5" descr="IMG_256"/>
                          <pic:cNvPicPr>
                            <a:picLocks noChangeAspect="1"/>
                          </pic:cNvPicPr>
                        </pic:nvPicPr>
                        <pic:blipFill>
                          <a:blip r:embed="rId17"/>
                          <a:srcRect l="2464" t="25862" r="78122" b="28448"/>
                          <a:stretch>
                            <a:fillRect/>
                          </a:stretch>
                        </pic:blipFill>
                        <pic:spPr>
                          <a:xfrm>
                            <a:off x="0" y="0"/>
                            <a:ext cx="525145" cy="504825"/>
                          </a:xfrm>
                          <a:prstGeom prst="rect">
                            <a:avLst/>
                          </a:prstGeom>
                          <a:noFill/>
                          <a:ln w="9525">
                            <a:noFill/>
                          </a:ln>
                        </pic:spPr>
                      </pic:pic>
                    </a:graphicData>
                  </a:graphic>
                </wp:inline>
              </w:drawing>
            </w:r>
            <w:r>
              <w:rPr>
                <w:rFonts w:ascii="宋体" w:eastAsia="宋体" w:hAnsi="宋体" w:cs="宋体" w:hint="eastAsia"/>
                <w:noProof/>
                <w:kern w:val="0"/>
                <w:sz w:val="22"/>
                <w:szCs w:val="22"/>
              </w:rPr>
              <w:drawing>
                <wp:inline distT="0" distB="0" distL="114300" distR="114300" wp14:anchorId="64A1DA23" wp14:editId="303A563E">
                  <wp:extent cx="2085975" cy="1104900"/>
                  <wp:effectExtent l="0" t="0" r="9525" b="0"/>
                  <wp:docPr id="121"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5" descr="IMG_256"/>
                          <pic:cNvPicPr>
                            <a:picLocks noChangeAspect="1"/>
                          </pic:cNvPicPr>
                        </pic:nvPicPr>
                        <pic:blipFill>
                          <a:blip r:embed="rId17"/>
                          <a:srcRect l="22887"/>
                          <a:stretch>
                            <a:fillRect/>
                          </a:stretch>
                        </pic:blipFill>
                        <pic:spPr>
                          <a:xfrm>
                            <a:off x="0" y="0"/>
                            <a:ext cx="2085975" cy="1104900"/>
                          </a:xfrm>
                          <a:prstGeom prst="rect">
                            <a:avLst/>
                          </a:prstGeom>
                          <a:noFill/>
                          <a:ln w="9525">
                            <a:noFill/>
                          </a:ln>
                        </pic:spPr>
                      </pic:pic>
                    </a:graphicData>
                  </a:graphic>
                </wp:inline>
              </w:drawing>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1142" w:type="dxa"/>
            <w:vMerge w:val="restart"/>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尺寸</w:t>
            </w:r>
          </w:p>
        </w:tc>
        <w:tc>
          <w:tcPr>
            <w:tcW w:w="1057"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长度（L）</w:t>
            </w:r>
          </w:p>
        </w:tc>
        <w:tc>
          <w:tcPr>
            <w:tcW w:w="2222" w:type="dxa"/>
            <w:gridSpan w:val="2"/>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1000mm</w:t>
            </w:r>
          </w:p>
        </w:tc>
        <w:tc>
          <w:tcPr>
            <w:tcW w:w="1084" w:type="dxa"/>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允许偏差</w:t>
            </w:r>
          </w:p>
        </w:tc>
        <w:tc>
          <w:tcPr>
            <w:tcW w:w="2033" w:type="dxa"/>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±1mm</w:t>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1142" w:type="dxa"/>
            <w:vMerge/>
            <w:shd w:val="clear" w:color="auto" w:fill="auto"/>
            <w:vAlign w:val="center"/>
          </w:tcPr>
          <w:p w:rsidR="00A730D3" w:rsidRDefault="00A730D3" w:rsidP="00C967B6">
            <w:pPr>
              <w:jc w:val="left"/>
              <w:rPr>
                <w:rFonts w:ascii="宋体" w:eastAsia="宋体" w:hAnsi="宋体" w:cs="宋体"/>
                <w:b/>
                <w:sz w:val="22"/>
                <w:szCs w:val="22"/>
              </w:rPr>
            </w:pPr>
          </w:p>
        </w:tc>
        <w:tc>
          <w:tcPr>
            <w:tcW w:w="1057"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宽度（W）</w:t>
            </w:r>
          </w:p>
        </w:tc>
        <w:tc>
          <w:tcPr>
            <w:tcW w:w="2222" w:type="dxa"/>
            <w:gridSpan w:val="2"/>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≤70mm</w:t>
            </w:r>
          </w:p>
        </w:tc>
        <w:tc>
          <w:tcPr>
            <w:tcW w:w="1084" w:type="dxa"/>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允许偏差</w:t>
            </w:r>
          </w:p>
        </w:tc>
        <w:tc>
          <w:tcPr>
            <w:tcW w:w="2033" w:type="dxa"/>
            <w:shd w:val="clear" w:color="auto" w:fill="auto"/>
          </w:tcPr>
          <w:p w:rsidR="00A730D3" w:rsidRDefault="00A730D3" w:rsidP="00C967B6">
            <w:pPr>
              <w:jc w:val="center"/>
            </w:pPr>
            <w:r>
              <w:rPr>
                <w:rFonts w:ascii="宋体" w:eastAsia="宋体" w:hAnsi="宋体" w:cs="宋体"/>
                <w:sz w:val="22"/>
                <w:szCs w:val="22"/>
              </w:rPr>
              <w:t>与原有灯具一致</w:t>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1142" w:type="dxa"/>
            <w:vMerge/>
            <w:shd w:val="clear" w:color="auto" w:fill="auto"/>
            <w:vAlign w:val="center"/>
          </w:tcPr>
          <w:p w:rsidR="00A730D3" w:rsidRDefault="00A730D3" w:rsidP="00C967B6">
            <w:pPr>
              <w:jc w:val="left"/>
              <w:rPr>
                <w:rFonts w:ascii="宋体" w:eastAsia="宋体" w:hAnsi="宋体" w:cs="宋体"/>
                <w:b/>
                <w:sz w:val="22"/>
                <w:szCs w:val="22"/>
              </w:rPr>
            </w:pPr>
          </w:p>
        </w:tc>
        <w:tc>
          <w:tcPr>
            <w:tcW w:w="1057"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高度（H）</w:t>
            </w:r>
          </w:p>
        </w:tc>
        <w:tc>
          <w:tcPr>
            <w:tcW w:w="2222" w:type="dxa"/>
            <w:gridSpan w:val="2"/>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≤70mm</w:t>
            </w:r>
          </w:p>
        </w:tc>
        <w:tc>
          <w:tcPr>
            <w:tcW w:w="1084" w:type="dxa"/>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允许偏差</w:t>
            </w:r>
          </w:p>
        </w:tc>
        <w:tc>
          <w:tcPr>
            <w:tcW w:w="2033" w:type="dxa"/>
            <w:shd w:val="clear" w:color="auto" w:fill="auto"/>
          </w:tcPr>
          <w:p w:rsidR="00A730D3" w:rsidRDefault="00A730D3" w:rsidP="00C967B6">
            <w:pPr>
              <w:jc w:val="center"/>
            </w:pPr>
            <w:r>
              <w:rPr>
                <w:rFonts w:ascii="宋体" w:eastAsia="宋体" w:hAnsi="宋体" w:cs="宋体"/>
                <w:sz w:val="22"/>
                <w:szCs w:val="22"/>
              </w:rPr>
              <w:t>与原有灯具一致</w:t>
            </w:r>
          </w:p>
        </w:tc>
      </w:tr>
      <w:tr w:rsidR="00A730D3" w:rsidTr="00C967B6">
        <w:trPr>
          <w:trHeight w:val="630"/>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1142" w:type="dxa"/>
            <w:vMerge w:val="restart"/>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材质</w:t>
            </w:r>
          </w:p>
        </w:tc>
        <w:tc>
          <w:tcPr>
            <w:tcW w:w="1057"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灯具外壳</w:t>
            </w:r>
          </w:p>
        </w:tc>
        <w:tc>
          <w:tcPr>
            <w:tcW w:w="5339" w:type="dxa"/>
            <w:gridSpan w:val="4"/>
            <w:shd w:val="clear" w:color="auto" w:fill="auto"/>
            <w:vAlign w:val="center"/>
          </w:tcPr>
          <w:p w:rsidR="00A730D3" w:rsidRDefault="00A730D3" w:rsidP="00C967B6">
            <w:pPr>
              <w:widowControl/>
              <w:jc w:val="left"/>
              <w:textAlignment w:val="center"/>
              <w:rPr>
                <w:rFonts w:ascii="宋体" w:eastAsia="宋体" w:hAnsi="宋体" w:cs="宋体"/>
                <w:sz w:val="22"/>
                <w:szCs w:val="22"/>
              </w:rPr>
            </w:pPr>
            <w:r>
              <w:rPr>
                <w:rFonts w:ascii="宋体" w:eastAsia="宋体" w:hAnsi="宋体" w:cs="宋体" w:hint="eastAsia"/>
                <w:kern w:val="0"/>
                <w:sz w:val="22"/>
                <w:szCs w:val="22"/>
                <w:lang w:bidi="ar"/>
              </w:rPr>
              <w:t>铝型材灯体,绝缘阻燃硅胶填充（防水、防火、抗紫外线）一体成形。</w:t>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1142" w:type="dxa"/>
            <w:vMerge/>
            <w:shd w:val="clear" w:color="auto" w:fill="auto"/>
            <w:vAlign w:val="center"/>
          </w:tcPr>
          <w:p w:rsidR="00A730D3" w:rsidRDefault="00A730D3" w:rsidP="00C967B6">
            <w:pPr>
              <w:jc w:val="left"/>
              <w:rPr>
                <w:rFonts w:ascii="宋体" w:eastAsia="宋体" w:hAnsi="宋体" w:cs="宋体"/>
                <w:b/>
                <w:sz w:val="22"/>
                <w:szCs w:val="22"/>
              </w:rPr>
            </w:pPr>
          </w:p>
        </w:tc>
        <w:tc>
          <w:tcPr>
            <w:tcW w:w="1057"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出光面</w:t>
            </w:r>
          </w:p>
        </w:tc>
        <w:tc>
          <w:tcPr>
            <w:tcW w:w="5339" w:type="dxa"/>
            <w:gridSpan w:val="4"/>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钢化玻璃</w:t>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2199" w:type="dxa"/>
            <w:gridSpan w:val="2"/>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外壳颜色</w:t>
            </w:r>
          </w:p>
        </w:tc>
        <w:tc>
          <w:tcPr>
            <w:tcW w:w="5339" w:type="dxa"/>
            <w:gridSpan w:val="4"/>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sz w:val="22"/>
                <w:szCs w:val="22"/>
              </w:rPr>
              <w:t>与安装位置的周边环境颜色一致</w:t>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2199" w:type="dxa"/>
            <w:gridSpan w:val="2"/>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r>
              <w:rPr>
                <w:rFonts w:ascii="宋体" w:hAnsi="宋体" w:cs="宋体" w:hint="eastAsia"/>
                <w:b/>
                <w:kern w:val="0"/>
                <w:sz w:val="22"/>
                <w:szCs w:val="22"/>
              </w:rPr>
              <w:t>色温</w:t>
            </w:r>
            <w:r>
              <w:rPr>
                <w:rFonts w:ascii="宋体" w:hAnsi="宋体" w:cs="宋体" w:hint="eastAsia"/>
                <w:b/>
                <w:kern w:val="0"/>
                <w:sz w:val="22"/>
                <w:szCs w:val="22"/>
              </w:rPr>
              <w:t>/</w:t>
            </w:r>
            <w:r>
              <w:rPr>
                <w:rFonts w:ascii="宋体" w:hAnsi="宋体" w:cs="宋体" w:hint="eastAsia"/>
                <w:b/>
                <w:kern w:val="0"/>
                <w:sz w:val="22"/>
                <w:szCs w:val="22"/>
              </w:rPr>
              <w:t>颜色</w:t>
            </w:r>
          </w:p>
        </w:tc>
        <w:tc>
          <w:tcPr>
            <w:tcW w:w="5339" w:type="dxa"/>
            <w:gridSpan w:val="4"/>
            <w:shd w:val="clear" w:color="auto" w:fill="auto"/>
          </w:tcPr>
          <w:p w:rsidR="00A730D3" w:rsidRDefault="00A730D3" w:rsidP="00C967B6">
            <w:pPr>
              <w:widowControl/>
              <w:jc w:val="center"/>
              <w:textAlignment w:val="center"/>
              <w:rPr>
                <w:rFonts w:ascii="宋体" w:hAnsi="宋体" w:cs="宋体"/>
                <w:b/>
                <w:kern w:val="0"/>
                <w:sz w:val="22"/>
                <w:szCs w:val="22"/>
              </w:rPr>
            </w:pPr>
            <w:r>
              <w:rPr>
                <w:rFonts w:ascii="宋体" w:hAnsi="宋体" w:cs="宋体" w:hint="eastAsia"/>
                <w:b/>
                <w:kern w:val="0"/>
                <w:sz w:val="22"/>
                <w:szCs w:val="22"/>
              </w:rPr>
              <w:t>RGBW</w:t>
            </w:r>
            <w:r>
              <w:rPr>
                <w:rFonts w:ascii="宋体" w:hAnsi="宋体" w:cs="宋体" w:hint="eastAsia"/>
                <w:b/>
                <w:kern w:val="0"/>
                <w:sz w:val="22"/>
                <w:szCs w:val="22"/>
              </w:rPr>
              <w:t>，混白光时</w:t>
            </w:r>
            <w:r>
              <w:rPr>
                <w:rFonts w:ascii="宋体" w:hAnsi="宋体" w:cs="宋体" w:hint="eastAsia"/>
                <w:b/>
                <w:kern w:val="0"/>
                <w:sz w:val="22"/>
                <w:szCs w:val="22"/>
              </w:rPr>
              <w:t>,</w:t>
            </w:r>
            <w:r>
              <w:rPr>
                <w:rFonts w:ascii="宋体" w:hAnsi="宋体" w:cs="宋体" w:hint="eastAsia"/>
                <w:b/>
                <w:kern w:val="0"/>
                <w:sz w:val="22"/>
                <w:szCs w:val="22"/>
              </w:rPr>
              <w:t>各点颜色要一致</w:t>
            </w:r>
          </w:p>
          <w:p w:rsidR="00A730D3" w:rsidRDefault="00A730D3" w:rsidP="00C967B6">
            <w:pPr>
              <w:widowControl/>
              <w:jc w:val="center"/>
              <w:textAlignment w:val="center"/>
              <w:rPr>
                <w:rFonts w:ascii="宋体" w:hAnsi="宋体" w:cs="宋体"/>
                <w:b/>
                <w:kern w:val="0"/>
                <w:sz w:val="22"/>
                <w:szCs w:val="22"/>
              </w:rPr>
            </w:pPr>
            <w:r>
              <w:rPr>
                <w:rFonts w:ascii="宋体" w:hAnsi="宋体" w:cs="宋体" w:hint="eastAsia"/>
                <w:b/>
                <w:kern w:val="0"/>
                <w:sz w:val="22"/>
                <w:szCs w:val="22"/>
              </w:rPr>
              <w:t>R</w:t>
            </w:r>
            <w:r>
              <w:rPr>
                <w:rFonts w:ascii="宋体" w:hAnsi="宋体" w:cs="宋体" w:hint="eastAsia"/>
                <w:b/>
                <w:kern w:val="0"/>
                <w:sz w:val="22"/>
                <w:szCs w:val="22"/>
              </w:rPr>
              <w:t>：</w:t>
            </w:r>
            <w:r>
              <w:rPr>
                <w:rFonts w:ascii="宋体" w:hAnsi="宋体" w:cs="宋体" w:hint="eastAsia"/>
                <w:b/>
                <w:kern w:val="0"/>
                <w:sz w:val="22"/>
                <w:szCs w:val="22"/>
              </w:rPr>
              <w:t>625</w:t>
            </w:r>
            <w:r>
              <w:rPr>
                <w:rFonts w:ascii="宋体" w:hAnsi="宋体" w:cs="宋体" w:hint="eastAsia"/>
                <w:b/>
                <w:kern w:val="0"/>
                <w:sz w:val="22"/>
                <w:szCs w:val="22"/>
              </w:rPr>
              <w:t>纳米，</w:t>
            </w:r>
            <w:r>
              <w:rPr>
                <w:rFonts w:ascii="宋体" w:hAnsi="宋体" w:cs="宋体" w:hint="eastAsia"/>
                <w:b/>
                <w:kern w:val="0"/>
                <w:sz w:val="22"/>
                <w:szCs w:val="22"/>
              </w:rPr>
              <w:t>G</w:t>
            </w:r>
            <w:r>
              <w:rPr>
                <w:rFonts w:ascii="宋体" w:hAnsi="宋体" w:cs="宋体" w:hint="eastAsia"/>
                <w:b/>
                <w:kern w:val="0"/>
                <w:sz w:val="22"/>
                <w:szCs w:val="22"/>
              </w:rPr>
              <w:t>：</w:t>
            </w:r>
            <w:r>
              <w:rPr>
                <w:rFonts w:ascii="宋体" w:hAnsi="宋体" w:cs="宋体" w:hint="eastAsia"/>
                <w:b/>
                <w:kern w:val="0"/>
                <w:sz w:val="22"/>
                <w:szCs w:val="22"/>
              </w:rPr>
              <w:t>530</w:t>
            </w:r>
            <w:r>
              <w:rPr>
                <w:rFonts w:ascii="宋体" w:hAnsi="宋体" w:cs="宋体" w:hint="eastAsia"/>
                <w:b/>
                <w:kern w:val="0"/>
                <w:sz w:val="22"/>
                <w:szCs w:val="22"/>
              </w:rPr>
              <w:t>纳米，</w:t>
            </w:r>
            <w:r>
              <w:rPr>
                <w:rFonts w:ascii="宋体" w:hAnsi="宋体" w:cs="宋体" w:hint="eastAsia"/>
                <w:b/>
                <w:kern w:val="0"/>
                <w:sz w:val="22"/>
                <w:szCs w:val="22"/>
              </w:rPr>
              <w:t>B</w:t>
            </w:r>
            <w:r>
              <w:rPr>
                <w:rFonts w:ascii="宋体" w:hAnsi="宋体" w:cs="宋体" w:hint="eastAsia"/>
                <w:b/>
                <w:kern w:val="0"/>
                <w:sz w:val="22"/>
                <w:szCs w:val="22"/>
              </w:rPr>
              <w:t>：</w:t>
            </w:r>
            <w:r>
              <w:rPr>
                <w:rFonts w:ascii="宋体" w:hAnsi="宋体" w:cs="宋体" w:hint="eastAsia"/>
                <w:b/>
                <w:kern w:val="0"/>
                <w:sz w:val="22"/>
                <w:szCs w:val="22"/>
              </w:rPr>
              <w:t>470</w:t>
            </w:r>
            <w:r>
              <w:rPr>
                <w:rFonts w:ascii="宋体" w:hAnsi="宋体" w:cs="宋体" w:hint="eastAsia"/>
                <w:b/>
                <w:kern w:val="0"/>
                <w:sz w:val="22"/>
                <w:szCs w:val="22"/>
              </w:rPr>
              <w:t>纳米，偏差≤±</w:t>
            </w:r>
            <w:r>
              <w:rPr>
                <w:rFonts w:ascii="宋体" w:hAnsi="宋体" w:cs="宋体" w:hint="eastAsia"/>
                <w:b/>
                <w:kern w:val="0"/>
                <w:sz w:val="22"/>
                <w:szCs w:val="22"/>
              </w:rPr>
              <w:t>6</w:t>
            </w:r>
            <w:r>
              <w:rPr>
                <w:rFonts w:ascii="宋体" w:hAnsi="宋体" w:cs="宋体" w:hint="eastAsia"/>
                <w:b/>
                <w:kern w:val="0"/>
                <w:sz w:val="22"/>
                <w:szCs w:val="22"/>
              </w:rPr>
              <w:t>纳米，</w:t>
            </w:r>
          </w:p>
          <w:p w:rsidR="00A730D3" w:rsidRDefault="00A730D3" w:rsidP="00C967B6">
            <w:pPr>
              <w:widowControl/>
              <w:jc w:val="center"/>
              <w:textAlignment w:val="center"/>
              <w:rPr>
                <w:rFonts w:ascii="宋体" w:eastAsia="宋体" w:hAnsi="宋体" w:cs="宋体"/>
                <w:sz w:val="22"/>
                <w:szCs w:val="22"/>
              </w:rPr>
            </w:pPr>
            <w:r>
              <w:rPr>
                <w:rFonts w:ascii="宋体" w:hAnsi="宋体" w:cs="宋体" w:hint="eastAsia"/>
                <w:b/>
                <w:kern w:val="0"/>
                <w:sz w:val="22"/>
                <w:szCs w:val="22"/>
              </w:rPr>
              <w:t>W:4000K</w:t>
            </w:r>
            <w:r>
              <w:rPr>
                <w:rFonts w:ascii="宋体" w:hAnsi="宋体" w:cs="宋体" w:hint="eastAsia"/>
                <w:b/>
                <w:kern w:val="0"/>
                <w:sz w:val="22"/>
                <w:szCs w:val="22"/>
              </w:rPr>
              <w:t>±</w:t>
            </w:r>
            <w:r>
              <w:rPr>
                <w:rFonts w:ascii="宋体" w:hAnsi="宋体" w:cs="宋体" w:hint="eastAsia"/>
                <w:b/>
                <w:kern w:val="0"/>
                <w:sz w:val="22"/>
                <w:szCs w:val="22"/>
              </w:rPr>
              <w:t>100K</w:t>
            </w:r>
          </w:p>
        </w:tc>
      </w:tr>
      <w:tr w:rsidR="00A730D3" w:rsidTr="00C967B6">
        <w:trPr>
          <w:trHeight w:val="285"/>
        </w:trPr>
        <w:tc>
          <w:tcPr>
            <w:tcW w:w="919" w:type="dxa"/>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lastRenderedPageBreak/>
              <w:t>光学</w:t>
            </w: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proofErr w:type="gramStart"/>
            <w:r>
              <w:rPr>
                <w:rFonts w:ascii="宋体" w:eastAsia="宋体" w:hAnsi="宋体" w:cs="宋体" w:hint="eastAsia"/>
                <w:b/>
                <w:kern w:val="0"/>
                <w:sz w:val="22"/>
                <w:szCs w:val="22"/>
                <w:lang w:bidi="ar"/>
              </w:rPr>
              <w:t>半峰发散</w:t>
            </w:r>
            <w:proofErr w:type="gramEnd"/>
            <w:r>
              <w:rPr>
                <w:rFonts w:ascii="宋体" w:eastAsia="宋体" w:hAnsi="宋体" w:cs="宋体" w:hint="eastAsia"/>
                <w:b/>
                <w:kern w:val="0"/>
                <w:sz w:val="22"/>
                <w:szCs w:val="22"/>
                <w:lang w:bidi="ar"/>
              </w:rPr>
              <w:t>角</w:t>
            </w:r>
          </w:p>
        </w:tc>
        <w:tc>
          <w:tcPr>
            <w:tcW w:w="2075" w:type="dxa"/>
            <w:gridSpan w:val="2"/>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hAnsi="宋体" w:cs="宋体" w:hint="eastAsia"/>
                <w:kern w:val="0"/>
                <w:sz w:val="22"/>
                <w:szCs w:val="22"/>
                <w:lang w:bidi="ar"/>
              </w:rPr>
              <w:t>——</w:t>
            </w:r>
          </w:p>
        </w:tc>
        <w:tc>
          <w:tcPr>
            <w:tcW w:w="2288" w:type="dxa"/>
            <w:gridSpan w:val="2"/>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配光要求</w:t>
            </w:r>
          </w:p>
        </w:tc>
        <w:tc>
          <w:tcPr>
            <w:tcW w:w="2033" w:type="dxa"/>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对称配光</w:t>
            </w:r>
          </w:p>
        </w:tc>
      </w:tr>
      <w:tr w:rsidR="00A730D3" w:rsidTr="00C967B6">
        <w:trPr>
          <w:trHeight w:val="90"/>
        </w:trPr>
        <w:tc>
          <w:tcPr>
            <w:tcW w:w="919" w:type="dxa"/>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光效</w:t>
            </w:r>
          </w:p>
        </w:tc>
        <w:tc>
          <w:tcPr>
            <w:tcW w:w="7538" w:type="dxa"/>
            <w:gridSpan w:val="6"/>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灯具光效≥</w:t>
            </w:r>
            <w:r>
              <w:rPr>
                <w:rFonts w:ascii="宋体" w:hAnsi="宋体" w:cs="宋体" w:hint="eastAsia"/>
                <w:kern w:val="0"/>
                <w:sz w:val="22"/>
                <w:szCs w:val="22"/>
                <w:lang w:bidi="ar"/>
              </w:rPr>
              <w:t>6</w:t>
            </w:r>
            <w:r>
              <w:rPr>
                <w:rFonts w:ascii="宋体" w:eastAsia="宋体" w:hAnsi="宋体" w:cs="宋体" w:hint="eastAsia"/>
                <w:kern w:val="0"/>
                <w:sz w:val="22"/>
                <w:szCs w:val="22"/>
                <w:lang w:bidi="ar"/>
              </w:rPr>
              <w:t>0lm/W</w:t>
            </w:r>
          </w:p>
        </w:tc>
      </w:tr>
      <w:tr w:rsidR="00A730D3" w:rsidTr="00C967B6">
        <w:trPr>
          <w:trHeight w:val="285"/>
        </w:trPr>
        <w:tc>
          <w:tcPr>
            <w:tcW w:w="919" w:type="dxa"/>
            <w:vMerge w:val="restart"/>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控制系统</w:t>
            </w: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sz w:val="22"/>
                <w:szCs w:val="22"/>
              </w:rPr>
            </w:pPr>
            <w:r>
              <w:rPr>
                <w:rFonts w:ascii="宋体" w:eastAsia="宋体" w:hAnsi="宋体" w:cs="宋体" w:hint="eastAsia"/>
                <w:b/>
                <w:kern w:val="0"/>
                <w:sz w:val="22"/>
                <w:szCs w:val="22"/>
                <w:lang w:bidi="ar"/>
              </w:rPr>
              <w:t>通用控制器</w:t>
            </w:r>
          </w:p>
        </w:tc>
        <w:tc>
          <w:tcPr>
            <w:tcW w:w="6396"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整体控制，含所有控制系统</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控制协议</w:t>
            </w:r>
          </w:p>
        </w:tc>
        <w:tc>
          <w:tcPr>
            <w:tcW w:w="6396"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标准DMX512</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控制设备1</w:t>
            </w:r>
          </w:p>
        </w:tc>
        <w:tc>
          <w:tcPr>
            <w:tcW w:w="6396"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含所有主控、分控、信号放大器等</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控制设备2</w:t>
            </w:r>
          </w:p>
        </w:tc>
        <w:tc>
          <w:tcPr>
            <w:tcW w:w="6396"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含所有光纤等信号传输线（不含网线）</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控制效果1</w:t>
            </w:r>
          </w:p>
        </w:tc>
        <w:tc>
          <w:tcPr>
            <w:tcW w:w="6396"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亮度可实现0%—100%范围内平滑调节及流动变化</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控制效果2</w:t>
            </w:r>
          </w:p>
        </w:tc>
        <w:tc>
          <w:tcPr>
            <w:tcW w:w="6396"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色温可实现红光—绿光—蓝光—白光平滑调节及流动变化</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控制单元</w:t>
            </w:r>
          </w:p>
        </w:tc>
        <w:tc>
          <w:tcPr>
            <w:tcW w:w="6396"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b/>
                <w:bCs/>
                <w:color w:val="C00000"/>
                <w:kern w:val="0"/>
                <w:sz w:val="22"/>
                <w:szCs w:val="22"/>
                <w:lang w:bidi="ar"/>
              </w:rPr>
              <w:t>每套灯不少于4个单元</w:t>
            </w:r>
          </w:p>
        </w:tc>
      </w:tr>
      <w:tr w:rsidR="00A730D3" w:rsidTr="00C967B6">
        <w:trPr>
          <w:trHeight w:val="285"/>
        </w:trPr>
        <w:tc>
          <w:tcPr>
            <w:tcW w:w="8457" w:type="dxa"/>
            <w:gridSpan w:val="7"/>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sz w:val="22"/>
                <w:szCs w:val="22"/>
              </w:rPr>
              <w:t>灯具要求IP68，</w:t>
            </w:r>
            <w:r>
              <w:rPr>
                <w:rFonts w:ascii="宋体" w:hAnsi="宋体" w:cs="宋体" w:hint="eastAsia"/>
                <w:sz w:val="22"/>
                <w:szCs w:val="22"/>
              </w:rPr>
              <w:t>处于</w:t>
            </w:r>
            <w:r>
              <w:rPr>
                <w:rFonts w:ascii="宋体" w:eastAsia="宋体" w:hAnsi="宋体" w:cs="宋体" w:hint="eastAsia"/>
                <w:sz w:val="22"/>
                <w:szCs w:val="22"/>
              </w:rPr>
              <w:t>水下</w:t>
            </w:r>
            <w:r>
              <w:rPr>
                <w:rFonts w:ascii="宋体" w:hAnsi="宋体" w:cs="宋体" w:hint="eastAsia"/>
                <w:sz w:val="22"/>
                <w:szCs w:val="22"/>
              </w:rPr>
              <w:t>环境时</w:t>
            </w:r>
            <w:r>
              <w:rPr>
                <w:rFonts w:ascii="宋体" w:eastAsia="宋体" w:hAnsi="宋体" w:cs="宋体" w:hint="eastAsia"/>
                <w:sz w:val="22"/>
                <w:szCs w:val="22"/>
              </w:rPr>
              <w:t>能长期安全稳定</w:t>
            </w:r>
            <w:r>
              <w:rPr>
                <w:rFonts w:ascii="宋体" w:hAnsi="宋体" w:cs="宋体" w:hint="eastAsia"/>
                <w:sz w:val="22"/>
                <w:szCs w:val="22"/>
              </w:rPr>
              <w:t>工作</w:t>
            </w:r>
            <w:r>
              <w:rPr>
                <w:rFonts w:ascii="宋体" w:eastAsia="宋体" w:hAnsi="宋体" w:cs="宋体" w:hint="eastAsia"/>
                <w:sz w:val="22"/>
                <w:szCs w:val="22"/>
              </w:rPr>
              <w:t>。公母头和</w:t>
            </w:r>
            <w:proofErr w:type="gramStart"/>
            <w:r>
              <w:rPr>
                <w:rFonts w:ascii="宋体" w:eastAsia="宋体" w:hAnsi="宋体" w:cs="宋体" w:hint="eastAsia"/>
                <w:sz w:val="22"/>
                <w:szCs w:val="22"/>
              </w:rPr>
              <w:t>及</w:t>
            </w:r>
            <w:proofErr w:type="gramEnd"/>
            <w:r>
              <w:rPr>
                <w:rFonts w:ascii="宋体" w:eastAsia="宋体" w:hAnsi="宋体" w:cs="宋体" w:hint="eastAsia"/>
                <w:sz w:val="22"/>
                <w:szCs w:val="22"/>
              </w:rPr>
              <w:t>信号控制能与原有灯具融合一致。</w:t>
            </w:r>
          </w:p>
        </w:tc>
      </w:tr>
    </w:tbl>
    <w:p w:rsidR="00A730D3" w:rsidRDefault="00A730D3" w:rsidP="00A730D3"/>
    <w:p w:rsidR="00A730D3" w:rsidRDefault="00A730D3" w:rsidP="00A730D3"/>
    <w:p w:rsidR="00A730D3" w:rsidRDefault="00A730D3" w:rsidP="00A730D3"/>
    <w:p w:rsidR="00A730D3" w:rsidRDefault="00A730D3" w:rsidP="00A730D3"/>
    <w:p w:rsidR="00A730D3" w:rsidRDefault="00A730D3" w:rsidP="00A730D3"/>
    <w:p w:rsidR="00A730D3" w:rsidRDefault="00A730D3" w:rsidP="00A730D3"/>
    <w:p w:rsidR="00A730D3" w:rsidRDefault="00A730D3" w:rsidP="00A730D3"/>
    <w:p w:rsidR="00A730D3" w:rsidRDefault="00A730D3" w:rsidP="00A730D3">
      <w:pPr>
        <w:pStyle w:val="3"/>
        <w:rPr>
          <w:sz w:val="21"/>
          <w:szCs w:val="21"/>
        </w:rPr>
      </w:pPr>
      <w:r>
        <w:rPr>
          <w:rFonts w:hint="eastAsia"/>
          <w:sz w:val="21"/>
          <w:szCs w:val="21"/>
        </w:rPr>
        <w:t xml:space="preserve">2)12W </w:t>
      </w:r>
      <w:r>
        <w:rPr>
          <w:rFonts w:hint="eastAsia"/>
          <w:sz w:val="21"/>
          <w:szCs w:val="21"/>
        </w:rPr>
        <w:t>线型</w:t>
      </w:r>
      <w:r>
        <w:rPr>
          <w:rFonts w:hint="eastAsia"/>
          <w:sz w:val="21"/>
          <w:szCs w:val="21"/>
        </w:rPr>
        <w:t>LED</w:t>
      </w:r>
      <w:r>
        <w:rPr>
          <w:rFonts w:hint="eastAsia"/>
          <w:sz w:val="21"/>
          <w:szCs w:val="21"/>
        </w:rPr>
        <w:t>水下投光灯</w:t>
      </w:r>
      <w:r>
        <w:rPr>
          <w:rFonts w:asciiTheme="minorEastAsia" w:hAnsiTheme="minorEastAsia" w:cstheme="minorEastAsia" w:hint="eastAsia"/>
          <w:sz w:val="21"/>
          <w:szCs w:val="21"/>
        </w:rPr>
        <w:t>（</w:t>
      </w:r>
      <w:r>
        <w:rPr>
          <w:rFonts w:asciiTheme="minorEastAsia" w:hAnsiTheme="minorEastAsia" w:cstheme="minorEastAsia" w:hint="eastAsia"/>
          <w:sz w:val="21"/>
          <w:szCs w:val="21"/>
        </w:rPr>
        <w:t>0.4</w:t>
      </w:r>
      <w:r>
        <w:rPr>
          <w:rFonts w:asciiTheme="minorEastAsia" w:hAnsiTheme="minorEastAsia" w:cstheme="minorEastAsia" w:hint="eastAsia"/>
          <w:sz w:val="21"/>
          <w:szCs w:val="21"/>
        </w:rPr>
        <w:t>米）</w:t>
      </w:r>
    </w:p>
    <w:p w:rsidR="00A730D3" w:rsidRDefault="00A730D3" w:rsidP="00A730D3"/>
    <w:tbl>
      <w:tblPr>
        <w:tblW w:w="8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19"/>
        <w:gridCol w:w="1142"/>
        <w:gridCol w:w="1057"/>
        <w:gridCol w:w="1018"/>
        <w:gridCol w:w="1204"/>
        <w:gridCol w:w="1084"/>
        <w:gridCol w:w="2226"/>
      </w:tblGrid>
      <w:tr w:rsidR="00A730D3" w:rsidTr="00C967B6">
        <w:trPr>
          <w:trHeight w:val="1830"/>
        </w:trPr>
        <w:tc>
          <w:tcPr>
            <w:tcW w:w="919" w:type="dxa"/>
            <w:vMerge w:val="restart"/>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灯具</w:t>
            </w:r>
          </w:p>
        </w:tc>
        <w:tc>
          <w:tcPr>
            <w:tcW w:w="2199" w:type="dxa"/>
            <w:gridSpan w:val="2"/>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外形</w:t>
            </w:r>
            <w:r>
              <w:rPr>
                <w:rFonts w:ascii="宋体" w:eastAsia="宋体" w:hAnsi="宋体" w:cs="宋体" w:hint="eastAsia"/>
                <w:b/>
                <w:kern w:val="0"/>
                <w:sz w:val="22"/>
                <w:szCs w:val="22"/>
                <w:lang w:bidi="ar"/>
              </w:rPr>
              <w:br/>
              <w:t>（仅供参考）</w:t>
            </w:r>
          </w:p>
        </w:tc>
        <w:tc>
          <w:tcPr>
            <w:tcW w:w="5532" w:type="dxa"/>
            <w:gridSpan w:val="4"/>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noProof/>
                <w:kern w:val="0"/>
                <w:sz w:val="22"/>
                <w:szCs w:val="22"/>
              </w:rPr>
              <w:drawing>
                <wp:inline distT="0" distB="0" distL="114300" distR="114300" wp14:anchorId="490B6715" wp14:editId="557E734F">
                  <wp:extent cx="525145" cy="504825"/>
                  <wp:effectExtent l="0" t="0" r="8255" b="9525"/>
                  <wp:docPr id="3"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5" descr="IMG_256"/>
                          <pic:cNvPicPr>
                            <a:picLocks noChangeAspect="1"/>
                          </pic:cNvPicPr>
                        </pic:nvPicPr>
                        <pic:blipFill>
                          <a:blip r:embed="rId17"/>
                          <a:srcRect l="2464" t="25862" r="78122" b="28448"/>
                          <a:stretch>
                            <a:fillRect/>
                          </a:stretch>
                        </pic:blipFill>
                        <pic:spPr>
                          <a:xfrm>
                            <a:off x="0" y="0"/>
                            <a:ext cx="525145" cy="504825"/>
                          </a:xfrm>
                          <a:prstGeom prst="rect">
                            <a:avLst/>
                          </a:prstGeom>
                          <a:noFill/>
                          <a:ln w="9525">
                            <a:noFill/>
                          </a:ln>
                        </pic:spPr>
                      </pic:pic>
                    </a:graphicData>
                  </a:graphic>
                </wp:inline>
              </w:drawing>
            </w:r>
            <w:r>
              <w:rPr>
                <w:rFonts w:ascii="宋体" w:eastAsia="宋体" w:hAnsi="宋体" w:cs="宋体" w:hint="eastAsia"/>
                <w:noProof/>
                <w:kern w:val="0"/>
                <w:sz w:val="22"/>
                <w:szCs w:val="22"/>
              </w:rPr>
              <w:drawing>
                <wp:inline distT="0" distB="0" distL="114300" distR="114300" wp14:anchorId="6F1A8001" wp14:editId="66AD8C30">
                  <wp:extent cx="2085975" cy="1104900"/>
                  <wp:effectExtent l="0" t="0" r="9525" b="0"/>
                  <wp:docPr id="4"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5" descr="IMG_256"/>
                          <pic:cNvPicPr>
                            <a:picLocks noChangeAspect="1"/>
                          </pic:cNvPicPr>
                        </pic:nvPicPr>
                        <pic:blipFill>
                          <a:blip r:embed="rId17"/>
                          <a:srcRect l="22887"/>
                          <a:stretch>
                            <a:fillRect/>
                          </a:stretch>
                        </pic:blipFill>
                        <pic:spPr>
                          <a:xfrm>
                            <a:off x="0" y="0"/>
                            <a:ext cx="2085975" cy="1104900"/>
                          </a:xfrm>
                          <a:prstGeom prst="rect">
                            <a:avLst/>
                          </a:prstGeom>
                          <a:noFill/>
                          <a:ln w="9525">
                            <a:noFill/>
                          </a:ln>
                        </pic:spPr>
                      </pic:pic>
                    </a:graphicData>
                  </a:graphic>
                </wp:inline>
              </w:drawing>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1142" w:type="dxa"/>
            <w:vMerge w:val="restart"/>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尺寸</w:t>
            </w:r>
          </w:p>
        </w:tc>
        <w:tc>
          <w:tcPr>
            <w:tcW w:w="1057"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长度（L）</w:t>
            </w:r>
          </w:p>
        </w:tc>
        <w:tc>
          <w:tcPr>
            <w:tcW w:w="2222" w:type="dxa"/>
            <w:gridSpan w:val="2"/>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430mm</w:t>
            </w:r>
          </w:p>
        </w:tc>
        <w:tc>
          <w:tcPr>
            <w:tcW w:w="1084" w:type="dxa"/>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允许偏差</w:t>
            </w:r>
          </w:p>
        </w:tc>
        <w:tc>
          <w:tcPr>
            <w:tcW w:w="2226" w:type="dxa"/>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±1mm</w:t>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1142" w:type="dxa"/>
            <w:vMerge/>
            <w:shd w:val="clear" w:color="auto" w:fill="auto"/>
            <w:vAlign w:val="center"/>
          </w:tcPr>
          <w:p w:rsidR="00A730D3" w:rsidRDefault="00A730D3" w:rsidP="00C967B6">
            <w:pPr>
              <w:jc w:val="left"/>
              <w:rPr>
                <w:rFonts w:ascii="宋体" w:eastAsia="宋体" w:hAnsi="宋体" w:cs="宋体"/>
                <w:b/>
                <w:sz w:val="22"/>
                <w:szCs w:val="22"/>
              </w:rPr>
            </w:pPr>
          </w:p>
        </w:tc>
        <w:tc>
          <w:tcPr>
            <w:tcW w:w="1057"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宽度（W）</w:t>
            </w:r>
          </w:p>
        </w:tc>
        <w:tc>
          <w:tcPr>
            <w:tcW w:w="2222" w:type="dxa"/>
            <w:gridSpan w:val="2"/>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≤70mm</w:t>
            </w:r>
          </w:p>
        </w:tc>
        <w:tc>
          <w:tcPr>
            <w:tcW w:w="1084" w:type="dxa"/>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允许偏差</w:t>
            </w:r>
          </w:p>
        </w:tc>
        <w:tc>
          <w:tcPr>
            <w:tcW w:w="2226" w:type="dxa"/>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sz w:val="22"/>
                <w:szCs w:val="22"/>
              </w:rPr>
              <w:t>与原有灯具一致</w:t>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1142" w:type="dxa"/>
            <w:vMerge/>
            <w:shd w:val="clear" w:color="auto" w:fill="auto"/>
            <w:vAlign w:val="center"/>
          </w:tcPr>
          <w:p w:rsidR="00A730D3" w:rsidRDefault="00A730D3" w:rsidP="00C967B6">
            <w:pPr>
              <w:jc w:val="left"/>
              <w:rPr>
                <w:rFonts w:ascii="宋体" w:eastAsia="宋体" w:hAnsi="宋体" w:cs="宋体"/>
                <w:b/>
                <w:sz w:val="22"/>
                <w:szCs w:val="22"/>
              </w:rPr>
            </w:pPr>
          </w:p>
        </w:tc>
        <w:tc>
          <w:tcPr>
            <w:tcW w:w="1057"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高度（H）</w:t>
            </w:r>
          </w:p>
        </w:tc>
        <w:tc>
          <w:tcPr>
            <w:tcW w:w="2222" w:type="dxa"/>
            <w:gridSpan w:val="2"/>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≤70mm</w:t>
            </w:r>
          </w:p>
        </w:tc>
        <w:tc>
          <w:tcPr>
            <w:tcW w:w="1084" w:type="dxa"/>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允许偏差</w:t>
            </w:r>
          </w:p>
        </w:tc>
        <w:tc>
          <w:tcPr>
            <w:tcW w:w="2226" w:type="dxa"/>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sz w:val="22"/>
                <w:szCs w:val="22"/>
              </w:rPr>
              <w:t>与原有灯具一致</w:t>
            </w:r>
          </w:p>
        </w:tc>
      </w:tr>
      <w:tr w:rsidR="00A730D3" w:rsidTr="00C967B6">
        <w:trPr>
          <w:trHeight w:val="630"/>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1142" w:type="dxa"/>
            <w:vMerge w:val="restart"/>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材质</w:t>
            </w:r>
          </w:p>
        </w:tc>
        <w:tc>
          <w:tcPr>
            <w:tcW w:w="1057"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灯具外壳</w:t>
            </w:r>
          </w:p>
        </w:tc>
        <w:tc>
          <w:tcPr>
            <w:tcW w:w="5532" w:type="dxa"/>
            <w:gridSpan w:val="4"/>
            <w:shd w:val="clear" w:color="auto" w:fill="auto"/>
            <w:vAlign w:val="center"/>
          </w:tcPr>
          <w:p w:rsidR="00A730D3" w:rsidRDefault="00A730D3" w:rsidP="00C967B6">
            <w:pPr>
              <w:widowControl/>
              <w:jc w:val="left"/>
              <w:textAlignment w:val="center"/>
              <w:rPr>
                <w:rFonts w:ascii="宋体" w:eastAsia="宋体" w:hAnsi="宋体" w:cs="宋体"/>
                <w:sz w:val="22"/>
                <w:szCs w:val="22"/>
              </w:rPr>
            </w:pPr>
            <w:r>
              <w:rPr>
                <w:rFonts w:ascii="宋体" w:eastAsia="宋体" w:hAnsi="宋体" w:cs="宋体" w:hint="eastAsia"/>
                <w:kern w:val="0"/>
                <w:sz w:val="22"/>
                <w:szCs w:val="22"/>
                <w:lang w:bidi="ar"/>
              </w:rPr>
              <w:t>铝型材灯体,绝缘阻燃硅胶填充（防水、防火、抗紫外线）一体成形。</w:t>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1142" w:type="dxa"/>
            <w:vMerge/>
            <w:shd w:val="clear" w:color="auto" w:fill="auto"/>
            <w:vAlign w:val="center"/>
          </w:tcPr>
          <w:p w:rsidR="00A730D3" w:rsidRDefault="00A730D3" w:rsidP="00C967B6">
            <w:pPr>
              <w:jc w:val="left"/>
              <w:rPr>
                <w:rFonts w:ascii="宋体" w:eastAsia="宋体" w:hAnsi="宋体" w:cs="宋体"/>
                <w:b/>
                <w:sz w:val="22"/>
                <w:szCs w:val="22"/>
              </w:rPr>
            </w:pPr>
          </w:p>
        </w:tc>
        <w:tc>
          <w:tcPr>
            <w:tcW w:w="1057"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出光面</w:t>
            </w:r>
          </w:p>
        </w:tc>
        <w:tc>
          <w:tcPr>
            <w:tcW w:w="5532" w:type="dxa"/>
            <w:gridSpan w:val="4"/>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钢化玻璃</w:t>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2199" w:type="dxa"/>
            <w:gridSpan w:val="2"/>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外壳颜色</w:t>
            </w:r>
          </w:p>
        </w:tc>
        <w:tc>
          <w:tcPr>
            <w:tcW w:w="5532" w:type="dxa"/>
            <w:gridSpan w:val="4"/>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sz w:val="22"/>
                <w:szCs w:val="22"/>
              </w:rPr>
              <w:t>与安装位置的周边环境颜色一致</w:t>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2199" w:type="dxa"/>
            <w:gridSpan w:val="2"/>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r>
              <w:rPr>
                <w:rFonts w:ascii="宋体" w:hAnsi="宋体" w:cs="宋体" w:hint="eastAsia"/>
                <w:b/>
                <w:kern w:val="0"/>
                <w:sz w:val="22"/>
                <w:szCs w:val="22"/>
              </w:rPr>
              <w:t>色温</w:t>
            </w:r>
            <w:r>
              <w:rPr>
                <w:rFonts w:ascii="宋体" w:hAnsi="宋体" w:cs="宋体" w:hint="eastAsia"/>
                <w:b/>
                <w:kern w:val="0"/>
                <w:sz w:val="22"/>
                <w:szCs w:val="22"/>
              </w:rPr>
              <w:t>/</w:t>
            </w:r>
            <w:r>
              <w:rPr>
                <w:rFonts w:ascii="宋体" w:hAnsi="宋体" w:cs="宋体" w:hint="eastAsia"/>
                <w:b/>
                <w:kern w:val="0"/>
                <w:sz w:val="22"/>
                <w:szCs w:val="22"/>
              </w:rPr>
              <w:t>颜色</w:t>
            </w:r>
          </w:p>
        </w:tc>
        <w:tc>
          <w:tcPr>
            <w:tcW w:w="5532" w:type="dxa"/>
            <w:gridSpan w:val="4"/>
            <w:shd w:val="clear" w:color="auto" w:fill="auto"/>
          </w:tcPr>
          <w:p w:rsidR="00A730D3" w:rsidRDefault="00A730D3" w:rsidP="00C967B6">
            <w:pPr>
              <w:widowControl/>
              <w:jc w:val="center"/>
              <w:textAlignment w:val="center"/>
              <w:rPr>
                <w:rFonts w:ascii="宋体" w:hAnsi="宋体" w:cs="宋体"/>
                <w:b/>
                <w:kern w:val="0"/>
                <w:sz w:val="22"/>
                <w:szCs w:val="22"/>
              </w:rPr>
            </w:pPr>
            <w:r>
              <w:rPr>
                <w:rFonts w:ascii="宋体" w:hAnsi="宋体" w:cs="宋体" w:hint="eastAsia"/>
                <w:b/>
                <w:kern w:val="0"/>
                <w:sz w:val="22"/>
                <w:szCs w:val="22"/>
              </w:rPr>
              <w:t>RGBW</w:t>
            </w:r>
            <w:r>
              <w:rPr>
                <w:rFonts w:ascii="宋体" w:hAnsi="宋体" w:cs="宋体" w:hint="eastAsia"/>
                <w:b/>
                <w:kern w:val="0"/>
                <w:sz w:val="22"/>
                <w:szCs w:val="22"/>
              </w:rPr>
              <w:t>，混白光时</w:t>
            </w:r>
            <w:r>
              <w:rPr>
                <w:rFonts w:ascii="宋体" w:hAnsi="宋体" w:cs="宋体" w:hint="eastAsia"/>
                <w:b/>
                <w:kern w:val="0"/>
                <w:sz w:val="22"/>
                <w:szCs w:val="22"/>
              </w:rPr>
              <w:t>,</w:t>
            </w:r>
            <w:r>
              <w:rPr>
                <w:rFonts w:ascii="宋体" w:hAnsi="宋体" w:cs="宋体" w:hint="eastAsia"/>
                <w:b/>
                <w:kern w:val="0"/>
                <w:sz w:val="22"/>
                <w:szCs w:val="22"/>
              </w:rPr>
              <w:t>各点颜色要一致</w:t>
            </w:r>
          </w:p>
          <w:p w:rsidR="00A730D3" w:rsidRDefault="00A730D3" w:rsidP="00C967B6">
            <w:pPr>
              <w:widowControl/>
              <w:jc w:val="center"/>
              <w:textAlignment w:val="center"/>
              <w:rPr>
                <w:rFonts w:ascii="宋体" w:hAnsi="宋体" w:cs="宋体"/>
                <w:b/>
                <w:kern w:val="0"/>
                <w:sz w:val="22"/>
                <w:szCs w:val="22"/>
              </w:rPr>
            </w:pPr>
            <w:r>
              <w:rPr>
                <w:rFonts w:ascii="宋体" w:hAnsi="宋体" w:cs="宋体" w:hint="eastAsia"/>
                <w:b/>
                <w:kern w:val="0"/>
                <w:sz w:val="22"/>
                <w:szCs w:val="22"/>
              </w:rPr>
              <w:t>R</w:t>
            </w:r>
            <w:r>
              <w:rPr>
                <w:rFonts w:ascii="宋体" w:hAnsi="宋体" w:cs="宋体" w:hint="eastAsia"/>
                <w:b/>
                <w:kern w:val="0"/>
                <w:sz w:val="22"/>
                <w:szCs w:val="22"/>
              </w:rPr>
              <w:t>：</w:t>
            </w:r>
            <w:r>
              <w:rPr>
                <w:rFonts w:ascii="宋体" w:hAnsi="宋体" w:cs="宋体" w:hint="eastAsia"/>
                <w:b/>
                <w:kern w:val="0"/>
                <w:sz w:val="22"/>
                <w:szCs w:val="22"/>
              </w:rPr>
              <w:t>625</w:t>
            </w:r>
            <w:r>
              <w:rPr>
                <w:rFonts w:ascii="宋体" w:hAnsi="宋体" w:cs="宋体" w:hint="eastAsia"/>
                <w:b/>
                <w:kern w:val="0"/>
                <w:sz w:val="22"/>
                <w:szCs w:val="22"/>
              </w:rPr>
              <w:t>纳米，</w:t>
            </w:r>
            <w:r>
              <w:rPr>
                <w:rFonts w:ascii="宋体" w:hAnsi="宋体" w:cs="宋体" w:hint="eastAsia"/>
                <w:b/>
                <w:kern w:val="0"/>
                <w:sz w:val="22"/>
                <w:szCs w:val="22"/>
              </w:rPr>
              <w:t>G</w:t>
            </w:r>
            <w:r>
              <w:rPr>
                <w:rFonts w:ascii="宋体" w:hAnsi="宋体" w:cs="宋体" w:hint="eastAsia"/>
                <w:b/>
                <w:kern w:val="0"/>
                <w:sz w:val="22"/>
                <w:szCs w:val="22"/>
              </w:rPr>
              <w:t>：</w:t>
            </w:r>
            <w:r>
              <w:rPr>
                <w:rFonts w:ascii="宋体" w:hAnsi="宋体" w:cs="宋体" w:hint="eastAsia"/>
                <w:b/>
                <w:kern w:val="0"/>
                <w:sz w:val="22"/>
                <w:szCs w:val="22"/>
              </w:rPr>
              <w:t>530</w:t>
            </w:r>
            <w:r>
              <w:rPr>
                <w:rFonts w:ascii="宋体" w:hAnsi="宋体" w:cs="宋体" w:hint="eastAsia"/>
                <w:b/>
                <w:kern w:val="0"/>
                <w:sz w:val="22"/>
                <w:szCs w:val="22"/>
              </w:rPr>
              <w:t>纳米，</w:t>
            </w:r>
            <w:r>
              <w:rPr>
                <w:rFonts w:ascii="宋体" w:hAnsi="宋体" w:cs="宋体" w:hint="eastAsia"/>
                <w:b/>
                <w:kern w:val="0"/>
                <w:sz w:val="22"/>
                <w:szCs w:val="22"/>
              </w:rPr>
              <w:t>B</w:t>
            </w:r>
            <w:r>
              <w:rPr>
                <w:rFonts w:ascii="宋体" w:hAnsi="宋体" w:cs="宋体" w:hint="eastAsia"/>
                <w:b/>
                <w:kern w:val="0"/>
                <w:sz w:val="22"/>
                <w:szCs w:val="22"/>
              </w:rPr>
              <w:t>：</w:t>
            </w:r>
            <w:r>
              <w:rPr>
                <w:rFonts w:ascii="宋体" w:hAnsi="宋体" w:cs="宋体" w:hint="eastAsia"/>
                <w:b/>
                <w:kern w:val="0"/>
                <w:sz w:val="22"/>
                <w:szCs w:val="22"/>
              </w:rPr>
              <w:t>470</w:t>
            </w:r>
            <w:r>
              <w:rPr>
                <w:rFonts w:ascii="宋体" w:hAnsi="宋体" w:cs="宋体" w:hint="eastAsia"/>
                <w:b/>
                <w:kern w:val="0"/>
                <w:sz w:val="22"/>
                <w:szCs w:val="22"/>
              </w:rPr>
              <w:t>纳米，偏差≤±</w:t>
            </w:r>
            <w:r>
              <w:rPr>
                <w:rFonts w:ascii="宋体" w:hAnsi="宋体" w:cs="宋体" w:hint="eastAsia"/>
                <w:b/>
                <w:kern w:val="0"/>
                <w:sz w:val="22"/>
                <w:szCs w:val="22"/>
              </w:rPr>
              <w:t>6</w:t>
            </w:r>
            <w:r>
              <w:rPr>
                <w:rFonts w:ascii="宋体" w:hAnsi="宋体" w:cs="宋体" w:hint="eastAsia"/>
                <w:b/>
                <w:kern w:val="0"/>
                <w:sz w:val="22"/>
                <w:szCs w:val="22"/>
              </w:rPr>
              <w:t>纳米，</w:t>
            </w:r>
          </w:p>
          <w:p w:rsidR="00A730D3" w:rsidRDefault="00A730D3" w:rsidP="00C967B6">
            <w:pPr>
              <w:widowControl/>
              <w:jc w:val="center"/>
              <w:textAlignment w:val="center"/>
              <w:rPr>
                <w:rFonts w:ascii="宋体" w:eastAsia="宋体" w:hAnsi="宋体" w:cs="宋体"/>
                <w:sz w:val="22"/>
                <w:szCs w:val="22"/>
              </w:rPr>
            </w:pPr>
            <w:r>
              <w:rPr>
                <w:rFonts w:ascii="宋体" w:hAnsi="宋体" w:cs="宋体" w:hint="eastAsia"/>
                <w:b/>
                <w:kern w:val="0"/>
                <w:sz w:val="22"/>
                <w:szCs w:val="22"/>
              </w:rPr>
              <w:t>W:4000K</w:t>
            </w:r>
            <w:r>
              <w:rPr>
                <w:rFonts w:ascii="宋体" w:hAnsi="宋体" w:cs="宋体" w:hint="eastAsia"/>
                <w:b/>
                <w:kern w:val="0"/>
                <w:sz w:val="22"/>
                <w:szCs w:val="22"/>
              </w:rPr>
              <w:t>±</w:t>
            </w:r>
            <w:r>
              <w:rPr>
                <w:rFonts w:ascii="宋体" w:hAnsi="宋体" w:cs="宋体" w:hint="eastAsia"/>
                <w:b/>
                <w:kern w:val="0"/>
                <w:sz w:val="22"/>
                <w:szCs w:val="22"/>
              </w:rPr>
              <w:t>100K</w:t>
            </w:r>
          </w:p>
        </w:tc>
      </w:tr>
      <w:tr w:rsidR="00A730D3" w:rsidTr="00C967B6">
        <w:trPr>
          <w:trHeight w:val="285"/>
        </w:trPr>
        <w:tc>
          <w:tcPr>
            <w:tcW w:w="919" w:type="dxa"/>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光学</w:t>
            </w: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proofErr w:type="gramStart"/>
            <w:r>
              <w:rPr>
                <w:rFonts w:ascii="宋体" w:eastAsia="宋体" w:hAnsi="宋体" w:cs="宋体" w:hint="eastAsia"/>
                <w:b/>
                <w:kern w:val="0"/>
                <w:sz w:val="22"/>
                <w:szCs w:val="22"/>
                <w:lang w:bidi="ar"/>
              </w:rPr>
              <w:t>半峰发散</w:t>
            </w:r>
            <w:proofErr w:type="gramEnd"/>
            <w:r>
              <w:rPr>
                <w:rFonts w:ascii="宋体" w:eastAsia="宋体" w:hAnsi="宋体" w:cs="宋体" w:hint="eastAsia"/>
                <w:b/>
                <w:kern w:val="0"/>
                <w:sz w:val="22"/>
                <w:szCs w:val="22"/>
                <w:lang w:bidi="ar"/>
              </w:rPr>
              <w:t>角</w:t>
            </w:r>
          </w:p>
        </w:tc>
        <w:tc>
          <w:tcPr>
            <w:tcW w:w="2075" w:type="dxa"/>
            <w:gridSpan w:val="2"/>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hAnsi="宋体" w:cs="宋体" w:hint="eastAsia"/>
                <w:kern w:val="0"/>
                <w:sz w:val="22"/>
                <w:szCs w:val="22"/>
                <w:lang w:bidi="ar"/>
              </w:rPr>
              <w:t>——</w:t>
            </w:r>
          </w:p>
        </w:tc>
        <w:tc>
          <w:tcPr>
            <w:tcW w:w="2288" w:type="dxa"/>
            <w:gridSpan w:val="2"/>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配光要求</w:t>
            </w:r>
          </w:p>
        </w:tc>
        <w:tc>
          <w:tcPr>
            <w:tcW w:w="2226" w:type="dxa"/>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对称配光</w:t>
            </w:r>
          </w:p>
        </w:tc>
      </w:tr>
      <w:tr w:rsidR="00A730D3" w:rsidTr="00C967B6">
        <w:trPr>
          <w:trHeight w:val="90"/>
        </w:trPr>
        <w:tc>
          <w:tcPr>
            <w:tcW w:w="919" w:type="dxa"/>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光效</w:t>
            </w:r>
          </w:p>
        </w:tc>
        <w:tc>
          <w:tcPr>
            <w:tcW w:w="7731" w:type="dxa"/>
            <w:gridSpan w:val="6"/>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灯具光效≥</w:t>
            </w:r>
            <w:r>
              <w:rPr>
                <w:rFonts w:ascii="宋体" w:hAnsi="宋体" w:cs="宋体" w:hint="eastAsia"/>
                <w:kern w:val="0"/>
                <w:sz w:val="22"/>
                <w:szCs w:val="22"/>
                <w:lang w:bidi="ar"/>
              </w:rPr>
              <w:t>6</w:t>
            </w:r>
            <w:r>
              <w:rPr>
                <w:rFonts w:ascii="宋体" w:eastAsia="宋体" w:hAnsi="宋体" w:cs="宋体" w:hint="eastAsia"/>
                <w:kern w:val="0"/>
                <w:sz w:val="22"/>
                <w:szCs w:val="22"/>
                <w:lang w:bidi="ar"/>
              </w:rPr>
              <w:t>0lm/W</w:t>
            </w:r>
          </w:p>
        </w:tc>
      </w:tr>
      <w:tr w:rsidR="00A730D3" w:rsidTr="00C967B6">
        <w:trPr>
          <w:trHeight w:val="285"/>
        </w:trPr>
        <w:tc>
          <w:tcPr>
            <w:tcW w:w="919" w:type="dxa"/>
            <w:vMerge w:val="restart"/>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控制系统</w:t>
            </w: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sz w:val="22"/>
                <w:szCs w:val="22"/>
              </w:rPr>
            </w:pPr>
            <w:r>
              <w:rPr>
                <w:rFonts w:ascii="宋体" w:eastAsia="宋体" w:hAnsi="宋体" w:cs="宋体" w:hint="eastAsia"/>
                <w:b/>
                <w:kern w:val="0"/>
                <w:sz w:val="22"/>
                <w:szCs w:val="22"/>
                <w:lang w:bidi="ar"/>
              </w:rPr>
              <w:t>通用控制器</w:t>
            </w:r>
          </w:p>
        </w:tc>
        <w:tc>
          <w:tcPr>
            <w:tcW w:w="6589"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整体控制，含所有控制系统</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控制协议</w:t>
            </w:r>
          </w:p>
        </w:tc>
        <w:tc>
          <w:tcPr>
            <w:tcW w:w="6589"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标准DMX512</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控制设备1</w:t>
            </w:r>
          </w:p>
        </w:tc>
        <w:tc>
          <w:tcPr>
            <w:tcW w:w="6589"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含所有主控、分控、信号放大器等</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控制设备2</w:t>
            </w:r>
          </w:p>
        </w:tc>
        <w:tc>
          <w:tcPr>
            <w:tcW w:w="6589"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含所有光纤等信号传输线（不含网线）</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控制效果1</w:t>
            </w:r>
          </w:p>
        </w:tc>
        <w:tc>
          <w:tcPr>
            <w:tcW w:w="6589"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亮度可实现0%—100%范围内平滑调节及流动变化</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控制效果2</w:t>
            </w:r>
          </w:p>
        </w:tc>
        <w:tc>
          <w:tcPr>
            <w:tcW w:w="6589"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色温可实现红光—绿光—蓝光—白光平滑调节及流动变化</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控制单元</w:t>
            </w:r>
          </w:p>
        </w:tc>
        <w:tc>
          <w:tcPr>
            <w:tcW w:w="6589"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b/>
                <w:bCs/>
                <w:color w:val="C00000"/>
                <w:kern w:val="0"/>
                <w:sz w:val="22"/>
                <w:szCs w:val="22"/>
                <w:lang w:bidi="ar"/>
              </w:rPr>
              <w:t>每套灯不少于4个单元</w:t>
            </w:r>
          </w:p>
        </w:tc>
      </w:tr>
      <w:tr w:rsidR="00A730D3" w:rsidTr="00C967B6">
        <w:trPr>
          <w:trHeight w:val="285"/>
        </w:trPr>
        <w:tc>
          <w:tcPr>
            <w:tcW w:w="8650" w:type="dxa"/>
            <w:gridSpan w:val="7"/>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sz w:val="22"/>
                <w:szCs w:val="22"/>
              </w:rPr>
              <w:t>灯具要求IP68，</w:t>
            </w:r>
            <w:r>
              <w:rPr>
                <w:rFonts w:ascii="宋体" w:hAnsi="宋体" w:cs="宋体" w:hint="eastAsia"/>
                <w:sz w:val="22"/>
                <w:szCs w:val="22"/>
              </w:rPr>
              <w:t>处于</w:t>
            </w:r>
            <w:r>
              <w:rPr>
                <w:rFonts w:ascii="宋体" w:eastAsia="宋体" w:hAnsi="宋体" w:cs="宋体" w:hint="eastAsia"/>
                <w:sz w:val="22"/>
                <w:szCs w:val="22"/>
              </w:rPr>
              <w:t>水下</w:t>
            </w:r>
            <w:r>
              <w:rPr>
                <w:rFonts w:ascii="宋体" w:hAnsi="宋体" w:cs="宋体" w:hint="eastAsia"/>
                <w:sz w:val="22"/>
                <w:szCs w:val="22"/>
              </w:rPr>
              <w:t>环境时</w:t>
            </w:r>
            <w:r>
              <w:rPr>
                <w:rFonts w:ascii="宋体" w:eastAsia="宋体" w:hAnsi="宋体" w:cs="宋体" w:hint="eastAsia"/>
                <w:sz w:val="22"/>
                <w:szCs w:val="22"/>
              </w:rPr>
              <w:t>能长期安全稳定</w:t>
            </w:r>
            <w:r>
              <w:rPr>
                <w:rFonts w:ascii="宋体" w:hAnsi="宋体" w:cs="宋体" w:hint="eastAsia"/>
                <w:sz w:val="22"/>
                <w:szCs w:val="22"/>
              </w:rPr>
              <w:t>工作</w:t>
            </w:r>
            <w:r>
              <w:rPr>
                <w:rFonts w:ascii="宋体" w:eastAsia="宋体" w:hAnsi="宋体" w:cs="宋体" w:hint="eastAsia"/>
                <w:sz w:val="22"/>
                <w:szCs w:val="22"/>
              </w:rPr>
              <w:t>。公母头和</w:t>
            </w:r>
            <w:proofErr w:type="gramStart"/>
            <w:r>
              <w:rPr>
                <w:rFonts w:ascii="宋体" w:eastAsia="宋体" w:hAnsi="宋体" w:cs="宋体" w:hint="eastAsia"/>
                <w:sz w:val="22"/>
                <w:szCs w:val="22"/>
              </w:rPr>
              <w:t>及</w:t>
            </w:r>
            <w:proofErr w:type="gramEnd"/>
            <w:r>
              <w:rPr>
                <w:rFonts w:ascii="宋体" w:eastAsia="宋体" w:hAnsi="宋体" w:cs="宋体" w:hint="eastAsia"/>
                <w:sz w:val="22"/>
                <w:szCs w:val="22"/>
              </w:rPr>
              <w:t>信号控制能与原有灯具融合一致。</w:t>
            </w:r>
          </w:p>
        </w:tc>
      </w:tr>
    </w:tbl>
    <w:p w:rsidR="00A730D3" w:rsidRDefault="00A730D3" w:rsidP="00A730D3"/>
    <w:p w:rsidR="00A730D3" w:rsidRDefault="00A730D3" w:rsidP="00A730D3"/>
    <w:p w:rsidR="00A730D3" w:rsidRDefault="00A730D3" w:rsidP="00A730D3"/>
    <w:p w:rsidR="00A730D3" w:rsidRDefault="00A730D3" w:rsidP="00A730D3"/>
    <w:p w:rsidR="00A730D3" w:rsidRDefault="00A730D3" w:rsidP="00A730D3"/>
    <w:p w:rsidR="00A730D3" w:rsidRDefault="00A730D3" w:rsidP="00A730D3"/>
    <w:p w:rsidR="00A730D3" w:rsidRDefault="00A730D3" w:rsidP="00A730D3"/>
    <w:p w:rsidR="00A730D3" w:rsidRDefault="00A730D3" w:rsidP="00A730D3"/>
    <w:p w:rsidR="00A730D3" w:rsidRDefault="00A730D3" w:rsidP="00A730D3"/>
    <w:p w:rsidR="00A730D3" w:rsidRDefault="00A730D3" w:rsidP="00A730D3"/>
    <w:p w:rsidR="00A730D3" w:rsidRDefault="00A730D3" w:rsidP="00A730D3"/>
    <w:p w:rsidR="00A730D3" w:rsidRDefault="00A730D3" w:rsidP="00A730D3"/>
    <w:p w:rsidR="00A730D3" w:rsidRDefault="00A730D3" w:rsidP="00A730D3">
      <w:pPr>
        <w:rPr>
          <w:b/>
          <w:bCs/>
        </w:rPr>
      </w:pPr>
      <w:r>
        <w:rPr>
          <w:rFonts w:hint="eastAsia"/>
          <w:b/>
          <w:bCs/>
          <w:szCs w:val="21"/>
        </w:rPr>
        <w:t>3</w:t>
      </w:r>
      <w:r>
        <w:rPr>
          <w:rFonts w:hint="eastAsia"/>
          <w:b/>
          <w:bCs/>
          <w:szCs w:val="21"/>
        </w:rPr>
        <w:t>）</w:t>
      </w:r>
      <w:r>
        <w:rPr>
          <w:rFonts w:hint="eastAsia"/>
          <w:b/>
          <w:bCs/>
          <w:szCs w:val="21"/>
        </w:rPr>
        <w:t xml:space="preserve">20W </w:t>
      </w:r>
      <w:r>
        <w:rPr>
          <w:rFonts w:hint="eastAsia"/>
          <w:b/>
          <w:bCs/>
          <w:szCs w:val="21"/>
        </w:rPr>
        <w:t>线型</w:t>
      </w:r>
      <w:r>
        <w:rPr>
          <w:rFonts w:hint="eastAsia"/>
          <w:b/>
          <w:bCs/>
          <w:szCs w:val="21"/>
        </w:rPr>
        <w:t>LED</w:t>
      </w:r>
      <w:r>
        <w:rPr>
          <w:rFonts w:hint="eastAsia"/>
          <w:b/>
          <w:bCs/>
          <w:szCs w:val="21"/>
        </w:rPr>
        <w:t>水下投光灯</w:t>
      </w:r>
      <w:r>
        <w:rPr>
          <w:rFonts w:hint="eastAsia"/>
          <w:b/>
          <w:bCs/>
          <w:szCs w:val="21"/>
        </w:rPr>
        <w:t>(1m)</w:t>
      </w:r>
    </w:p>
    <w:p w:rsidR="00A730D3" w:rsidRDefault="00A730D3" w:rsidP="00A730D3"/>
    <w:tbl>
      <w:tblPr>
        <w:tblW w:w="8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19"/>
        <w:gridCol w:w="1142"/>
        <w:gridCol w:w="1057"/>
        <w:gridCol w:w="1018"/>
        <w:gridCol w:w="1204"/>
        <w:gridCol w:w="1084"/>
        <w:gridCol w:w="1842"/>
      </w:tblGrid>
      <w:tr w:rsidR="00A730D3" w:rsidTr="00C967B6">
        <w:trPr>
          <w:trHeight w:val="1830"/>
        </w:trPr>
        <w:tc>
          <w:tcPr>
            <w:tcW w:w="919" w:type="dxa"/>
            <w:vMerge w:val="restart"/>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lastRenderedPageBreak/>
              <w:t>灯具</w:t>
            </w:r>
          </w:p>
        </w:tc>
        <w:tc>
          <w:tcPr>
            <w:tcW w:w="2199" w:type="dxa"/>
            <w:gridSpan w:val="2"/>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外形</w:t>
            </w:r>
            <w:r>
              <w:rPr>
                <w:rFonts w:ascii="宋体" w:eastAsia="宋体" w:hAnsi="宋体" w:cs="宋体" w:hint="eastAsia"/>
                <w:b/>
                <w:kern w:val="0"/>
                <w:sz w:val="22"/>
                <w:szCs w:val="22"/>
                <w:lang w:bidi="ar"/>
              </w:rPr>
              <w:br/>
              <w:t>（仅供参考）</w:t>
            </w:r>
          </w:p>
        </w:tc>
        <w:tc>
          <w:tcPr>
            <w:tcW w:w="5148" w:type="dxa"/>
            <w:gridSpan w:val="4"/>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noProof/>
                <w:kern w:val="0"/>
                <w:sz w:val="22"/>
                <w:szCs w:val="22"/>
              </w:rPr>
              <w:drawing>
                <wp:inline distT="0" distB="0" distL="114300" distR="114300" wp14:anchorId="2AE807F2" wp14:editId="2285A815">
                  <wp:extent cx="525145" cy="504825"/>
                  <wp:effectExtent l="0" t="0" r="8255" b="9525"/>
                  <wp:docPr id="107"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5" descr="IMG_256"/>
                          <pic:cNvPicPr>
                            <a:picLocks noChangeAspect="1"/>
                          </pic:cNvPicPr>
                        </pic:nvPicPr>
                        <pic:blipFill>
                          <a:blip r:embed="rId17"/>
                          <a:srcRect l="2464" t="25862" r="78122" b="28448"/>
                          <a:stretch>
                            <a:fillRect/>
                          </a:stretch>
                        </pic:blipFill>
                        <pic:spPr>
                          <a:xfrm>
                            <a:off x="0" y="0"/>
                            <a:ext cx="525145" cy="504825"/>
                          </a:xfrm>
                          <a:prstGeom prst="rect">
                            <a:avLst/>
                          </a:prstGeom>
                          <a:noFill/>
                          <a:ln w="9525">
                            <a:noFill/>
                          </a:ln>
                        </pic:spPr>
                      </pic:pic>
                    </a:graphicData>
                  </a:graphic>
                </wp:inline>
              </w:drawing>
            </w:r>
            <w:r>
              <w:rPr>
                <w:rFonts w:ascii="宋体" w:eastAsia="宋体" w:hAnsi="宋体" w:cs="宋体" w:hint="eastAsia"/>
                <w:noProof/>
                <w:kern w:val="0"/>
                <w:sz w:val="22"/>
                <w:szCs w:val="22"/>
              </w:rPr>
              <w:drawing>
                <wp:inline distT="0" distB="0" distL="114300" distR="114300" wp14:anchorId="7C8DE6F2" wp14:editId="6AE1D064">
                  <wp:extent cx="2085975" cy="1104900"/>
                  <wp:effectExtent l="0" t="0" r="9525" b="0"/>
                  <wp:docPr id="108"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5" descr="IMG_256"/>
                          <pic:cNvPicPr>
                            <a:picLocks noChangeAspect="1"/>
                          </pic:cNvPicPr>
                        </pic:nvPicPr>
                        <pic:blipFill>
                          <a:blip r:embed="rId17"/>
                          <a:srcRect l="22887"/>
                          <a:stretch>
                            <a:fillRect/>
                          </a:stretch>
                        </pic:blipFill>
                        <pic:spPr>
                          <a:xfrm>
                            <a:off x="0" y="0"/>
                            <a:ext cx="2085975" cy="1104900"/>
                          </a:xfrm>
                          <a:prstGeom prst="rect">
                            <a:avLst/>
                          </a:prstGeom>
                          <a:noFill/>
                          <a:ln w="9525">
                            <a:noFill/>
                          </a:ln>
                        </pic:spPr>
                      </pic:pic>
                    </a:graphicData>
                  </a:graphic>
                </wp:inline>
              </w:drawing>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1142" w:type="dxa"/>
            <w:vMerge w:val="restart"/>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尺寸</w:t>
            </w:r>
          </w:p>
        </w:tc>
        <w:tc>
          <w:tcPr>
            <w:tcW w:w="1057"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长度（L）</w:t>
            </w:r>
          </w:p>
        </w:tc>
        <w:tc>
          <w:tcPr>
            <w:tcW w:w="2222" w:type="dxa"/>
            <w:gridSpan w:val="2"/>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1000mm</w:t>
            </w:r>
          </w:p>
        </w:tc>
        <w:tc>
          <w:tcPr>
            <w:tcW w:w="1084" w:type="dxa"/>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允许偏差</w:t>
            </w:r>
          </w:p>
        </w:tc>
        <w:tc>
          <w:tcPr>
            <w:tcW w:w="1842" w:type="dxa"/>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±1mm</w:t>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1142" w:type="dxa"/>
            <w:vMerge/>
            <w:shd w:val="clear" w:color="auto" w:fill="auto"/>
            <w:vAlign w:val="center"/>
          </w:tcPr>
          <w:p w:rsidR="00A730D3" w:rsidRDefault="00A730D3" w:rsidP="00C967B6">
            <w:pPr>
              <w:jc w:val="left"/>
              <w:rPr>
                <w:rFonts w:ascii="宋体" w:eastAsia="宋体" w:hAnsi="宋体" w:cs="宋体"/>
                <w:b/>
                <w:sz w:val="22"/>
                <w:szCs w:val="22"/>
              </w:rPr>
            </w:pPr>
          </w:p>
        </w:tc>
        <w:tc>
          <w:tcPr>
            <w:tcW w:w="1057"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宽度（W）</w:t>
            </w:r>
          </w:p>
        </w:tc>
        <w:tc>
          <w:tcPr>
            <w:tcW w:w="2222" w:type="dxa"/>
            <w:gridSpan w:val="2"/>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≤70mm</w:t>
            </w:r>
          </w:p>
        </w:tc>
        <w:tc>
          <w:tcPr>
            <w:tcW w:w="1084" w:type="dxa"/>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允许偏差</w:t>
            </w:r>
          </w:p>
        </w:tc>
        <w:tc>
          <w:tcPr>
            <w:tcW w:w="1842" w:type="dxa"/>
            <w:shd w:val="clear" w:color="auto" w:fill="auto"/>
          </w:tcPr>
          <w:p w:rsidR="00A730D3" w:rsidRDefault="00A730D3" w:rsidP="00C967B6">
            <w:pPr>
              <w:jc w:val="center"/>
            </w:pPr>
            <w:r>
              <w:rPr>
                <w:rFonts w:ascii="宋体" w:eastAsia="宋体" w:hAnsi="宋体" w:cs="宋体"/>
                <w:sz w:val="22"/>
                <w:szCs w:val="22"/>
              </w:rPr>
              <w:t>与原有灯具一致</w:t>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1142" w:type="dxa"/>
            <w:vMerge/>
            <w:shd w:val="clear" w:color="auto" w:fill="auto"/>
            <w:vAlign w:val="center"/>
          </w:tcPr>
          <w:p w:rsidR="00A730D3" w:rsidRDefault="00A730D3" w:rsidP="00C967B6">
            <w:pPr>
              <w:jc w:val="left"/>
              <w:rPr>
                <w:rFonts w:ascii="宋体" w:eastAsia="宋体" w:hAnsi="宋体" w:cs="宋体"/>
                <w:b/>
                <w:sz w:val="22"/>
                <w:szCs w:val="22"/>
              </w:rPr>
            </w:pPr>
          </w:p>
        </w:tc>
        <w:tc>
          <w:tcPr>
            <w:tcW w:w="1057"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高度（H）</w:t>
            </w:r>
          </w:p>
        </w:tc>
        <w:tc>
          <w:tcPr>
            <w:tcW w:w="2222" w:type="dxa"/>
            <w:gridSpan w:val="2"/>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≤70mm</w:t>
            </w:r>
          </w:p>
        </w:tc>
        <w:tc>
          <w:tcPr>
            <w:tcW w:w="1084" w:type="dxa"/>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允许偏差</w:t>
            </w:r>
          </w:p>
        </w:tc>
        <w:tc>
          <w:tcPr>
            <w:tcW w:w="1842" w:type="dxa"/>
            <w:shd w:val="clear" w:color="auto" w:fill="auto"/>
          </w:tcPr>
          <w:p w:rsidR="00A730D3" w:rsidRDefault="00A730D3" w:rsidP="00C967B6">
            <w:pPr>
              <w:jc w:val="center"/>
            </w:pPr>
            <w:r>
              <w:rPr>
                <w:rFonts w:ascii="宋体" w:eastAsia="宋体" w:hAnsi="宋体" w:cs="宋体"/>
                <w:sz w:val="22"/>
                <w:szCs w:val="22"/>
              </w:rPr>
              <w:t>与原有灯具一致</w:t>
            </w:r>
          </w:p>
        </w:tc>
      </w:tr>
      <w:tr w:rsidR="00A730D3" w:rsidTr="00C967B6">
        <w:trPr>
          <w:trHeight w:val="630"/>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1142" w:type="dxa"/>
            <w:vMerge w:val="restart"/>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材质</w:t>
            </w:r>
          </w:p>
        </w:tc>
        <w:tc>
          <w:tcPr>
            <w:tcW w:w="1057"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灯具外壳</w:t>
            </w:r>
          </w:p>
        </w:tc>
        <w:tc>
          <w:tcPr>
            <w:tcW w:w="5148" w:type="dxa"/>
            <w:gridSpan w:val="4"/>
            <w:shd w:val="clear" w:color="auto" w:fill="auto"/>
            <w:vAlign w:val="center"/>
          </w:tcPr>
          <w:p w:rsidR="00A730D3" w:rsidRDefault="00A730D3" w:rsidP="00C967B6">
            <w:pPr>
              <w:widowControl/>
              <w:jc w:val="left"/>
              <w:textAlignment w:val="center"/>
              <w:rPr>
                <w:rFonts w:ascii="宋体" w:eastAsia="宋体" w:hAnsi="宋体" w:cs="宋体"/>
                <w:sz w:val="22"/>
                <w:szCs w:val="22"/>
              </w:rPr>
            </w:pPr>
            <w:r>
              <w:rPr>
                <w:rFonts w:ascii="宋体" w:eastAsia="宋体" w:hAnsi="宋体" w:cs="宋体" w:hint="eastAsia"/>
                <w:kern w:val="0"/>
                <w:sz w:val="22"/>
                <w:szCs w:val="22"/>
                <w:lang w:bidi="ar"/>
              </w:rPr>
              <w:t>铝型材灯体,绝缘阻燃硅胶填充（防水、防火、抗紫外线）一体成形。</w:t>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1142" w:type="dxa"/>
            <w:vMerge/>
            <w:shd w:val="clear" w:color="auto" w:fill="auto"/>
            <w:vAlign w:val="center"/>
          </w:tcPr>
          <w:p w:rsidR="00A730D3" w:rsidRDefault="00A730D3" w:rsidP="00C967B6">
            <w:pPr>
              <w:jc w:val="left"/>
              <w:rPr>
                <w:rFonts w:ascii="宋体" w:eastAsia="宋体" w:hAnsi="宋体" w:cs="宋体"/>
                <w:b/>
                <w:sz w:val="22"/>
                <w:szCs w:val="22"/>
              </w:rPr>
            </w:pPr>
          </w:p>
        </w:tc>
        <w:tc>
          <w:tcPr>
            <w:tcW w:w="1057"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出光面</w:t>
            </w:r>
          </w:p>
        </w:tc>
        <w:tc>
          <w:tcPr>
            <w:tcW w:w="5148" w:type="dxa"/>
            <w:gridSpan w:val="4"/>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钢化玻璃</w:t>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2199" w:type="dxa"/>
            <w:gridSpan w:val="2"/>
            <w:shd w:val="clear" w:color="auto" w:fill="auto"/>
            <w:vAlign w:val="center"/>
          </w:tcPr>
          <w:p w:rsidR="00A730D3" w:rsidRDefault="00A730D3" w:rsidP="00C967B6">
            <w:pPr>
              <w:widowControl/>
              <w:jc w:val="left"/>
              <w:textAlignment w:val="center"/>
              <w:rPr>
                <w:rFonts w:ascii="宋体" w:eastAsia="宋体" w:hAnsi="宋体" w:cs="宋体"/>
                <w:b/>
                <w:sz w:val="22"/>
                <w:szCs w:val="22"/>
              </w:rPr>
            </w:pPr>
            <w:r>
              <w:rPr>
                <w:rFonts w:ascii="宋体" w:eastAsia="宋体" w:hAnsi="宋体" w:cs="宋体" w:hint="eastAsia"/>
                <w:b/>
                <w:kern w:val="0"/>
                <w:sz w:val="22"/>
                <w:szCs w:val="22"/>
                <w:lang w:bidi="ar"/>
              </w:rPr>
              <w:t>外壳颜色</w:t>
            </w:r>
          </w:p>
        </w:tc>
        <w:tc>
          <w:tcPr>
            <w:tcW w:w="5148" w:type="dxa"/>
            <w:gridSpan w:val="4"/>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sz w:val="22"/>
                <w:szCs w:val="22"/>
              </w:rPr>
              <w:t>与安装位置的周边环境颜色一致</w:t>
            </w:r>
          </w:p>
        </w:tc>
      </w:tr>
      <w:tr w:rsidR="00A730D3" w:rsidTr="00C967B6">
        <w:trPr>
          <w:trHeight w:val="285"/>
        </w:trPr>
        <w:tc>
          <w:tcPr>
            <w:tcW w:w="919" w:type="dxa"/>
            <w:vMerge/>
            <w:shd w:val="clear" w:color="auto" w:fill="auto"/>
            <w:vAlign w:val="center"/>
          </w:tcPr>
          <w:p w:rsidR="00A730D3" w:rsidRDefault="00A730D3" w:rsidP="00C967B6">
            <w:pPr>
              <w:jc w:val="center"/>
              <w:rPr>
                <w:rFonts w:ascii="宋体" w:eastAsia="宋体" w:hAnsi="宋体" w:cs="宋体"/>
                <w:b/>
                <w:sz w:val="22"/>
                <w:szCs w:val="22"/>
              </w:rPr>
            </w:pPr>
          </w:p>
        </w:tc>
        <w:tc>
          <w:tcPr>
            <w:tcW w:w="2199" w:type="dxa"/>
            <w:gridSpan w:val="2"/>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r>
              <w:rPr>
                <w:rFonts w:ascii="宋体" w:hAnsi="宋体" w:cs="宋体" w:hint="eastAsia"/>
                <w:b/>
                <w:kern w:val="0"/>
                <w:sz w:val="22"/>
                <w:szCs w:val="22"/>
              </w:rPr>
              <w:t>色温</w:t>
            </w:r>
            <w:r>
              <w:rPr>
                <w:rFonts w:ascii="宋体" w:hAnsi="宋体" w:cs="宋体" w:hint="eastAsia"/>
                <w:b/>
                <w:kern w:val="0"/>
                <w:sz w:val="22"/>
                <w:szCs w:val="22"/>
              </w:rPr>
              <w:t>/</w:t>
            </w:r>
            <w:r>
              <w:rPr>
                <w:rFonts w:ascii="宋体" w:hAnsi="宋体" w:cs="宋体" w:hint="eastAsia"/>
                <w:b/>
                <w:kern w:val="0"/>
                <w:sz w:val="22"/>
                <w:szCs w:val="22"/>
              </w:rPr>
              <w:t>颜色</w:t>
            </w:r>
          </w:p>
        </w:tc>
        <w:tc>
          <w:tcPr>
            <w:tcW w:w="5148" w:type="dxa"/>
            <w:gridSpan w:val="4"/>
            <w:shd w:val="clear" w:color="auto" w:fill="auto"/>
          </w:tcPr>
          <w:p w:rsidR="00A730D3" w:rsidRDefault="00A730D3" w:rsidP="00C967B6">
            <w:pPr>
              <w:widowControl/>
              <w:jc w:val="center"/>
              <w:textAlignment w:val="center"/>
              <w:rPr>
                <w:rFonts w:ascii="宋体" w:hAnsi="宋体" w:cs="宋体"/>
                <w:b/>
                <w:kern w:val="0"/>
                <w:sz w:val="22"/>
                <w:szCs w:val="22"/>
              </w:rPr>
            </w:pPr>
            <w:r>
              <w:rPr>
                <w:rFonts w:ascii="宋体" w:hAnsi="宋体" w:cs="宋体" w:hint="eastAsia"/>
                <w:b/>
                <w:kern w:val="0"/>
                <w:sz w:val="22"/>
                <w:szCs w:val="22"/>
              </w:rPr>
              <w:t>RGBW</w:t>
            </w:r>
            <w:r>
              <w:rPr>
                <w:rFonts w:ascii="宋体" w:hAnsi="宋体" w:cs="宋体" w:hint="eastAsia"/>
                <w:b/>
                <w:kern w:val="0"/>
                <w:sz w:val="22"/>
                <w:szCs w:val="22"/>
              </w:rPr>
              <w:t>，混白光时</w:t>
            </w:r>
            <w:r>
              <w:rPr>
                <w:rFonts w:ascii="宋体" w:hAnsi="宋体" w:cs="宋体" w:hint="eastAsia"/>
                <w:b/>
                <w:kern w:val="0"/>
                <w:sz w:val="22"/>
                <w:szCs w:val="22"/>
              </w:rPr>
              <w:t>,</w:t>
            </w:r>
            <w:r>
              <w:rPr>
                <w:rFonts w:ascii="宋体" w:hAnsi="宋体" w:cs="宋体" w:hint="eastAsia"/>
                <w:b/>
                <w:kern w:val="0"/>
                <w:sz w:val="22"/>
                <w:szCs w:val="22"/>
              </w:rPr>
              <w:t>各点颜色要一致</w:t>
            </w:r>
          </w:p>
          <w:p w:rsidR="00A730D3" w:rsidRDefault="00A730D3" w:rsidP="00C967B6">
            <w:pPr>
              <w:widowControl/>
              <w:jc w:val="center"/>
              <w:textAlignment w:val="center"/>
              <w:rPr>
                <w:rFonts w:ascii="宋体" w:hAnsi="宋体" w:cs="宋体"/>
                <w:b/>
                <w:kern w:val="0"/>
                <w:sz w:val="22"/>
                <w:szCs w:val="22"/>
              </w:rPr>
            </w:pPr>
            <w:r>
              <w:rPr>
                <w:rFonts w:ascii="宋体" w:hAnsi="宋体" w:cs="宋体" w:hint="eastAsia"/>
                <w:b/>
                <w:kern w:val="0"/>
                <w:sz w:val="22"/>
                <w:szCs w:val="22"/>
              </w:rPr>
              <w:t>R</w:t>
            </w:r>
            <w:r>
              <w:rPr>
                <w:rFonts w:ascii="宋体" w:hAnsi="宋体" w:cs="宋体" w:hint="eastAsia"/>
                <w:b/>
                <w:kern w:val="0"/>
                <w:sz w:val="22"/>
                <w:szCs w:val="22"/>
              </w:rPr>
              <w:t>：</w:t>
            </w:r>
            <w:r>
              <w:rPr>
                <w:rFonts w:ascii="宋体" w:hAnsi="宋体" w:cs="宋体" w:hint="eastAsia"/>
                <w:b/>
                <w:kern w:val="0"/>
                <w:sz w:val="22"/>
                <w:szCs w:val="22"/>
              </w:rPr>
              <w:t>625</w:t>
            </w:r>
            <w:r>
              <w:rPr>
                <w:rFonts w:ascii="宋体" w:hAnsi="宋体" w:cs="宋体" w:hint="eastAsia"/>
                <w:b/>
                <w:kern w:val="0"/>
                <w:sz w:val="22"/>
                <w:szCs w:val="22"/>
              </w:rPr>
              <w:t>纳米，</w:t>
            </w:r>
            <w:r>
              <w:rPr>
                <w:rFonts w:ascii="宋体" w:hAnsi="宋体" w:cs="宋体" w:hint="eastAsia"/>
                <w:b/>
                <w:kern w:val="0"/>
                <w:sz w:val="22"/>
                <w:szCs w:val="22"/>
              </w:rPr>
              <w:t>G</w:t>
            </w:r>
            <w:r>
              <w:rPr>
                <w:rFonts w:ascii="宋体" w:hAnsi="宋体" w:cs="宋体" w:hint="eastAsia"/>
                <w:b/>
                <w:kern w:val="0"/>
                <w:sz w:val="22"/>
                <w:szCs w:val="22"/>
              </w:rPr>
              <w:t>：</w:t>
            </w:r>
            <w:r>
              <w:rPr>
                <w:rFonts w:ascii="宋体" w:hAnsi="宋体" w:cs="宋体" w:hint="eastAsia"/>
                <w:b/>
                <w:kern w:val="0"/>
                <w:sz w:val="22"/>
                <w:szCs w:val="22"/>
              </w:rPr>
              <w:t>530</w:t>
            </w:r>
            <w:r>
              <w:rPr>
                <w:rFonts w:ascii="宋体" w:hAnsi="宋体" w:cs="宋体" w:hint="eastAsia"/>
                <w:b/>
                <w:kern w:val="0"/>
                <w:sz w:val="22"/>
                <w:szCs w:val="22"/>
              </w:rPr>
              <w:t>纳米，</w:t>
            </w:r>
            <w:r>
              <w:rPr>
                <w:rFonts w:ascii="宋体" w:hAnsi="宋体" w:cs="宋体" w:hint="eastAsia"/>
                <w:b/>
                <w:kern w:val="0"/>
                <w:sz w:val="22"/>
                <w:szCs w:val="22"/>
              </w:rPr>
              <w:t>B</w:t>
            </w:r>
            <w:r>
              <w:rPr>
                <w:rFonts w:ascii="宋体" w:hAnsi="宋体" w:cs="宋体" w:hint="eastAsia"/>
                <w:b/>
                <w:kern w:val="0"/>
                <w:sz w:val="22"/>
                <w:szCs w:val="22"/>
              </w:rPr>
              <w:t>：</w:t>
            </w:r>
            <w:r>
              <w:rPr>
                <w:rFonts w:ascii="宋体" w:hAnsi="宋体" w:cs="宋体" w:hint="eastAsia"/>
                <w:b/>
                <w:kern w:val="0"/>
                <w:sz w:val="22"/>
                <w:szCs w:val="22"/>
              </w:rPr>
              <w:t>470</w:t>
            </w:r>
            <w:r>
              <w:rPr>
                <w:rFonts w:ascii="宋体" w:hAnsi="宋体" w:cs="宋体" w:hint="eastAsia"/>
                <w:b/>
                <w:kern w:val="0"/>
                <w:sz w:val="22"/>
                <w:szCs w:val="22"/>
              </w:rPr>
              <w:t>纳米，偏差≤±</w:t>
            </w:r>
            <w:r>
              <w:rPr>
                <w:rFonts w:ascii="宋体" w:hAnsi="宋体" w:cs="宋体" w:hint="eastAsia"/>
                <w:b/>
                <w:kern w:val="0"/>
                <w:sz w:val="22"/>
                <w:szCs w:val="22"/>
              </w:rPr>
              <w:t>6</w:t>
            </w:r>
            <w:r>
              <w:rPr>
                <w:rFonts w:ascii="宋体" w:hAnsi="宋体" w:cs="宋体" w:hint="eastAsia"/>
                <w:b/>
                <w:kern w:val="0"/>
                <w:sz w:val="22"/>
                <w:szCs w:val="22"/>
              </w:rPr>
              <w:t>纳米，</w:t>
            </w:r>
          </w:p>
          <w:p w:rsidR="00A730D3" w:rsidRDefault="00A730D3" w:rsidP="00C967B6">
            <w:pPr>
              <w:widowControl/>
              <w:jc w:val="center"/>
              <w:textAlignment w:val="center"/>
              <w:rPr>
                <w:rFonts w:ascii="宋体" w:eastAsia="宋体" w:hAnsi="宋体" w:cs="宋体"/>
                <w:sz w:val="22"/>
                <w:szCs w:val="22"/>
              </w:rPr>
            </w:pPr>
            <w:r>
              <w:rPr>
                <w:rFonts w:ascii="宋体" w:hAnsi="宋体" w:cs="宋体" w:hint="eastAsia"/>
                <w:b/>
                <w:kern w:val="0"/>
                <w:sz w:val="22"/>
                <w:szCs w:val="22"/>
              </w:rPr>
              <w:t>W:4000K</w:t>
            </w:r>
            <w:r>
              <w:rPr>
                <w:rFonts w:ascii="宋体" w:hAnsi="宋体" w:cs="宋体" w:hint="eastAsia"/>
                <w:b/>
                <w:kern w:val="0"/>
                <w:sz w:val="22"/>
                <w:szCs w:val="22"/>
              </w:rPr>
              <w:t>±</w:t>
            </w:r>
            <w:r>
              <w:rPr>
                <w:rFonts w:ascii="宋体" w:hAnsi="宋体" w:cs="宋体" w:hint="eastAsia"/>
                <w:b/>
                <w:kern w:val="0"/>
                <w:sz w:val="22"/>
                <w:szCs w:val="22"/>
              </w:rPr>
              <w:t>100K</w:t>
            </w:r>
          </w:p>
        </w:tc>
      </w:tr>
      <w:tr w:rsidR="00A730D3" w:rsidTr="00C967B6">
        <w:trPr>
          <w:trHeight w:val="285"/>
        </w:trPr>
        <w:tc>
          <w:tcPr>
            <w:tcW w:w="919" w:type="dxa"/>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光学</w:t>
            </w: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b/>
                <w:sz w:val="22"/>
                <w:szCs w:val="22"/>
              </w:rPr>
            </w:pPr>
            <w:proofErr w:type="gramStart"/>
            <w:r>
              <w:rPr>
                <w:rFonts w:ascii="宋体" w:eastAsia="宋体" w:hAnsi="宋体" w:cs="宋体" w:hint="eastAsia"/>
                <w:b/>
                <w:kern w:val="0"/>
                <w:sz w:val="22"/>
                <w:szCs w:val="22"/>
                <w:lang w:bidi="ar"/>
              </w:rPr>
              <w:t>半峰发散</w:t>
            </w:r>
            <w:proofErr w:type="gramEnd"/>
            <w:r>
              <w:rPr>
                <w:rFonts w:ascii="宋体" w:eastAsia="宋体" w:hAnsi="宋体" w:cs="宋体" w:hint="eastAsia"/>
                <w:b/>
                <w:kern w:val="0"/>
                <w:sz w:val="22"/>
                <w:szCs w:val="22"/>
                <w:lang w:bidi="ar"/>
              </w:rPr>
              <w:t>角</w:t>
            </w:r>
          </w:p>
        </w:tc>
        <w:tc>
          <w:tcPr>
            <w:tcW w:w="2075" w:type="dxa"/>
            <w:gridSpan w:val="2"/>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hAnsi="宋体" w:cs="宋体" w:hint="eastAsia"/>
                <w:kern w:val="0"/>
                <w:sz w:val="22"/>
                <w:szCs w:val="22"/>
                <w:lang w:bidi="ar"/>
              </w:rPr>
              <w:t>——</w:t>
            </w:r>
          </w:p>
        </w:tc>
        <w:tc>
          <w:tcPr>
            <w:tcW w:w="2288" w:type="dxa"/>
            <w:gridSpan w:val="2"/>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配光要求</w:t>
            </w:r>
          </w:p>
        </w:tc>
        <w:tc>
          <w:tcPr>
            <w:tcW w:w="1842" w:type="dxa"/>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对称配光</w:t>
            </w:r>
          </w:p>
        </w:tc>
      </w:tr>
      <w:tr w:rsidR="00A730D3" w:rsidTr="00C967B6">
        <w:trPr>
          <w:trHeight w:val="90"/>
        </w:trPr>
        <w:tc>
          <w:tcPr>
            <w:tcW w:w="919" w:type="dxa"/>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光效</w:t>
            </w:r>
          </w:p>
        </w:tc>
        <w:tc>
          <w:tcPr>
            <w:tcW w:w="7347" w:type="dxa"/>
            <w:gridSpan w:val="6"/>
            <w:shd w:val="clear" w:color="auto" w:fill="auto"/>
            <w:vAlign w:val="center"/>
          </w:tcPr>
          <w:p w:rsidR="00A730D3" w:rsidRDefault="00A730D3" w:rsidP="00C967B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lang w:bidi="ar"/>
              </w:rPr>
              <w:t>灯具光效≥</w:t>
            </w:r>
            <w:r>
              <w:rPr>
                <w:rFonts w:ascii="宋体" w:hAnsi="宋体" w:cs="宋体" w:hint="eastAsia"/>
                <w:kern w:val="0"/>
                <w:sz w:val="22"/>
                <w:szCs w:val="22"/>
                <w:lang w:bidi="ar"/>
              </w:rPr>
              <w:t>6</w:t>
            </w:r>
            <w:r>
              <w:rPr>
                <w:rFonts w:ascii="宋体" w:eastAsia="宋体" w:hAnsi="宋体" w:cs="宋体" w:hint="eastAsia"/>
                <w:kern w:val="0"/>
                <w:sz w:val="22"/>
                <w:szCs w:val="22"/>
                <w:lang w:bidi="ar"/>
              </w:rPr>
              <w:t>0lm/W</w:t>
            </w:r>
          </w:p>
        </w:tc>
      </w:tr>
      <w:tr w:rsidR="00A730D3" w:rsidTr="00C967B6">
        <w:trPr>
          <w:trHeight w:val="285"/>
        </w:trPr>
        <w:tc>
          <w:tcPr>
            <w:tcW w:w="919" w:type="dxa"/>
            <w:vMerge w:val="restart"/>
            <w:shd w:val="clear" w:color="auto" w:fill="auto"/>
            <w:vAlign w:val="center"/>
          </w:tcPr>
          <w:p w:rsidR="00A730D3" w:rsidRDefault="00A730D3" w:rsidP="00C967B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lang w:bidi="ar"/>
              </w:rPr>
              <w:t>控制系统</w:t>
            </w: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sz w:val="22"/>
                <w:szCs w:val="22"/>
              </w:rPr>
            </w:pPr>
            <w:r>
              <w:rPr>
                <w:rFonts w:ascii="宋体" w:eastAsia="宋体" w:hAnsi="宋体" w:cs="宋体" w:hint="eastAsia"/>
                <w:b/>
                <w:kern w:val="0"/>
                <w:sz w:val="22"/>
                <w:szCs w:val="22"/>
                <w:lang w:bidi="ar"/>
              </w:rPr>
              <w:t>通用控制器</w:t>
            </w:r>
          </w:p>
        </w:tc>
        <w:tc>
          <w:tcPr>
            <w:tcW w:w="6205"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整体控制，含所有控制系统</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控制协议</w:t>
            </w:r>
          </w:p>
        </w:tc>
        <w:tc>
          <w:tcPr>
            <w:tcW w:w="6205"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标准DMX512</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控制设备1</w:t>
            </w:r>
          </w:p>
        </w:tc>
        <w:tc>
          <w:tcPr>
            <w:tcW w:w="6205"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含所有主控、分控、信号放大器等</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控制设备2</w:t>
            </w:r>
          </w:p>
        </w:tc>
        <w:tc>
          <w:tcPr>
            <w:tcW w:w="6205"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含所有光纤等信号传输线（不含网线）</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控制效果1</w:t>
            </w:r>
          </w:p>
        </w:tc>
        <w:tc>
          <w:tcPr>
            <w:tcW w:w="6205"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亮度可实现0%—100%范围内平滑调节及流动变化</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控制效果2</w:t>
            </w:r>
          </w:p>
        </w:tc>
        <w:tc>
          <w:tcPr>
            <w:tcW w:w="6205"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kern w:val="0"/>
                <w:sz w:val="22"/>
                <w:szCs w:val="22"/>
                <w:lang w:bidi="ar"/>
              </w:rPr>
              <w:t>色温可实现红光—绿光—蓝光—白光平滑调节及流动变化</w:t>
            </w:r>
          </w:p>
        </w:tc>
      </w:tr>
      <w:tr w:rsidR="00A730D3" w:rsidTr="00C967B6">
        <w:trPr>
          <w:trHeight w:val="285"/>
        </w:trPr>
        <w:tc>
          <w:tcPr>
            <w:tcW w:w="919" w:type="dxa"/>
            <w:vMerge/>
            <w:shd w:val="clear" w:color="auto" w:fill="auto"/>
            <w:vAlign w:val="center"/>
          </w:tcPr>
          <w:p w:rsidR="00A730D3" w:rsidRDefault="00A730D3" w:rsidP="00C967B6">
            <w:pPr>
              <w:widowControl/>
              <w:jc w:val="center"/>
              <w:textAlignment w:val="center"/>
              <w:rPr>
                <w:rFonts w:ascii="宋体" w:eastAsia="宋体" w:hAnsi="宋体" w:cs="宋体"/>
                <w:b/>
                <w:kern w:val="0"/>
                <w:sz w:val="22"/>
                <w:szCs w:val="22"/>
                <w:lang w:bidi="ar"/>
              </w:rPr>
            </w:pPr>
          </w:p>
        </w:tc>
        <w:tc>
          <w:tcPr>
            <w:tcW w:w="1142" w:type="dxa"/>
            <w:shd w:val="clear" w:color="auto" w:fill="auto"/>
            <w:vAlign w:val="center"/>
          </w:tcPr>
          <w:p w:rsidR="00A730D3" w:rsidRDefault="00A730D3" w:rsidP="00C967B6">
            <w:pPr>
              <w:widowControl/>
              <w:jc w:val="left"/>
              <w:textAlignment w:val="center"/>
              <w:rPr>
                <w:rFonts w:ascii="宋体" w:eastAsia="宋体" w:hAnsi="宋体" w:cs="宋体"/>
                <w:kern w:val="0"/>
                <w:sz w:val="22"/>
                <w:szCs w:val="22"/>
                <w:lang w:bidi="ar"/>
              </w:rPr>
            </w:pPr>
            <w:r>
              <w:rPr>
                <w:rFonts w:ascii="宋体" w:eastAsia="宋体" w:hAnsi="宋体" w:cs="宋体" w:hint="eastAsia"/>
                <w:b/>
                <w:kern w:val="0"/>
                <w:sz w:val="22"/>
                <w:szCs w:val="22"/>
                <w:lang w:bidi="ar"/>
              </w:rPr>
              <w:t>控制单元</w:t>
            </w:r>
          </w:p>
        </w:tc>
        <w:tc>
          <w:tcPr>
            <w:tcW w:w="6205" w:type="dxa"/>
            <w:gridSpan w:val="5"/>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b/>
                <w:bCs/>
                <w:color w:val="C00000"/>
                <w:kern w:val="0"/>
                <w:sz w:val="22"/>
                <w:szCs w:val="22"/>
                <w:lang w:bidi="ar"/>
              </w:rPr>
              <w:t>每套灯不少于8个单元</w:t>
            </w:r>
          </w:p>
        </w:tc>
      </w:tr>
      <w:tr w:rsidR="00A730D3" w:rsidTr="00C967B6">
        <w:trPr>
          <w:trHeight w:val="285"/>
        </w:trPr>
        <w:tc>
          <w:tcPr>
            <w:tcW w:w="8266" w:type="dxa"/>
            <w:gridSpan w:val="7"/>
            <w:shd w:val="clear" w:color="auto" w:fill="auto"/>
            <w:vAlign w:val="center"/>
          </w:tcPr>
          <w:p w:rsidR="00A730D3" w:rsidRDefault="00A730D3" w:rsidP="00C967B6">
            <w:pPr>
              <w:widowControl/>
              <w:jc w:val="center"/>
              <w:textAlignment w:val="center"/>
              <w:rPr>
                <w:rFonts w:ascii="宋体" w:eastAsia="宋体" w:hAnsi="宋体" w:cs="宋体"/>
                <w:kern w:val="0"/>
                <w:sz w:val="22"/>
                <w:szCs w:val="22"/>
                <w:lang w:bidi="ar"/>
              </w:rPr>
            </w:pPr>
            <w:r>
              <w:rPr>
                <w:rFonts w:ascii="宋体" w:eastAsia="宋体" w:hAnsi="宋体" w:cs="宋体" w:hint="eastAsia"/>
                <w:sz w:val="22"/>
                <w:szCs w:val="22"/>
              </w:rPr>
              <w:t>灯具要求IP68，</w:t>
            </w:r>
            <w:r>
              <w:rPr>
                <w:rFonts w:ascii="宋体" w:hAnsi="宋体" w:cs="宋体" w:hint="eastAsia"/>
                <w:sz w:val="22"/>
                <w:szCs w:val="22"/>
              </w:rPr>
              <w:t>处于</w:t>
            </w:r>
            <w:r>
              <w:rPr>
                <w:rFonts w:ascii="宋体" w:eastAsia="宋体" w:hAnsi="宋体" w:cs="宋体" w:hint="eastAsia"/>
                <w:sz w:val="22"/>
                <w:szCs w:val="22"/>
              </w:rPr>
              <w:t>水下</w:t>
            </w:r>
            <w:r>
              <w:rPr>
                <w:rFonts w:ascii="宋体" w:hAnsi="宋体" w:cs="宋体" w:hint="eastAsia"/>
                <w:sz w:val="22"/>
                <w:szCs w:val="22"/>
              </w:rPr>
              <w:t>环境时</w:t>
            </w:r>
            <w:r>
              <w:rPr>
                <w:rFonts w:ascii="宋体" w:eastAsia="宋体" w:hAnsi="宋体" w:cs="宋体" w:hint="eastAsia"/>
                <w:sz w:val="22"/>
                <w:szCs w:val="22"/>
              </w:rPr>
              <w:t>能长期安全稳定</w:t>
            </w:r>
            <w:r>
              <w:rPr>
                <w:rFonts w:ascii="宋体" w:hAnsi="宋体" w:cs="宋体" w:hint="eastAsia"/>
                <w:sz w:val="22"/>
                <w:szCs w:val="22"/>
              </w:rPr>
              <w:t>工作</w:t>
            </w:r>
            <w:r>
              <w:rPr>
                <w:rFonts w:ascii="宋体" w:eastAsia="宋体" w:hAnsi="宋体" w:cs="宋体" w:hint="eastAsia"/>
                <w:sz w:val="22"/>
                <w:szCs w:val="22"/>
              </w:rPr>
              <w:t>。公母头和</w:t>
            </w:r>
            <w:proofErr w:type="gramStart"/>
            <w:r>
              <w:rPr>
                <w:rFonts w:ascii="宋体" w:eastAsia="宋体" w:hAnsi="宋体" w:cs="宋体" w:hint="eastAsia"/>
                <w:sz w:val="22"/>
                <w:szCs w:val="22"/>
              </w:rPr>
              <w:t>及</w:t>
            </w:r>
            <w:proofErr w:type="gramEnd"/>
            <w:r>
              <w:rPr>
                <w:rFonts w:ascii="宋体" w:eastAsia="宋体" w:hAnsi="宋体" w:cs="宋体" w:hint="eastAsia"/>
                <w:sz w:val="22"/>
                <w:szCs w:val="22"/>
              </w:rPr>
              <w:t>信号控制能与原有灯具融合一致。</w:t>
            </w:r>
          </w:p>
        </w:tc>
      </w:tr>
    </w:tbl>
    <w:p w:rsidR="00A730D3" w:rsidRDefault="00A730D3" w:rsidP="00A730D3">
      <w:pPr>
        <w:rPr>
          <w:rFonts w:ascii="仿宋_GB2312" w:eastAsia="仿宋_GB2312" w:hAnsi="仿宋_GB2312" w:cs="仿宋_GB2312"/>
          <w:b/>
          <w:kern w:val="0"/>
          <w:szCs w:val="21"/>
        </w:rPr>
      </w:pPr>
    </w:p>
    <w:p w:rsidR="00A730D3" w:rsidRDefault="00A730D3" w:rsidP="00A730D3">
      <w:pPr>
        <w:rPr>
          <w:rFonts w:ascii="仿宋_GB2312" w:eastAsia="仿宋_GB2312" w:hAnsi="仿宋_GB2312" w:cs="仿宋_GB2312"/>
          <w:b/>
          <w:kern w:val="0"/>
          <w:szCs w:val="21"/>
        </w:rPr>
      </w:pPr>
    </w:p>
    <w:p w:rsidR="00A730D3" w:rsidRDefault="00A730D3" w:rsidP="00A730D3">
      <w:pPr>
        <w:rPr>
          <w:rFonts w:ascii="仿宋_GB2312" w:eastAsia="仿宋_GB2312" w:hAnsi="仿宋_GB2312" w:cs="仿宋_GB2312"/>
          <w:b/>
          <w:kern w:val="0"/>
          <w:szCs w:val="21"/>
        </w:rPr>
      </w:pPr>
    </w:p>
    <w:p w:rsidR="00A730D3" w:rsidRDefault="00A730D3" w:rsidP="00A730D3"/>
    <w:p w:rsidR="00BD0B4E" w:rsidRPr="00A730D3" w:rsidRDefault="00BD0B4E">
      <w:pPr>
        <w:adjustRightInd w:val="0"/>
        <w:snapToGrid w:val="0"/>
        <w:spacing w:line="400" w:lineRule="exact"/>
        <w:ind w:firstLineChars="147" w:firstLine="412"/>
      </w:pPr>
    </w:p>
    <w:sectPr w:rsidR="00BD0B4E" w:rsidRPr="00A730D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D2091A"/>
    <w:multiLevelType w:val="singleLevel"/>
    <w:tmpl w:val="8ED2091A"/>
    <w:lvl w:ilvl="0">
      <w:start w:val="1"/>
      <w:numFmt w:val="decimalEnclosedCircleChinese"/>
      <w:suff w:val="nothing"/>
      <w:lvlText w:val="%1　"/>
      <w:lvlJc w:val="left"/>
      <w:pPr>
        <w:ind w:left="0" w:firstLine="400"/>
      </w:pPr>
      <w:rPr>
        <w:rFonts w:hint="eastAsia"/>
      </w:rPr>
    </w:lvl>
  </w:abstractNum>
  <w:abstractNum w:abstractNumId="1" w15:restartNumberingAfterBreak="0">
    <w:nsid w:val="90991C11"/>
    <w:multiLevelType w:val="singleLevel"/>
    <w:tmpl w:val="90991C11"/>
    <w:lvl w:ilvl="0">
      <w:start w:val="1"/>
      <w:numFmt w:val="decimalEnclosedCircleChinese"/>
      <w:suff w:val="nothing"/>
      <w:lvlText w:val="%1　"/>
      <w:lvlJc w:val="left"/>
      <w:pPr>
        <w:ind w:left="0" w:firstLine="400"/>
      </w:pPr>
      <w:rPr>
        <w:rFonts w:hint="eastAsia"/>
      </w:rPr>
    </w:lvl>
  </w:abstractNum>
  <w:abstractNum w:abstractNumId="2" w15:restartNumberingAfterBreak="0">
    <w:nsid w:val="932EBC12"/>
    <w:multiLevelType w:val="singleLevel"/>
    <w:tmpl w:val="932EBC12"/>
    <w:lvl w:ilvl="0">
      <w:start w:val="1"/>
      <w:numFmt w:val="decimal"/>
      <w:lvlText w:val="(%1)"/>
      <w:lvlJc w:val="left"/>
      <w:pPr>
        <w:ind w:left="425" w:hanging="425"/>
      </w:pPr>
      <w:rPr>
        <w:rFonts w:hint="default"/>
      </w:rPr>
    </w:lvl>
  </w:abstractNum>
  <w:abstractNum w:abstractNumId="3" w15:restartNumberingAfterBreak="0">
    <w:nsid w:val="9F409243"/>
    <w:multiLevelType w:val="singleLevel"/>
    <w:tmpl w:val="9F409243"/>
    <w:lvl w:ilvl="0">
      <w:start w:val="1"/>
      <w:numFmt w:val="decimalEnclosedCircleChinese"/>
      <w:suff w:val="nothing"/>
      <w:lvlText w:val="%1　"/>
      <w:lvlJc w:val="left"/>
      <w:pPr>
        <w:ind w:left="0" w:firstLine="400"/>
      </w:pPr>
      <w:rPr>
        <w:rFonts w:hint="eastAsia"/>
      </w:rPr>
    </w:lvl>
  </w:abstractNum>
  <w:abstractNum w:abstractNumId="4" w15:restartNumberingAfterBreak="0">
    <w:nsid w:val="B3441426"/>
    <w:multiLevelType w:val="multilevel"/>
    <w:tmpl w:val="B3441426"/>
    <w:lvl w:ilvl="0">
      <w:start w:val="1"/>
      <w:numFmt w:val="decimal"/>
      <w:lvlText w:val="%1)"/>
      <w:lvlJc w:val="left"/>
      <w:pPr>
        <w:ind w:left="425" w:hanging="42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B6BDF8EF"/>
    <w:multiLevelType w:val="singleLevel"/>
    <w:tmpl w:val="B6BDF8EF"/>
    <w:lvl w:ilvl="0">
      <w:start w:val="1"/>
      <w:numFmt w:val="decimalEnclosedCircleChinese"/>
      <w:suff w:val="nothing"/>
      <w:lvlText w:val="%1　"/>
      <w:lvlJc w:val="left"/>
      <w:pPr>
        <w:ind w:left="0" w:firstLine="400"/>
      </w:pPr>
      <w:rPr>
        <w:rFonts w:hint="eastAsia"/>
      </w:rPr>
    </w:lvl>
  </w:abstractNum>
  <w:abstractNum w:abstractNumId="6" w15:restartNumberingAfterBreak="0">
    <w:nsid w:val="C4756505"/>
    <w:multiLevelType w:val="singleLevel"/>
    <w:tmpl w:val="C4756505"/>
    <w:lvl w:ilvl="0">
      <w:start w:val="1"/>
      <w:numFmt w:val="decimalEnclosedCircleChinese"/>
      <w:suff w:val="nothing"/>
      <w:lvlText w:val="%1　"/>
      <w:lvlJc w:val="left"/>
      <w:pPr>
        <w:ind w:left="0" w:firstLine="400"/>
      </w:pPr>
      <w:rPr>
        <w:rFonts w:hint="eastAsia"/>
      </w:rPr>
    </w:lvl>
  </w:abstractNum>
  <w:abstractNum w:abstractNumId="7" w15:restartNumberingAfterBreak="0">
    <w:nsid w:val="CE8E1EAB"/>
    <w:multiLevelType w:val="singleLevel"/>
    <w:tmpl w:val="CE8E1EAB"/>
    <w:lvl w:ilvl="0">
      <w:start w:val="1"/>
      <w:numFmt w:val="chineseCounting"/>
      <w:suff w:val="nothing"/>
      <w:lvlText w:val="%1、"/>
      <w:lvlJc w:val="left"/>
      <w:pPr>
        <w:ind w:left="147" w:firstLine="420"/>
      </w:pPr>
      <w:rPr>
        <w:rFonts w:hint="eastAsia"/>
      </w:rPr>
    </w:lvl>
  </w:abstractNum>
  <w:abstractNum w:abstractNumId="8" w15:restartNumberingAfterBreak="0">
    <w:nsid w:val="D3427E88"/>
    <w:multiLevelType w:val="singleLevel"/>
    <w:tmpl w:val="D3427E88"/>
    <w:lvl w:ilvl="0">
      <w:start w:val="1"/>
      <w:numFmt w:val="decimalEnclosedCircleChinese"/>
      <w:suff w:val="nothing"/>
      <w:lvlText w:val="%1　"/>
      <w:lvlJc w:val="left"/>
      <w:pPr>
        <w:ind w:left="0" w:firstLine="400"/>
      </w:pPr>
      <w:rPr>
        <w:rFonts w:hint="eastAsia"/>
      </w:rPr>
    </w:lvl>
  </w:abstractNum>
  <w:abstractNum w:abstractNumId="9" w15:restartNumberingAfterBreak="0">
    <w:nsid w:val="D996BC9C"/>
    <w:multiLevelType w:val="singleLevel"/>
    <w:tmpl w:val="D996BC9C"/>
    <w:lvl w:ilvl="0">
      <w:start w:val="1"/>
      <w:numFmt w:val="lowerLetter"/>
      <w:lvlText w:val="%1."/>
      <w:lvlJc w:val="left"/>
      <w:pPr>
        <w:tabs>
          <w:tab w:val="left" w:pos="312"/>
        </w:tabs>
      </w:pPr>
    </w:lvl>
  </w:abstractNum>
  <w:abstractNum w:abstractNumId="10" w15:restartNumberingAfterBreak="0">
    <w:nsid w:val="DDCA1BDB"/>
    <w:multiLevelType w:val="singleLevel"/>
    <w:tmpl w:val="DDCA1BDB"/>
    <w:lvl w:ilvl="0">
      <w:start w:val="1"/>
      <w:numFmt w:val="decimalEnclosedCircleChinese"/>
      <w:suff w:val="nothing"/>
      <w:lvlText w:val="%1　"/>
      <w:lvlJc w:val="left"/>
      <w:pPr>
        <w:ind w:left="0" w:firstLine="400"/>
      </w:pPr>
      <w:rPr>
        <w:rFonts w:hint="eastAsia"/>
      </w:rPr>
    </w:lvl>
  </w:abstractNum>
  <w:abstractNum w:abstractNumId="11" w15:restartNumberingAfterBreak="0">
    <w:nsid w:val="E75D4C34"/>
    <w:multiLevelType w:val="singleLevel"/>
    <w:tmpl w:val="E75D4C34"/>
    <w:lvl w:ilvl="0">
      <w:start w:val="1"/>
      <w:numFmt w:val="decimal"/>
      <w:lvlText w:val="%1)"/>
      <w:lvlJc w:val="left"/>
      <w:pPr>
        <w:ind w:left="425" w:hanging="425"/>
      </w:pPr>
      <w:rPr>
        <w:rFonts w:hint="default"/>
      </w:rPr>
    </w:lvl>
  </w:abstractNum>
  <w:abstractNum w:abstractNumId="12" w15:restartNumberingAfterBreak="0">
    <w:nsid w:val="EFC65096"/>
    <w:multiLevelType w:val="singleLevel"/>
    <w:tmpl w:val="EFC65096"/>
    <w:lvl w:ilvl="0">
      <w:start w:val="1"/>
      <w:numFmt w:val="decimalEnclosedCircleChinese"/>
      <w:suff w:val="nothing"/>
      <w:lvlText w:val="%1　"/>
      <w:lvlJc w:val="left"/>
      <w:pPr>
        <w:ind w:left="0" w:firstLine="400"/>
      </w:pPr>
      <w:rPr>
        <w:rFonts w:hint="eastAsia"/>
      </w:rPr>
    </w:lvl>
  </w:abstractNum>
  <w:abstractNum w:abstractNumId="13" w15:restartNumberingAfterBreak="0">
    <w:nsid w:val="F5E6E09C"/>
    <w:multiLevelType w:val="multilevel"/>
    <w:tmpl w:val="F5E6E09C"/>
    <w:lvl w:ilvl="0">
      <w:start w:val="1"/>
      <w:numFmt w:val="decimal"/>
      <w:lvlText w:val="%1)"/>
      <w:lvlJc w:val="left"/>
      <w:pPr>
        <w:ind w:left="425" w:hanging="42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F8529D3C"/>
    <w:multiLevelType w:val="singleLevel"/>
    <w:tmpl w:val="F8529D3C"/>
    <w:lvl w:ilvl="0">
      <w:start w:val="1"/>
      <w:numFmt w:val="decimalEnclosedCircleChinese"/>
      <w:suff w:val="nothing"/>
      <w:lvlText w:val="%1　"/>
      <w:lvlJc w:val="left"/>
      <w:pPr>
        <w:ind w:left="0" w:firstLine="400"/>
      </w:pPr>
      <w:rPr>
        <w:rFonts w:hint="eastAsia"/>
      </w:rPr>
    </w:lvl>
  </w:abstractNum>
  <w:abstractNum w:abstractNumId="15" w15:restartNumberingAfterBreak="0">
    <w:nsid w:val="FFFE0C25"/>
    <w:multiLevelType w:val="singleLevel"/>
    <w:tmpl w:val="FFFE0C25"/>
    <w:lvl w:ilvl="0">
      <w:start w:val="1"/>
      <w:numFmt w:val="decimalEnclosedCircleChinese"/>
      <w:suff w:val="nothing"/>
      <w:lvlText w:val="%1　"/>
      <w:lvlJc w:val="left"/>
      <w:pPr>
        <w:ind w:left="0" w:firstLine="400"/>
      </w:pPr>
      <w:rPr>
        <w:rFonts w:hint="eastAsia"/>
      </w:rPr>
    </w:lvl>
  </w:abstractNum>
  <w:abstractNum w:abstractNumId="16" w15:restartNumberingAfterBreak="0">
    <w:nsid w:val="01929A76"/>
    <w:multiLevelType w:val="multilevel"/>
    <w:tmpl w:val="01929A76"/>
    <w:lvl w:ilvl="0">
      <w:start w:val="1"/>
      <w:numFmt w:val="decimal"/>
      <w:lvlText w:val="%1)"/>
      <w:lvlJc w:val="left"/>
      <w:pPr>
        <w:ind w:left="425" w:hanging="42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0DE639F9"/>
    <w:multiLevelType w:val="singleLevel"/>
    <w:tmpl w:val="0DE639F9"/>
    <w:lvl w:ilvl="0">
      <w:start w:val="1"/>
      <w:numFmt w:val="chineseCounting"/>
      <w:suff w:val="nothing"/>
      <w:lvlText w:val="（%1）"/>
      <w:lvlJc w:val="left"/>
      <w:pPr>
        <w:ind w:left="0" w:firstLine="420"/>
      </w:pPr>
      <w:rPr>
        <w:rFonts w:hint="eastAsia"/>
      </w:rPr>
    </w:lvl>
  </w:abstractNum>
  <w:abstractNum w:abstractNumId="18" w15:restartNumberingAfterBreak="0">
    <w:nsid w:val="0FEF7EC0"/>
    <w:multiLevelType w:val="multilevel"/>
    <w:tmpl w:val="0FEF7EC0"/>
    <w:lvl w:ilvl="0">
      <w:start w:val="1"/>
      <w:numFmt w:val="japaneseCounting"/>
      <w:lvlText w:val="%1、"/>
      <w:lvlJc w:val="left"/>
      <w:pPr>
        <w:ind w:left="643" w:hanging="360"/>
      </w:pPr>
      <w:rPr>
        <w:rFonts w:hint="default"/>
      </w:rPr>
    </w:lvl>
    <w:lvl w:ilvl="1">
      <w:start w:val="1"/>
      <w:numFmt w:val="decimal"/>
      <w:lvlText w:val="%2."/>
      <w:lvlJc w:val="left"/>
      <w:pPr>
        <w:ind w:left="785" w:hanging="360"/>
      </w:pPr>
    </w:lvl>
    <w:lvl w:ilvl="2">
      <w:start w:val="1"/>
      <w:numFmt w:val="lowerRoman"/>
      <w:lvlText w:val="%3."/>
      <w:lvlJc w:val="right"/>
      <w:pPr>
        <w:ind w:left="2448"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19" w15:restartNumberingAfterBreak="0">
    <w:nsid w:val="212AF3D0"/>
    <w:multiLevelType w:val="singleLevel"/>
    <w:tmpl w:val="212AF3D0"/>
    <w:lvl w:ilvl="0">
      <w:start w:val="1"/>
      <w:numFmt w:val="decimalEnclosedCircleChinese"/>
      <w:suff w:val="nothing"/>
      <w:lvlText w:val="%1　"/>
      <w:lvlJc w:val="left"/>
      <w:pPr>
        <w:ind w:left="0" w:firstLine="400"/>
      </w:pPr>
      <w:rPr>
        <w:rFonts w:hint="eastAsia"/>
      </w:rPr>
    </w:lvl>
  </w:abstractNum>
  <w:abstractNum w:abstractNumId="20" w15:restartNumberingAfterBreak="0">
    <w:nsid w:val="22327651"/>
    <w:multiLevelType w:val="singleLevel"/>
    <w:tmpl w:val="22327651"/>
    <w:lvl w:ilvl="0">
      <w:start w:val="1"/>
      <w:numFmt w:val="decimalEnclosedCircleChinese"/>
      <w:suff w:val="nothing"/>
      <w:lvlText w:val="%1　"/>
      <w:lvlJc w:val="left"/>
      <w:pPr>
        <w:ind w:left="0" w:firstLine="400"/>
      </w:pPr>
      <w:rPr>
        <w:rFonts w:hint="eastAsia"/>
      </w:rPr>
    </w:lvl>
  </w:abstractNum>
  <w:abstractNum w:abstractNumId="21" w15:restartNumberingAfterBreak="0">
    <w:nsid w:val="2322DBCF"/>
    <w:multiLevelType w:val="singleLevel"/>
    <w:tmpl w:val="2322DBCF"/>
    <w:lvl w:ilvl="0">
      <w:start w:val="1"/>
      <w:numFmt w:val="decimalEnclosedCircleChinese"/>
      <w:suff w:val="nothing"/>
      <w:lvlText w:val="%1　"/>
      <w:lvlJc w:val="left"/>
      <w:pPr>
        <w:ind w:left="0" w:firstLine="400"/>
      </w:pPr>
      <w:rPr>
        <w:rFonts w:hint="eastAsia"/>
      </w:rPr>
    </w:lvl>
  </w:abstractNum>
  <w:abstractNum w:abstractNumId="22" w15:restartNumberingAfterBreak="0">
    <w:nsid w:val="2C8653F1"/>
    <w:multiLevelType w:val="multilevel"/>
    <w:tmpl w:val="2C8653F1"/>
    <w:lvl w:ilvl="0">
      <w:start w:val="1"/>
      <w:numFmt w:val="decimal"/>
      <w:lvlText w:val="%1."/>
      <w:lvlJc w:val="left"/>
      <w:pPr>
        <w:ind w:left="845" w:hanging="420"/>
      </w:pPr>
    </w:lvl>
    <w:lvl w:ilvl="1">
      <w:start w:val="1"/>
      <w:numFmt w:val="decimal"/>
      <w:lvlText w:val="%2、"/>
      <w:lvlJc w:val="left"/>
      <w:pPr>
        <w:ind w:left="1565" w:hanging="720"/>
      </w:pPr>
      <w:rPr>
        <w:rFonts w:ascii="等线" w:eastAsia="等线" w:hAnsi="等线" w:hint="default"/>
        <w:b w:val="0"/>
      </w:rPr>
    </w:lvl>
    <w:lvl w:ilvl="2">
      <w:start w:val="1"/>
      <w:numFmt w:val="lowerLetter"/>
      <w:lvlText w:val="%3."/>
      <w:lvlJc w:val="left"/>
      <w:pPr>
        <w:ind w:left="1625" w:hanging="360"/>
      </w:pPr>
      <w:rPr>
        <w:rFonts w:hint="default"/>
      </w:r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23" w15:restartNumberingAfterBreak="0">
    <w:nsid w:val="2CA15FE8"/>
    <w:multiLevelType w:val="multilevel"/>
    <w:tmpl w:val="2CA15FE8"/>
    <w:lvl w:ilvl="0">
      <w:start w:val="1"/>
      <w:numFmt w:val="decimal"/>
      <w:lvlText w:val="%1."/>
      <w:lvlJc w:val="left"/>
      <w:pPr>
        <w:ind w:left="844" w:hanging="420"/>
      </w:pPr>
    </w:lvl>
    <w:lvl w:ilvl="1">
      <w:start w:val="1"/>
      <w:numFmt w:val="decimal"/>
      <w:lvlText w:val="%2、"/>
      <w:lvlJc w:val="left"/>
      <w:pPr>
        <w:ind w:left="1564" w:hanging="720"/>
      </w:pPr>
      <w:rPr>
        <w:rFonts w:ascii="等线" w:eastAsia="等线" w:hAnsi="等线" w:hint="default"/>
        <w:b w:val="0"/>
      </w:rPr>
    </w:lvl>
    <w:lvl w:ilvl="2">
      <w:start w:val="1"/>
      <w:numFmt w:val="lowerRoman"/>
      <w:lvlText w:val="%3."/>
      <w:lvlJc w:val="right"/>
      <w:pPr>
        <w:ind w:left="1684" w:hanging="420"/>
      </w:pPr>
    </w:lvl>
    <w:lvl w:ilvl="3">
      <w:start w:val="1"/>
      <w:numFmt w:val="decimal"/>
      <w:lvlText w:val="%4."/>
      <w:lvlJc w:val="left"/>
      <w:pPr>
        <w:ind w:left="2104" w:hanging="420"/>
      </w:pPr>
    </w:lvl>
    <w:lvl w:ilvl="4">
      <w:start w:val="1"/>
      <w:numFmt w:val="lowerLetter"/>
      <w:lvlText w:val="%5)"/>
      <w:lvlJc w:val="left"/>
      <w:pPr>
        <w:ind w:left="2524" w:hanging="420"/>
      </w:pPr>
    </w:lvl>
    <w:lvl w:ilvl="5">
      <w:start w:val="1"/>
      <w:numFmt w:val="lowerRoman"/>
      <w:lvlText w:val="%6."/>
      <w:lvlJc w:val="right"/>
      <w:pPr>
        <w:ind w:left="2944" w:hanging="420"/>
      </w:pPr>
    </w:lvl>
    <w:lvl w:ilvl="6">
      <w:start w:val="1"/>
      <w:numFmt w:val="decimal"/>
      <w:lvlText w:val="%7."/>
      <w:lvlJc w:val="left"/>
      <w:pPr>
        <w:ind w:left="3364" w:hanging="420"/>
      </w:pPr>
    </w:lvl>
    <w:lvl w:ilvl="7">
      <w:start w:val="1"/>
      <w:numFmt w:val="lowerLetter"/>
      <w:lvlText w:val="%8)"/>
      <w:lvlJc w:val="left"/>
      <w:pPr>
        <w:ind w:left="3784" w:hanging="420"/>
      </w:pPr>
    </w:lvl>
    <w:lvl w:ilvl="8">
      <w:start w:val="1"/>
      <w:numFmt w:val="lowerRoman"/>
      <w:lvlText w:val="%9."/>
      <w:lvlJc w:val="right"/>
      <w:pPr>
        <w:ind w:left="4204" w:hanging="420"/>
      </w:pPr>
    </w:lvl>
  </w:abstractNum>
  <w:abstractNum w:abstractNumId="24" w15:restartNumberingAfterBreak="0">
    <w:nsid w:val="34E34EA0"/>
    <w:multiLevelType w:val="singleLevel"/>
    <w:tmpl w:val="34E34EA0"/>
    <w:lvl w:ilvl="0">
      <w:start w:val="1"/>
      <w:numFmt w:val="decimalEnclosedCircleChinese"/>
      <w:suff w:val="nothing"/>
      <w:lvlText w:val="%1　"/>
      <w:lvlJc w:val="left"/>
      <w:pPr>
        <w:ind w:left="0" w:firstLine="400"/>
      </w:pPr>
      <w:rPr>
        <w:rFonts w:hint="eastAsia"/>
      </w:rPr>
    </w:lvl>
  </w:abstractNum>
  <w:abstractNum w:abstractNumId="25" w15:restartNumberingAfterBreak="0">
    <w:nsid w:val="39729300"/>
    <w:multiLevelType w:val="singleLevel"/>
    <w:tmpl w:val="39729300"/>
    <w:lvl w:ilvl="0">
      <w:start w:val="1"/>
      <w:numFmt w:val="decimalEnclosedCircleChinese"/>
      <w:suff w:val="nothing"/>
      <w:lvlText w:val="%1　"/>
      <w:lvlJc w:val="left"/>
      <w:pPr>
        <w:ind w:left="0" w:firstLine="400"/>
      </w:pPr>
      <w:rPr>
        <w:rFonts w:hint="eastAsia"/>
      </w:rPr>
    </w:lvl>
  </w:abstractNum>
  <w:abstractNum w:abstractNumId="26" w15:restartNumberingAfterBreak="0">
    <w:nsid w:val="3B394812"/>
    <w:multiLevelType w:val="singleLevel"/>
    <w:tmpl w:val="3B394812"/>
    <w:lvl w:ilvl="0">
      <w:start w:val="1"/>
      <w:numFmt w:val="decimal"/>
      <w:lvlText w:val="%1)"/>
      <w:lvlJc w:val="left"/>
      <w:pPr>
        <w:ind w:left="567" w:hanging="425"/>
      </w:pPr>
      <w:rPr>
        <w:rFonts w:hint="default"/>
      </w:rPr>
    </w:lvl>
  </w:abstractNum>
  <w:abstractNum w:abstractNumId="27" w15:restartNumberingAfterBreak="0">
    <w:nsid w:val="3BA422BB"/>
    <w:multiLevelType w:val="singleLevel"/>
    <w:tmpl w:val="3BA422BB"/>
    <w:lvl w:ilvl="0">
      <w:start w:val="1"/>
      <w:numFmt w:val="decimal"/>
      <w:suff w:val="nothing"/>
      <w:lvlText w:val="%1、"/>
      <w:lvlJc w:val="left"/>
    </w:lvl>
  </w:abstractNum>
  <w:abstractNum w:abstractNumId="28" w15:restartNumberingAfterBreak="0">
    <w:nsid w:val="41158CA6"/>
    <w:multiLevelType w:val="singleLevel"/>
    <w:tmpl w:val="41158CA6"/>
    <w:lvl w:ilvl="0">
      <w:start w:val="1"/>
      <w:numFmt w:val="chineseCounting"/>
      <w:suff w:val="nothing"/>
      <w:lvlText w:val="（%1）"/>
      <w:lvlJc w:val="left"/>
      <w:pPr>
        <w:ind w:left="0" w:firstLine="420"/>
      </w:pPr>
      <w:rPr>
        <w:rFonts w:hint="eastAsia"/>
      </w:rPr>
    </w:lvl>
  </w:abstractNum>
  <w:abstractNum w:abstractNumId="29" w15:restartNumberingAfterBreak="0">
    <w:nsid w:val="482BA9CE"/>
    <w:multiLevelType w:val="singleLevel"/>
    <w:tmpl w:val="482BA9CE"/>
    <w:lvl w:ilvl="0">
      <w:start w:val="1"/>
      <w:numFmt w:val="decimal"/>
      <w:lvlText w:val="%1."/>
      <w:lvlJc w:val="left"/>
      <w:pPr>
        <w:ind w:left="425" w:hanging="425"/>
      </w:pPr>
      <w:rPr>
        <w:rFonts w:hint="default"/>
      </w:rPr>
    </w:lvl>
  </w:abstractNum>
  <w:abstractNum w:abstractNumId="30" w15:restartNumberingAfterBreak="0">
    <w:nsid w:val="49D829ED"/>
    <w:multiLevelType w:val="singleLevel"/>
    <w:tmpl w:val="49D829ED"/>
    <w:lvl w:ilvl="0">
      <w:start w:val="1"/>
      <w:numFmt w:val="chineseCounting"/>
      <w:suff w:val="nothing"/>
      <w:lvlText w:val="（%1）"/>
      <w:lvlJc w:val="left"/>
      <w:pPr>
        <w:ind w:left="0" w:firstLine="420"/>
      </w:pPr>
      <w:rPr>
        <w:rFonts w:hint="eastAsia"/>
      </w:rPr>
    </w:lvl>
  </w:abstractNum>
  <w:abstractNum w:abstractNumId="31" w15:restartNumberingAfterBreak="0">
    <w:nsid w:val="56927484"/>
    <w:multiLevelType w:val="singleLevel"/>
    <w:tmpl w:val="56927484"/>
    <w:lvl w:ilvl="0">
      <w:start w:val="1"/>
      <w:numFmt w:val="decimalEnclosedCircleChinese"/>
      <w:suff w:val="nothing"/>
      <w:lvlText w:val="%1　"/>
      <w:lvlJc w:val="left"/>
      <w:pPr>
        <w:ind w:left="0" w:firstLine="400"/>
      </w:pPr>
      <w:rPr>
        <w:rFonts w:hint="eastAsia"/>
      </w:rPr>
    </w:lvl>
  </w:abstractNum>
  <w:abstractNum w:abstractNumId="32" w15:restartNumberingAfterBreak="0">
    <w:nsid w:val="5FFB9C80"/>
    <w:multiLevelType w:val="singleLevel"/>
    <w:tmpl w:val="5FFB9C80"/>
    <w:lvl w:ilvl="0">
      <w:start w:val="1"/>
      <w:numFmt w:val="decimalEnclosedCircleChinese"/>
      <w:suff w:val="nothing"/>
      <w:lvlText w:val="%1　"/>
      <w:lvlJc w:val="left"/>
      <w:pPr>
        <w:ind w:left="0" w:firstLine="400"/>
      </w:pPr>
      <w:rPr>
        <w:rFonts w:hint="eastAsia"/>
      </w:rPr>
    </w:lvl>
  </w:abstractNum>
  <w:abstractNum w:abstractNumId="33" w15:restartNumberingAfterBreak="0">
    <w:nsid w:val="6BF64C02"/>
    <w:multiLevelType w:val="singleLevel"/>
    <w:tmpl w:val="6BF64C02"/>
    <w:lvl w:ilvl="0">
      <w:start w:val="1"/>
      <w:numFmt w:val="decimalEnclosedCircleChinese"/>
      <w:suff w:val="nothing"/>
      <w:lvlText w:val="%1　"/>
      <w:lvlJc w:val="left"/>
      <w:pPr>
        <w:ind w:left="0" w:firstLine="400"/>
      </w:pPr>
      <w:rPr>
        <w:rFonts w:hint="eastAsia"/>
      </w:rPr>
    </w:lvl>
  </w:abstractNum>
  <w:abstractNum w:abstractNumId="34" w15:restartNumberingAfterBreak="0">
    <w:nsid w:val="74036B50"/>
    <w:multiLevelType w:val="hybridMultilevel"/>
    <w:tmpl w:val="7E70EF12"/>
    <w:lvl w:ilvl="0" w:tplc="0B06230A">
      <w:start w:val="2"/>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4DF6D49"/>
    <w:multiLevelType w:val="singleLevel"/>
    <w:tmpl w:val="74DF6D49"/>
    <w:lvl w:ilvl="0">
      <w:start w:val="1"/>
      <w:numFmt w:val="decimalEnclosedCircleChinese"/>
      <w:suff w:val="nothing"/>
      <w:lvlText w:val="%1　"/>
      <w:lvlJc w:val="left"/>
      <w:pPr>
        <w:ind w:left="0" w:firstLine="400"/>
      </w:pPr>
      <w:rPr>
        <w:rFonts w:hint="eastAsia"/>
      </w:rPr>
    </w:lvl>
  </w:abstractNum>
  <w:abstractNum w:abstractNumId="36" w15:restartNumberingAfterBreak="0">
    <w:nsid w:val="78690582"/>
    <w:multiLevelType w:val="singleLevel"/>
    <w:tmpl w:val="78690582"/>
    <w:lvl w:ilvl="0">
      <w:start w:val="1"/>
      <w:numFmt w:val="decimalEnclosedCircleChinese"/>
      <w:suff w:val="nothing"/>
      <w:lvlText w:val="%1　"/>
      <w:lvlJc w:val="left"/>
      <w:pPr>
        <w:ind w:left="-2" w:firstLine="400"/>
      </w:pPr>
      <w:rPr>
        <w:rFonts w:hint="eastAsia"/>
      </w:rPr>
    </w:lvl>
  </w:abstractNum>
  <w:abstractNum w:abstractNumId="37" w15:restartNumberingAfterBreak="0">
    <w:nsid w:val="7AFB1314"/>
    <w:multiLevelType w:val="singleLevel"/>
    <w:tmpl w:val="7AFB1314"/>
    <w:lvl w:ilvl="0">
      <w:start w:val="1"/>
      <w:numFmt w:val="decimal"/>
      <w:lvlText w:val="%1."/>
      <w:lvlJc w:val="left"/>
      <w:pPr>
        <w:ind w:left="425" w:hanging="425"/>
      </w:pPr>
      <w:rPr>
        <w:rFonts w:hint="default"/>
      </w:rPr>
    </w:lvl>
  </w:abstractNum>
  <w:num w:numId="1">
    <w:abstractNumId w:val="7"/>
  </w:num>
  <w:num w:numId="2">
    <w:abstractNumId w:val="30"/>
  </w:num>
  <w:num w:numId="3">
    <w:abstractNumId w:val="37"/>
  </w:num>
  <w:num w:numId="4">
    <w:abstractNumId w:val="2"/>
  </w:num>
  <w:num w:numId="5">
    <w:abstractNumId w:val="29"/>
  </w:num>
  <w:num w:numId="6">
    <w:abstractNumId w:val="17"/>
  </w:num>
  <w:num w:numId="7">
    <w:abstractNumId w:val="10"/>
  </w:num>
  <w:num w:numId="8">
    <w:abstractNumId w:val="26"/>
  </w:num>
  <w:num w:numId="9">
    <w:abstractNumId w:val="36"/>
  </w:num>
  <w:num w:numId="10">
    <w:abstractNumId w:val="12"/>
  </w:num>
  <w:num w:numId="11">
    <w:abstractNumId w:val="5"/>
  </w:num>
  <w:num w:numId="12">
    <w:abstractNumId w:val="35"/>
  </w:num>
  <w:num w:numId="13">
    <w:abstractNumId w:val="20"/>
  </w:num>
  <w:num w:numId="14">
    <w:abstractNumId w:val="1"/>
  </w:num>
  <w:num w:numId="15">
    <w:abstractNumId w:val="19"/>
  </w:num>
  <w:num w:numId="16">
    <w:abstractNumId w:val="21"/>
  </w:num>
  <w:num w:numId="17">
    <w:abstractNumId w:val="4"/>
  </w:num>
  <w:num w:numId="18">
    <w:abstractNumId w:val="8"/>
  </w:num>
  <w:num w:numId="19">
    <w:abstractNumId w:val="11"/>
  </w:num>
  <w:num w:numId="20">
    <w:abstractNumId w:val="18"/>
  </w:num>
  <w:num w:numId="21">
    <w:abstractNumId w:val="6"/>
  </w:num>
  <w:num w:numId="22">
    <w:abstractNumId w:val="23"/>
  </w:num>
  <w:num w:numId="23">
    <w:abstractNumId w:val="14"/>
  </w:num>
  <w:num w:numId="24">
    <w:abstractNumId w:val="31"/>
  </w:num>
  <w:num w:numId="25">
    <w:abstractNumId w:val="0"/>
  </w:num>
  <w:num w:numId="26">
    <w:abstractNumId w:val="25"/>
  </w:num>
  <w:num w:numId="27">
    <w:abstractNumId w:val="3"/>
  </w:num>
  <w:num w:numId="28">
    <w:abstractNumId w:val="15"/>
  </w:num>
  <w:num w:numId="29">
    <w:abstractNumId w:val="33"/>
  </w:num>
  <w:num w:numId="30">
    <w:abstractNumId w:val="24"/>
  </w:num>
  <w:num w:numId="31">
    <w:abstractNumId w:val="22"/>
  </w:num>
  <w:num w:numId="32">
    <w:abstractNumId w:val="32"/>
  </w:num>
  <w:num w:numId="33">
    <w:abstractNumId w:val="13"/>
  </w:num>
  <w:num w:numId="34">
    <w:abstractNumId w:val="27"/>
  </w:num>
  <w:num w:numId="35">
    <w:abstractNumId w:val="28"/>
  </w:num>
  <w:num w:numId="36">
    <w:abstractNumId w:val="16"/>
  </w:num>
  <w:num w:numId="37">
    <w:abstractNumId w:val="9"/>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A1ODQxZWJkOGViNGM2NjczZjZkMWIwZDlhNzU5MjYifQ=="/>
  </w:docVars>
  <w:rsids>
    <w:rsidRoot w:val="004E4479"/>
    <w:rsid w:val="00001C94"/>
    <w:rsid w:val="00006315"/>
    <w:rsid w:val="00014F79"/>
    <w:rsid w:val="000152DB"/>
    <w:rsid w:val="000275E1"/>
    <w:rsid w:val="000348C8"/>
    <w:rsid w:val="00037D7E"/>
    <w:rsid w:val="00037E16"/>
    <w:rsid w:val="00040938"/>
    <w:rsid w:val="00054E4A"/>
    <w:rsid w:val="00061070"/>
    <w:rsid w:val="00073C1C"/>
    <w:rsid w:val="000829FE"/>
    <w:rsid w:val="00084F2C"/>
    <w:rsid w:val="00087D22"/>
    <w:rsid w:val="00090EDF"/>
    <w:rsid w:val="0009426A"/>
    <w:rsid w:val="0009632F"/>
    <w:rsid w:val="000A28B1"/>
    <w:rsid w:val="000B36CE"/>
    <w:rsid w:val="000D1028"/>
    <w:rsid w:val="000D13B7"/>
    <w:rsid w:val="000D1C66"/>
    <w:rsid w:val="000D5DCF"/>
    <w:rsid w:val="000D6F84"/>
    <w:rsid w:val="000D79CE"/>
    <w:rsid w:val="000E3474"/>
    <w:rsid w:val="000E4448"/>
    <w:rsid w:val="000E5F96"/>
    <w:rsid w:val="000E6AC6"/>
    <w:rsid w:val="000F298F"/>
    <w:rsid w:val="00101941"/>
    <w:rsid w:val="00102FD8"/>
    <w:rsid w:val="00116160"/>
    <w:rsid w:val="00116FAF"/>
    <w:rsid w:val="00120A12"/>
    <w:rsid w:val="00126FD0"/>
    <w:rsid w:val="001323CD"/>
    <w:rsid w:val="0013706E"/>
    <w:rsid w:val="00161A17"/>
    <w:rsid w:val="00161FBB"/>
    <w:rsid w:val="00171053"/>
    <w:rsid w:val="00183C8D"/>
    <w:rsid w:val="001A40C4"/>
    <w:rsid w:val="001B3F15"/>
    <w:rsid w:val="001C5436"/>
    <w:rsid w:val="001D595C"/>
    <w:rsid w:val="001E34B0"/>
    <w:rsid w:val="001F347C"/>
    <w:rsid w:val="001F6E17"/>
    <w:rsid w:val="00204A02"/>
    <w:rsid w:val="00216C44"/>
    <w:rsid w:val="002227AF"/>
    <w:rsid w:val="00224638"/>
    <w:rsid w:val="00226500"/>
    <w:rsid w:val="00230768"/>
    <w:rsid w:val="00230D6E"/>
    <w:rsid w:val="00237EED"/>
    <w:rsid w:val="00250C32"/>
    <w:rsid w:val="002638FA"/>
    <w:rsid w:val="00265456"/>
    <w:rsid w:val="00267DD1"/>
    <w:rsid w:val="002729F1"/>
    <w:rsid w:val="00277717"/>
    <w:rsid w:val="00294BF3"/>
    <w:rsid w:val="00296804"/>
    <w:rsid w:val="002B7DEF"/>
    <w:rsid w:val="002D0457"/>
    <w:rsid w:val="002D2165"/>
    <w:rsid w:val="002D3313"/>
    <w:rsid w:val="002D6261"/>
    <w:rsid w:val="002E1162"/>
    <w:rsid w:val="002E4C0C"/>
    <w:rsid w:val="002E5D11"/>
    <w:rsid w:val="002E7BF8"/>
    <w:rsid w:val="002F19F2"/>
    <w:rsid w:val="00314E1D"/>
    <w:rsid w:val="00320F9A"/>
    <w:rsid w:val="003214EB"/>
    <w:rsid w:val="00324D9F"/>
    <w:rsid w:val="003322FE"/>
    <w:rsid w:val="00340171"/>
    <w:rsid w:val="00353682"/>
    <w:rsid w:val="003541AB"/>
    <w:rsid w:val="003650CB"/>
    <w:rsid w:val="003762F3"/>
    <w:rsid w:val="00377AE3"/>
    <w:rsid w:val="00385FE5"/>
    <w:rsid w:val="00387E85"/>
    <w:rsid w:val="0039665E"/>
    <w:rsid w:val="003966D4"/>
    <w:rsid w:val="003A2324"/>
    <w:rsid w:val="003A5D7D"/>
    <w:rsid w:val="003B3BFA"/>
    <w:rsid w:val="003C28E3"/>
    <w:rsid w:val="003C7625"/>
    <w:rsid w:val="003D0E46"/>
    <w:rsid w:val="003F6B22"/>
    <w:rsid w:val="0040363F"/>
    <w:rsid w:val="00404EEE"/>
    <w:rsid w:val="004059B0"/>
    <w:rsid w:val="00410653"/>
    <w:rsid w:val="00411A51"/>
    <w:rsid w:val="00416C9F"/>
    <w:rsid w:val="00423323"/>
    <w:rsid w:val="00423B81"/>
    <w:rsid w:val="00435306"/>
    <w:rsid w:val="0044714C"/>
    <w:rsid w:val="00454AB6"/>
    <w:rsid w:val="00465C7C"/>
    <w:rsid w:val="00494FE3"/>
    <w:rsid w:val="004A060F"/>
    <w:rsid w:val="004C5205"/>
    <w:rsid w:val="004E2E8E"/>
    <w:rsid w:val="004E4267"/>
    <w:rsid w:val="004E4479"/>
    <w:rsid w:val="004E5899"/>
    <w:rsid w:val="004E7F4D"/>
    <w:rsid w:val="004F594F"/>
    <w:rsid w:val="00512EF9"/>
    <w:rsid w:val="005150B7"/>
    <w:rsid w:val="00517DE7"/>
    <w:rsid w:val="0052320B"/>
    <w:rsid w:val="0052543C"/>
    <w:rsid w:val="005270A7"/>
    <w:rsid w:val="00540057"/>
    <w:rsid w:val="00555C80"/>
    <w:rsid w:val="0055602A"/>
    <w:rsid w:val="00571C4D"/>
    <w:rsid w:val="00582E00"/>
    <w:rsid w:val="0058387A"/>
    <w:rsid w:val="00583BAE"/>
    <w:rsid w:val="00596A69"/>
    <w:rsid w:val="005A05DF"/>
    <w:rsid w:val="005A17BA"/>
    <w:rsid w:val="005A54EA"/>
    <w:rsid w:val="005A6C63"/>
    <w:rsid w:val="005B54BD"/>
    <w:rsid w:val="005C3A41"/>
    <w:rsid w:val="005E5A85"/>
    <w:rsid w:val="005F0E6E"/>
    <w:rsid w:val="005F1B59"/>
    <w:rsid w:val="005F43E6"/>
    <w:rsid w:val="00601432"/>
    <w:rsid w:val="00604C2C"/>
    <w:rsid w:val="00626B3B"/>
    <w:rsid w:val="00630883"/>
    <w:rsid w:val="00633B0C"/>
    <w:rsid w:val="00641F1C"/>
    <w:rsid w:val="006437C7"/>
    <w:rsid w:val="00646D16"/>
    <w:rsid w:val="00656F2C"/>
    <w:rsid w:val="00665209"/>
    <w:rsid w:val="00666197"/>
    <w:rsid w:val="006666D0"/>
    <w:rsid w:val="006675C0"/>
    <w:rsid w:val="0067009A"/>
    <w:rsid w:val="006738FC"/>
    <w:rsid w:val="0068254C"/>
    <w:rsid w:val="00682E01"/>
    <w:rsid w:val="006A0A96"/>
    <w:rsid w:val="006A335E"/>
    <w:rsid w:val="006B2639"/>
    <w:rsid w:val="006B3D72"/>
    <w:rsid w:val="006B471D"/>
    <w:rsid w:val="006B4F18"/>
    <w:rsid w:val="006C1A49"/>
    <w:rsid w:val="006C4765"/>
    <w:rsid w:val="006C5ACE"/>
    <w:rsid w:val="006C6B74"/>
    <w:rsid w:val="006D1068"/>
    <w:rsid w:val="006D1CE2"/>
    <w:rsid w:val="006D29A5"/>
    <w:rsid w:val="006D7473"/>
    <w:rsid w:val="006E2ADA"/>
    <w:rsid w:val="006F333B"/>
    <w:rsid w:val="006F381D"/>
    <w:rsid w:val="00700FDF"/>
    <w:rsid w:val="007105BE"/>
    <w:rsid w:val="0071126E"/>
    <w:rsid w:val="00714B0A"/>
    <w:rsid w:val="00717944"/>
    <w:rsid w:val="00724A67"/>
    <w:rsid w:val="007317E9"/>
    <w:rsid w:val="007338DF"/>
    <w:rsid w:val="00751FDF"/>
    <w:rsid w:val="007539F2"/>
    <w:rsid w:val="00760202"/>
    <w:rsid w:val="00761FF5"/>
    <w:rsid w:val="00764428"/>
    <w:rsid w:val="007651C9"/>
    <w:rsid w:val="00770E2B"/>
    <w:rsid w:val="0077158F"/>
    <w:rsid w:val="0077521B"/>
    <w:rsid w:val="007766E5"/>
    <w:rsid w:val="0078689B"/>
    <w:rsid w:val="00793737"/>
    <w:rsid w:val="007C0D35"/>
    <w:rsid w:val="007C2523"/>
    <w:rsid w:val="007C4674"/>
    <w:rsid w:val="007C7D75"/>
    <w:rsid w:val="007D1742"/>
    <w:rsid w:val="007D3FE0"/>
    <w:rsid w:val="007D4099"/>
    <w:rsid w:val="007E2631"/>
    <w:rsid w:val="007E4243"/>
    <w:rsid w:val="007F6596"/>
    <w:rsid w:val="00801FA2"/>
    <w:rsid w:val="00810FD0"/>
    <w:rsid w:val="008112E7"/>
    <w:rsid w:val="008223F7"/>
    <w:rsid w:val="00822489"/>
    <w:rsid w:val="00822581"/>
    <w:rsid w:val="0082483F"/>
    <w:rsid w:val="0082613D"/>
    <w:rsid w:val="00831324"/>
    <w:rsid w:val="00847720"/>
    <w:rsid w:val="00854099"/>
    <w:rsid w:val="00855A61"/>
    <w:rsid w:val="00876D18"/>
    <w:rsid w:val="00880959"/>
    <w:rsid w:val="00880FD8"/>
    <w:rsid w:val="00884B51"/>
    <w:rsid w:val="008944AC"/>
    <w:rsid w:val="008A03F1"/>
    <w:rsid w:val="008A0EC2"/>
    <w:rsid w:val="008A321F"/>
    <w:rsid w:val="008C65A7"/>
    <w:rsid w:val="008D6B5E"/>
    <w:rsid w:val="008E37CC"/>
    <w:rsid w:val="008F79AA"/>
    <w:rsid w:val="0090579F"/>
    <w:rsid w:val="00907754"/>
    <w:rsid w:val="009130AC"/>
    <w:rsid w:val="00930DA8"/>
    <w:rsid w:val="00934880"/>
    <w:rsid w:val="009421F5"/>
    <w:rsid w:val="009438FB"/>
    <w:rsid w:val="00943B8C"/>
    <w:rsid w:val="00950B89"/>
    <w:rsid w:val="0095300E"/>
    <w:rsid w:val="00955E27"/>
    <w:rsid w:val="00964A5C"/>
    <w:rsid w:val="00971C47"/>
    <w:rsid w:val="00971D6D"/>
    <w:rsid w:val="00984363"/>
    <w:rsid w:val="009939A2"/>
    <w:rsid w:val="009A1F33"/>
    <w:rsid w:val="009C1141"/>
    <w:rsid w:val="009D7141"/>
    <w:rsid w:val="009E5255"/>
    <w:rsid w:val="009E7D9F"/>
    <w:rsid w:val="00A03BD4"/>
    <w:rsid w:val="00A03E20"/>
    <w:rsid w:val="00A050BB"/>
    <w:rsid w:val="00A06BEA"/>
    <w:rsid w:val="00A11E01"/>
    <w:rsid w:val="00A15411"/>
    <w:rsid w:val="00A158B7"/>
    <w:rsid w:val="00A228C6"/>
    <w:rsid w:val="00A23C2D"/>
    <w:rsid w:val="00A23D5E"/>
    <w:rsid w:val="00A23E7D"/>
    <w:rsid w:val="00A421BA"/>
    <w:rsid w:val="00A44FD8"/>
    <w:rsid w:val="00A466C3"/>
    <w:rsid w:val="00A66C73"/>
    <w:rsid w:val="00A6722E"/>
    <w:rsid w:val="00A71788"/>
    <w:rsid w:val="00A730D3"/>
    <w:rsid w:val="00A86879"/>
    <w:rsid w:val="00AA46E7"/>
    <w:rsid w:val="00AA668D"/>
    <w:rsid w:val="00AC032D"/>
    <w:rsid w:val="00AC2782"/>
    <w:rsid w:val="00AC3639"/>
    <w:rsid w:val="00AC3ED8"/>
    <w:rsid w:val="00AC7388"/>
    <w:rsid w:val="00AD7EA1"/>
    <w:rsid w:val="00AE1E6D"/>
    <w:rsid w:val="00AE3972"/>
    <w:rsid w:val="00AE4CA7"/>
    <w:rsid w:val="00AE55D7"/>
    <w:rsid w:val="00AE7EED"/>
    <w:rsid w:val="00B00314"/>
    <w:rsid w:val="00B10D3F"/>
    <w:rsid w:val="00B119C7"/>
    <w:rsid w:val="00B16C70"/>
    <w:rsid w:val="00B2167E"/>
    <w:rsid w:val="00B21DE0"/>
    <w:rsid w:val="00B51DEA"/>
    <w:rsid w:val="00B52FE2"/>
    <w:rsid w:val="00B54BA5"/>
    <w:rsid w:val="00B6349E"/>
    <w:rsid w:val="00B76C55"/>
    <w:rsid w:val="00B77F07"/>
    <w:rsid w:val="00B81A5F"/>
    <w:rsid w:val="00B835EA"/>
    <w:rsid w:val="00B8532F"/>
    <w:rsid w:val="00BA01C6"/>
    <w:rsid w:val="00BB71E3"/>
    <w:rsid w:val="00BC5EBC"/>
    <w:rsid w:val="00BD0B4E"/>
    <w:rsid w:val="00BD1616"/>
    <w:rsid w:val="00BE0A18"/>
    <w:rsid w:val="00BE2E90"/>
    <w:rsid w:val="00C01EE6"/>
    <w:rsid w:val="00C05328"/>
    <w:rsid w:val="00C171A9"/>
    <w:rsid w:val="00C24F4C"/>
    <w:rsid w:val="00C34459"/>
    <w:rsid w:val="00C5334F"/>
    <w:rsid w:val="00C6673F"/>
    <w:rsid w:val="00C70FD1"/>
    <w:rsid w:val="00C81289"/>
    <w:rsid w:val="00C871C7"/>
    <w:rsid w:val="00C908F0"/>
    <w:rsid w:val="00C91A5F"/>
    <w:rsid w:val="00CA325C"/>
    <w:rsid w:val="00CA5B6B"/>
    <w:rsid w:val="00CB1FAC"/>
    <w:rsid w:val="00CB5B10"/>
    <w:rsid w:val="00CC0DD8"/>
    <w:rsid w:val="00CC34D6"/>
    <w:rsid w:val="00CC3A43"/>
    <w:rsid w:val="00CC43CC"/>
    <w:rsid w:val="00CC75E2"/>
    <w:rsid w:val="00CD34A4"/>
    <w:rsid w:val="00CE6720"/>
    <w:rsid w:val="00CF04C9"/>
    <w:rsid w:val="00CF0823"/>
    <w:rsid w:val="00CF18FD"/>
    <w:rsid w:val="00CF555F"/>
    <w:rsid w:val="00D039CE"/>
    <w:rsid w:val="00D12D3A"/>
    <w:rsid w:val="00D14EFE"/>
    <w:rsid w:val="00D24C22"/>
    <w:rsid w:val="00D25F34"/>
    <w:rsid w:val="00D42189"/>
    <w:rsid w:val="00D47087"/>
    <w:rsid w:val="00D538D1"/>
    <w:rsid w:val="00D56B37"/>
    <w:rsid w:val="00D56D3B"/>
    <w:rsid w:val="00D5718E"/>
    <w:rsid w:val="00D704F9"/>
    <w:rsid w:val="00D717E7"/>
    <w:rsid w:val="00D740B5"/>
    <w:rsid w:val="00DB48BD"/>
    <w:rsid w:val="00DB7F72"/>
    <w:rsid w:val="00DC1405"/>
    <w:rsid w:val="00DD5E67"/>
    <w:rsid w:val="00DD75D9"/>
    <w:rsid w:val="00E06BBD"/>
    <w:rsid w:val="00E35A3A"/>
    <w:rsid w:val="00E37F63"/>
    <w:rsid w:val="00E40991"/>
    <w:rsid w:val="00E4300E"/>
    <w:rsid w:val="00E47E87"/>
    <w:rsid w:val="00E51557"/>
    <w:rsid w:val="00E561DF"/>
    <w:rsid w:val="00E56247"/>
    <w:rsid w:val="00E569FD"/>
    <w:rsid w:val="00E56DE9"/>
    <w:rsid w:val="00E6133F"/>
    <w:rsid w:val="00E634AD"/>
    <w:rsid w:val="00E63A2A"/>
    <w:rsid w:val="00E72A23"/>
    <w:rsid w:val="00E82C46"/>
    <w:rsid w:val="00E85112"/>
    <w:rsid w:val="00E95EBE"/>
    <w:rsid w:val="00E965D8"/>
    <w:rsid w:val="00EA2D9C"/>
    <w:rsid w:val="00EA5AB7"/>
    <w:rsid w:val="00EB2E12"/>
    <w:rsid w:val="00EC1FA9"/>
    <w:rsid w:val="00EC2067"/>
    <w:rsid w:val="00EC2714"/>
    <w:rsid w:val="00EC5717"/>
    <w:rsid w:val="00ED2480"/>
    <w:rsid w:val="00ED37A4"/>
    <w:rsid w:val="00EE021F"/>
    <w:rsid w:val="00EE7D13"/>
    <w:rsid w:val="00EE7D9E"/>
    <w:rsid w:val="00F13C4E"/>
    <w:rsid w:val="00F13DB6"/>
    <w:rsid w:val="00F24017"/>
    <w:rsid w:val="00F2798D"/>
    <w:rsid w:val="00F53093"/>
    <w:rsid w:val="00F61E7E"/>
    <w:rsid w:val="00F6692E"/>
    <w:rsid w:val="00F66F66"/>
    <w:rsid w:val="00F80994"/>
    <w:rsid w:val="00F836E4"/>
    <w:rsid w:val="00F860DA"/>
    <w:rsid w:val="00F903E0"/>
    <w:rsid w:val="00F96765"/>
    <w:rsid w:val="00FA1FBF"/>
    <w:rsid w:val="00FA45C0"/>
    <w:rsid w:val="00FA7176"/>
    <w:rsid w:val="00FC72EB"/>
    <w:rsid w:val="00FD098D"/>
    <w:rsid w:val="00FD241D"/>
    <w:rsid w:val="00FE40E9"/>
    <w:rsid w:val="00FF33C0"/>
    <w:rsid w:val="00FF7D6E"/>
    <w:rsid w:val="0E1708E2"/>
    <w:rsid w:val="15C4793E"/>
    <w:rsid w:val="272A0632"/>
    <w:rsid w:val="299426AA"/>
    <w:rsid w:val="2F8A2D09"/>
    <w:rsid w:val="365759CF"/>
    <w:rsid w:val="378E4CFA"/>
    <w:rsid w:val="42A21D9A"/>
    <w:rsid w:val="4644701E"/>
    <w:rsid w:val="542C1497"/>
    <w:rsid w:val="55666F65"/>
    <w:rsid w:val="5A6574B1"/>
    <w:rsid w:val="5B2376E9"/>
    <w:rsid w:val="5BD80D3F"/>
    <w:rsid w:val="66887F16"/>
    <w:rsid w:val="69DF7E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F2A21DC"/>
  <w15:docId w15:val="{ABCC3F8B-4004-48F2-903B-416598271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楷体_GB2312" w:hAnsi="Times New Roman" w:cs="Times New Roman"/>
      <w:spacing w:val="-20"/>
      <w:kern w:val="2"/>
      <w:sz w:val="3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Arial" w:eastAsia="黑体" w:hAnsi="Arial"/>
      <w:b/>
      <w:bCs/>
      <w:spacing w:val="0"/>
      <w:sz w:val="30"/>
      <w:szCs w:val="32"/>
    </w:rPr>
  </w:style>
  <w:style w:type="paragraph" w:styleId="3">
    <w:name w:val="heading 3"/>
    <w:basedOn w:val="a"/>
    <w:next w:val="a"/>
    <w:link w:val="30"/>
    <w:uiPriority w:val="9"/>
    <w:semiHidden/>
    <w:unhideWhenUsed/>
    <w:qFormat/>
    <w:rsid w:val="00A730D3"/>
    <w:pPr>
      <w:keepNext/>
      <w:keepLines/>
      <w:spacing w:before="260" w:after="260" w:line="416" w:lineRule="auto"/>
      <w:outlineLvl w:val="2"/>
    </w:pPr>
    <w:rPr>
      <w:b/>
      <w:bCs/>
      <w:szCs w:val="32"/>
    </w:rPr>
  </w:style>
  <w:style w:type="paragraph" w:styleId="5">
    <w:name w:val="heading 5"/>
    <w:basedOn w:val="a"/>
    <w:next w:val="a"/>
    <w:qFormat/>
    <w:pPr>
      <w:keepNext/>
      <w:outlineLvl w:val="4"/>
    </w:pPr>
    <w:rPr>
      <w:rFonts w:ascii="宋体" w:hAnsi="宋体"/>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qFormat/>
    <w:pPr>
      <w:ind w:firstLine="420"/>
    </w:pPr>
    <w:rPr>
      <w:rFonts w:eastAsia="宋体"/>
      <w:spacing w:val="0"/>
      <w:sz w:val="21"/>
    </w:rPr>
  </w:style>
  <w:style w:type="paragraph" w:styleId="a5">
    <w:name w:val="annotation text"/>
    <w:basedOn w:val="a"/>
    <w:link w:val="a6"/>
    <w:qFormat/>
    <w:pPr>
      <w:jc w:val="left"/>
    </w:pPr>
  </w:style>
  <w:style w:type="paragraph" w:styleId="a7">
    <w:name w:val="Block Text"/>
    <w:basedOn w:val="a"/>
    <w:qFormat/>
    <w:pPr>
      <w:tabs>
        <w:tab w:val="left" w:pos="1475"/>
      </w:tabs>
      <w:ind w:left="-295" w:right="491" w:firstLine="885"/>
    </w:pPr>
    <w:rPr>
      <w:sz w:val="36"/>
    </w:rPr>
  </w:style>
  <w:style w:type="paragraph" w:styleId="a8">
    <w:name w:val="Plain Text"/>
    <w:basedOn w:val="a"/>
    <w:link w:val="a9"/>
    <w:qFormat/>
    <w:rPr>
      <w:rFonts w:ascii="宋体" w:eastAsia="宋体" w:hAnsi="Courier New"/>
      <w:spacing w:val="0"/>
      <w:sz w:val="21"/>
    </w:rPr>
  </w:style>
  <w:style w:type="paragraph" w:styleId="aa">
    <w:name w:val="Date"/>
    <w:basedOn w:val="a"/>
    <w:next w:val="a"/>
    <w:link w:val="ab"/>
    <w:qFormat/>
    <w:pPr>
      <w:ind w:leftChars="2500" w:left="100"/>
    </w:pPr>
  </w:style>
  <w:style w:type="paragraph" w:styleId="ac">
    <w:name w:val="Balloon Text"/>
    <w:basedOn w:val="a"/>
    <w:link w:val="ad"/>
    <w:uiPriority w:val="99"/>
    <w:semiHidden/>
    <w:unhideWhenUsed/>
    <w:qFormat/>
    <w:rPr>
      <w:sz w:val="18"/>
      <w:szCs w:val="18"/>
    </w:rPr>
  </w:style>
  <w:style w:type="paragraph" w:styleId="ae">
    <w:name w:val="footer"/>
    <w:basedOn w:val="a"/>
    <w:link w:val="af"/>
    <w:uiPriority w:val="99"/>
    <w:semiHidden/>
    <w:unhideWhenUsed/>
    <w:qFormat/>
    <w:pPr>
      <w:tabs>
        <w:tab w:val="center" w:pos="4153"/>
        <w:tab w:val="right" w:pos="8306"/>
      </w:tabs>
      <w:snapToGrid w:val="0"/>
      <w:jc w:val="left"/>
    </w:pPr>
    <w:rPr>
      <w:sz w:val="18"/>
      <w:szCs w:val="18"/>
    </w:rPr>
  </w:style>
  <w:style w:type="paragraph" w:styleId="af0">
    <w:name w:val="header"/>
    <w:basedOn w:val="a"/>
    <w:link w:val="af1"/>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af2">
    <w:name w:val="annotation subject"/>
    <w:basedOn w:val="a5"/>
    <w:next w:val="a5"/>
    <w:link w:val="af3"/>
    <w:uiPriority w:val="99"/>
    <w:semiHidden/>
    <w:unhideWhenUsed/>
    <w:qFormat/>
    <w:rPr>
      <w:b/>
      <w:bCs/>
    </w:rPr>
  </w:style>
  <w:style w:type="character" w:styleId="af4">
    <w:name w:val="annotation reference"/>
    <w:basedOn w:val="a0"/>
    <w:qFormat/>
    <w:rPr>
      <w:sz w:val="21"/>
      <w:szCs w:val="21"/>
    </w:rPr>
  </w:style>
  <w:style w:type="character" w:customStyle="1" w:styleId="af1">
    <w:name w:val="页眉 字符"/>
    <w:basedOn w:val="a0"/>
    <w:link w:val="af0"/>
    <w:uiPriority w:val="99"/>
    <w:semiHidden/>
    <w:qFormat/>
    <w:rPr>
      <w:rFonts w:ascii="Times New Roman" w:eastAsia="楷体_GB2312" w:hAnsi="Times New Roman" w:cs="Times New Roman"/>
      <w:spacing w:val="-20"/>
      <w:sz w:val="18"/>
      <w:szCs w:val="18"/>
    </w:rPr>
  </w:style>
  <w:style w:type="character" w:customStyle="1" w:styleId="af">
    <w:name w:val="页脚 字符"/>
    <w:basedOn w:val="a0"/>
    <w:link w:val="ae"/>
    <w:uiPriority w:val="99"/>
    <w:semiHidden/>
    <w:qFormat/>
    <w:rPr>
      <w:rFonts w:ascii="Times New Roman" w:eastAsia="楷体_GB2312" w:hAnsi="Times New Roman" w:cs="Times New Roman"/>
      <w:spacing w:val="-20"/>
      <w:sz w:val="18"/>
      <w:szCs w:val="18"/>
    </w:rPr>
  </w:style>
  <w:style w:type="paragraph" w:styleId="af5">
    <w:name w:val="List Paragraph"/>
    <w:basedOn w:val="a"/>
    <w:uiPriority w:val="34"/>
    <w:qFormat/>
    <w:pPr>
      <w:ind w:firstLineChars="200" w:firstLine="420"/>
    </w:pPr>
  </w:style>
  <w:style w:type="character" w:customStyle="1" w:styleId="20">
    <w:name w:val="标题 2 字符"/>
    <w:basedOn w:val="a0"/>
    <w:link w:val="2"/>
    <w:qFormat/>
    <w:rPr>
      <w:rFonts w:ascii="Arial" w:eastAsia="黑体" w:hAnsi="Arial" w:cs="Times New Roman"/>
      <w:b/>
      <w:bCs/>
      <w:sz w:val="30"/>
      <w:szCs w:val="32"/>
    </w:rPr>
  </w:style>
  <w:style w:type="character" w:customStyle="1" w:styleId="ab">
    <w:name w:val="日期 字符"/>
    <w:basedOn w:val="a0"/>
    <w:link w:val="aa"/>
    <w:qFormat/>
    <w:rPr>
      <w:rFonts w:ascii="Times New Roman" w:eastAsia="楷体_GB2312" w:hAnsi="Times New Roman" w:cs="Times New Roman"/>
      <w:spacing w:val="-20"/>
      <w:sz w:val="32"/>
      <w:szCs w:val="20"/>
    </w:rPr>
  </w:style>
  <w:style w:type="character" w:customStyle="1" w:styleId="Char">
    <w:name w:val="纯文本 Char"/>
    <w:basedOn w:val="a0"/>
    <w:uiPriority w:val="99"/>
    <w:semiHidden/>
    <w:qFormat/>
    <w:rPr>
      <w:rFonts w:ascii="宋体" w:eastAsia="宋体" w:hAnsi="Courier New" w:cs="Courier New"/>
      <w:spacing w:val="-20"/>
      <w:szCs w:val="21"/>
    </w:rPr>
  </w:style>
  <w:style w:type="paragraph" w:customStyle="1" w:styleId="31">
    <w:name w:val="样式3"/>
    <w:basedOn w:val="a8"/>
    <w:qFormat/>
    <w:pPr>
      <w:spacing w:line="0" w:lineRule="atLeast"/>
      <w:outlineLvl w:val="0"/>
    </w:pPr>
    <w:rPr>
      <w:sz w:val="28"/>
    </w:rPr>
  </w:style>
  <w:style w:type="character" w:customStyle="1" w:styleId="a9">
    <w:name w:val="纯文本 字符"/>
    <w:link w:val="a8"/>
    <w:qFormat/>
    <w:rPr>
      <w:rFonts w:ascii="宋体" w:eastAsia="宋体" w:hAnsi="Courier New" w:cs="Times New Roman"/>
      <w:szCs w:val="20"/>
    </w:rPr>
  </w:style>
  <w:style w:type="character" w:customStyle="1" w:styleId="a4">
    <w:name w:val="正文缩进 字符"/>
    <w:link w:val="a3"/>
    <w:qFormat/>
    <w:rPr>
      <w:rFonts w:ascii="Times New Roman" w:eastAsia="宋体" w:hAnsi="Times New Roman" w:cs="Times New Roman"/>
      <w:szCs w:val="20"/>
    </w:rPr>
  </w:style>
  <w:style w:type="character" w:customStyle="1" w:styleId="ad">
    <w:name w:val="批注框文本 字符"/>
    <w:basedOn w:val="a0"/>
    <w:link w:val="ac"/>
    <w:uiPriority w:val="99"/>
    <w:semiHidden/>
    <w:qFormat/>
    <w:rPr>
      <w:rFonts w:ascii="Times New Roman" w:eastAsia="楷体_GB2312" w:hAnsi="Times New Roman" w:cs="Times New Roman"/>
      <w:spacing w:val="-20"/>
      <w:sz w:val="18"/>
      <w:szCs w:val="18"/>
    </w:rPr>
  </w:style>
  <w:style w:type="character" w:customStyle="1" w:styleId="10">
    <w:name w:val="标题 1 字符"/>
    <w:basedOn w:val="a0"/>
    <w:link w:val="1"/>
    <w:uiPriority w:val="9"/>
    <w:qFormat/>
    <w:rPr>
      <w:rFonts w:ascii="Times New Roman" w:eastAsia="楷体_GB2312" w:hAnsi="Times New Roman" w:cs="Times New Roman"/>
      <w:b/>
      <w:bCs/>
      <w:spacing w:val="-20"/>
      <w:kern w:val="44"/>
      <w:sz w:val="44"/>
      <w:szCs w:val="44"/>
    </w:rPr>
  </w:style>
  <w:style w:type="character" w:customStyle="1" w:styleId="11">
    <w:name w:val="标题1"/>
    <w:basedOn w:val="a0"/>
    <w:qFormat/>
  </w:style>
  <w:style w:type="character" w:customStyle="1" w:styleId="a6">
    <w:name w:val="批注文字 字符"/>
    <w:basedOn w:val="a0"/>
    <w:link w:val="a5"/>
    <w:qFormat/>
    <w:rPr>
      <w:rFonts w:ascii="Times New Roman" w:eastAsia="楷体_GB2312" w:hAnsi="Times New Roman" w:cs="Times New Roman"/>
      <w:spacing w:val="-20"/>
      <w:sz w:val="32"/>
      <w:szCs w:val="20"/>
    </w:rPr>
  </w:style>
  <w:style w:type="character" w:customStyle="1" w:styleId="af3">
    <w:name w:val="批注主题 字符"/>
    <w:basedOn w:val="a6"/>
    <w:link w:val="af2"/>
    <w:uiPriority w:val="99"/>
    <w:semiHidden/>
    <w:qFormat/>
    <w:rPr>
      <w:rFonts w:ascii="Times New Roman" w:eastAsia="楷体_GB2312" w:hAnsi="Times New Roman" w:cs="Times New Roman"/>
      <w:b/>
      <w:bCs/>
      <w:spacing w:val="-20"/>
      <w:sz w:val="32"/>
      <w:szCs w:val="20"/>
    </w:rPr>
  </w:style>
  <w:style w:type="character" w:customStyle="1" w:styleId="30">
    <w:name w:val="标题 3 字符"/>
    <w:basedOn w:val="a0"/>
    <w:link w:val="3"/>
    <w:qFormat/>
    <w:rsid w:val="00A730D3"/>
    <w:rPr>
      <w:rFonts w:ascii="Times New Roman" w:eastAsia="楷体_GB2312" w:hAnsi="Times New Roman" w:cs="Times New Roman"/>
      <w:b/>
      <w:bCs/>
      <w:spacing w:val="-20"/>
      <w:kern w:val="2"/>
      <w:sz w:val="32"/>
      <w:szCs w:val="32"/>
    </w:rPr>
  </w:style>
  <w:style w:type="paragraph" w:customStyle="1" w:styleId="12">
    <w:name w:val="列出段落1"/>
    <w:basedOn w:val="a"/>
    <w:qFormat/>
    <w:rsid w:val="00A730D3"/>
    <w:pPr>
      <w:adjustRightInd w:val="0"/>
      <w:spacing w:line="312" w:lineRule="atLeast"/>
      <w:ind w:firstLineChars="200" w:firstLine="420"/>
    </w:pPr>
    <w:rPr>
      <w:rFonts w:ascii="等线" w:eastAsia="等线" w:hAnsi="等线"/>
      <w:spacing w:val="0"/>
      <w:sz w:val="21"/>
      <w:szCs w:val="22"/>
    </w:rPr>
  </w:style>
  <w:style w:type="paragraph" w:customStyle="1" w:styleId="Style2">
    <w:name w:val="_Style 2"/>
    <w:basedOn w:val="a"/>
    <w:qFormat/>
    <w:rsid w:val="00A730D3"/>
    <w:pPr>
      <w:ind w:firstLineChars="200" w:firstLine="420"/>
    </w:pPr>
    <w:rPr>
      <w:rFonts w:ascii="Calibri" w:eastAsia="宋体" w:hAnsi="Calibri"/>
      <w:spacing w:val="0"/>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CD82D-18DA-4828-AED9-124DDA622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1991</Words>
  <Characters>11354</Characters>
  <Application>Microsoft Office Word</Application>
  <DocSecurity>0</DocSecurity>
  <Lines>94</Lines>
  <Paragraphs>26</Paragraphs>
  <ScaleCrop>false</ScaleCrop>
  <Company>微软中国</Company>
  <LinksUpToDate>false</LinksUpToDate>
  <CharactersWithSpaces>13319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钱应翾</cp:lastModifiedBy>
  <cp:revision>65</cp:revision>
  <cp:lastPrinted>2021-07-06T02:58:00Z</cp:lastPrinted>
  <dcterms:created xsi:type="dcterms:W3CDTF">2021-07-05T01:43:00Z</dcterms:created>
  <dcterms:modified xsi:type="dcterms:W3CDTF">2022-08-22T01:39:00Z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EA691D93D49D487FAEFDDF2BC1E64B4C</vt:lpwstr>
  </property>
</Properties>
</file>