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一、在中华人民共和国境内依法注册的【独立】法人或非法人组织</w:t>
      </w:r>
      <w:r>
        <w:rPr>
          <w:rFonts w:hint="eastAsia" w:ascii="微软雅黑" w:hAnsi="微软雅黑" w:eastAsia="微软雅黑"/>
          <w:color w:val="FF0000"/>
        </w:rPr>
        <w:t>【或自然人】（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提供中华人民共和国境内行政管理部门登记的主体资格证书（包括但不限于营业执照、事业单位法人证书、社会团体法人登记证书等））；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近三年内无骗取中标、严重违约、不良行为等廉洁诚信问题 及重大经济纠纷问题（提供信用中国下载的“信用报告”或承诺书（承诺格式自拟））；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4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提供信用中国下载的“信用报告”或承诺书</w:t>
            </w: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</w:pPr>
          </w:p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三、供应商为拟供品牌的生产厂家，提供拟供物品的正品承诺函及售后质保承诺(格式自拟）；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default" w:ascii="微软雅黑" w:hAnsi="微软雅黑" w:eastAsia="微软雅黑"/>
                <w:color w:val="000000" w:themeColor="text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正品承诺函:</w:t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20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default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售后质保承诺:</w:t>
            </w:r>
          </w:p>
        </w:tc>
      </w:tr>
    </w:tbl>
    <w:p>
      <w:pPr>
        <w:pStyle w:val="12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四、提供产品质量相关检验报告；</w:t>
      </w:r>
    </w:p>
    <w:tbl>
      <w:tblPr>
        <w:tblStyle w:val="15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8" w:hRule="atLeast"/>
        </w:trPr>
        <w:tc>
          <w:tcPr>
            <w:tcW w:w="8522" w:type="dxa"/>
          </w:tcPr>
          <w:p>
            <w:pPr>
              <w:pStyle w:val="12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2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竞价偏差表;</w:t>
      </w:r>
    </w:p>
    <w:p>
      <w:pPr>
        <w:adjustRightInd w:val="0"/>
        <w:snapToGrid w:val="0"/>
        <w:spacing w:line="520" w:lineRule="exact"/>
        <w:rPr>
          <w:rFonts w:hint="eastAsia" w:ascii="微软雅黑" w:hAnsi="微软雅黑" w:eastAsia="微软雅黑"/>
          <w:color w:val="000000"/>
          <w:sz w:val="24"/>
          <w:lang w:eastAsia="zh-CN"/>
        </w:rPr>
      </w:pPr>
      <w:r>
        <w:rPr>
          <w:rFonts w:hint="eastAsia" w:ascii="微软雅黑" w:hAnsi="微软雅黑" w:eastAsia="微软雅黑"/>
          <w:color w:val="000000"/>
          <w:sz w:val="24"/>
        </w:rPr>
        <w:t>项目名称：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阿里河森工公司采购红炬牌涡流燃烧节能环保数控锅炉项目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【</w:t>
      </w:r>
      <w:r>
        <w:rPr>
          <w:rFonts w:hint="eastAsia" w:ascii="微软雅黑" w:hAnsi="微软雅黑" w:eastAsia="微软雅黑"/>
          <w:color w:val="000000"/>
          <w:sz w:val="24"/>
          <w:lang w:val="en-US" w:eastAsia="zh-CN"/>
        </w:rPr>
        <w:t>网上竞价</w:t>
      </w:r>
      <w:r>
        <w:rPr>
          <w:rFonts w:hint="eastAsia" w:ascii="微软雅黑" w:hAnsi="微软雅黑" w:eastAsia="微软雅黑"/>
          <w:color w:val="000000"/>
          <w:sz w:val="24"/>
          <w:lang w:eastAsia="zh-CN"/>
        </w:rPr>
        <w:t>】</w:t>
      </w:r>
    </w:p>
    <w:p>
      <w:pPr>
        <w:adjustRightInd w:val="0"/>
        <w:snapToGrid w:val="0"/>
        <w:spacing w:line="520" w:lineRule="exact"/>
        <w:rPr>
          <w:rFonts w:hint="default" w:ascii="微软雅黑" w:hAnsi="微软雅黑" w:eastAsia="微软雅黑"/>
          <w:color w:val="000000"/>
          <w:sz w:val="24"/>
          <w:lang w:val="en-US" w:eastAsia="zh-CN"/>
        </w:rPr>
      </w:pPr>
      <w:r>
        <w:rPr>
          <w:rFonts w:hint="eastAsia" w:ascii="微软雅黑" w:hAnsi="微软雅黑" w:eastAsia="微软雅黑"/>
          <w:color w:val="000000"/>
          <w:sz w:val="24"/>
          <w:szCs w:val="24"/>
        </w:rPr>
        <w:t>项目编号：0345HW20220</w:t>
      </w:r>
      <w:r>
        <w:rPr>
          <w:rFonts w:hint="eastAsia" w:ascii="微软雅黑" w:hAnsi="微软雅黑" w:eastAsia="微软雅黑"/>
          <w:color w:val="000000"/>
          <w:sz w:val="24"/>
          <w:szCs w:val="24"/>
          <w:lang w:val="en-US" w:eastAsia="zh-CN"/>
        </w:rPr>
        <w:t>443</w:t>
      </w:r>
    </w:p>
    <w:p>
      <w:pPr>
        <w:adjustRightInd w:val="0"/>
        <w:snapToGrid w:val="0"/>
        <w:spacing w:line="520" w:lineRule="exact"/>
        <w:ind w:firstLine="480" w:firstLineChars="200"/>
        <w:rPr>
          <w:rFonts w:ascii="微软雅黑" w:hAnsi="微软雅黑" w:eastAsia="微软雅黑"/>
          <w:color w:val="000000"/>
          <w:sz w:val="24"/>
        </w:rPr>
      </w:pPr>
      <w:r>
        <w:rPr>
          <w:rFonts w:hint="eastAsia" w:ascii="微软雅黑" w:hAnsi="微软雅黑" w:eastAsia="微软雅黑"/>
          <w:color w:val="000000"/>
          <w:sz w:val="24"/>
        </w:rPr>
        <w:t>针对本项目《采购公告》中规定的技术参数供应商应做充分考虑及响应，除了下列《偏差范围表》中列出的允许偏差内容，供应商所提供的产品其他技术参数（标准）应优于或相当于《采购公告》技术规格中要求的标准，以满足采购单位的需要。</w:t>
      </w:r>
    </w:p>
    <w:tbl>
      <w:tblPr>
        <w:tblStyle w:val="14"/>
        <w:tblW w:w="10036" w:type="dxa"/>
        <w:tblInd w:w="-79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504"/>
        <w:gridCol w:w="4000"/>
        <w:gridCol w:w="1741"/>
        <w:gridCol w:w="21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tblHeader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序号</w:t>
            </w:r>
          </w:p>
        </w:tc>
        <w:tc>
          <w:tcPr>
            <w:tcW w:w="1504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内容</w:t>
            </w:r>
          </w:p>
        </w:tc>
        <w:tc>
          <w:tcPr>
            <w:tcW w:w="4000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  <w:lang w:eastAsia="zh-CN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  <w:lang w:eastAsia="zh-CN"/>
              </w:rPr>
              <w:t>要求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填写“偏差”或“不偏差”</w:t>
            </w:r>
          </w:p>
        </w:tc>
        <w:tc>
          <w:tcPr>
            <w:tcW w:w="2149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微软雅黑" w:hAnsi="微软雅黑" w:eastAsia="微软雅黑"/>
                <w:color w:val="000000"/>
                <w:sz w:val="24"/>
              </w:rPr>
              <w:t>备注（若偏离请备注实际偏离情况）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tblHeader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1504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合同签署</w:t>
            </w:r>
          </w:p>
        </w:tc>
        <w:tc>
          <w:tcPr>
            <w:tcW w:w="4000" w:type="dxa"/>
            <w:vAlign w:val="center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333333"/>
                <w:sz w:val="21"/>
                <w:szCs w:val="21"/>
                <w:highlight w:val="none"/>
                <w:lang w:val="en-US" w:eastAsia="zh-CN"/>
              </w:rPr>
              <w:t>合同签订地点采购人经营地址（内蒙古呼伦贝尔市鄂伦春自治旗阿里河镇）。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tblHeader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交付日期</w:t>
            </w:r>
          </w:p>
        </w:tc>
        <w:tc>
          <w:tcPr>
            <w:tcW w:w="4000" w:type="dxa"/>
            <w:vAlign w:val="center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333333"/>
                <w:sz w:val="21"/>
                <w:szCs w:val="21"/>
                <w:highlight w:val="none"/>
                <w:lang w:val="en-US" w:eastAsia="zh-CN"/>
              </w:rPr>
              <w:t>自签订合同之日起三天内到货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  <w:tblHeader/>
        </w:trPr>
        <w:tc>
          <w:tcPr>
            <w:tcW w:w="642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交付地点</w:t>
            </w:r>
          </w:p>
        </w:tc>
        <w:tc>
          <w:tcPr>
            <w:tcW w:w="4000" w:type="dxa"/>
            <w:vAlign w:val="center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内蒙古呼伦贝尔市鄂伦春自治旗阿里河镇（阿里河森工公司红星林场）。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snapToGrid w:val="0"/>
              <w:spacing w:line="520" w:lineRule="exact"/>
              <w:contextualSpacing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货品要求</w:t>
            </w:r>
          </w:p>
        </w:tc>
        <w:tc>
          <w:tcPr>
            <w:tcW w:w="4000" w:type="dxa"/>
            <w:vAlign w:val="center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供应商确保所提供的货品为正品。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运输及装卸要求</w:t>
            </w:r>
          </w:p>
        </w:tc>
        <w:tc>
          <w:tcPr>
            <w:tcW w:w="4000" w:type="dxa"/>
            <w:vAlign w:val="center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供应商负责货物送到指定地点。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  <w:t>技术规格</w:t>
            </w:r>
          </w:p>
        </w:tc>
        <w:tc>
          <w:tcPr>
            <w:tcW w:w="4000" w:type="dxa"/>
            <w:vAlign w:val="center"/>
          </w:tcPr>
          <w:p>
            <w:pPr>
              <w:pStyle w:val="12"/>
              <w:wordWrap w:val="0"/>
              <w:spacing w:before="0" w:beforeAutospacing="0" w:after="0" w:afterAutospacing="0" w:line="360" w:lineRule="auto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技术规格要求为：NS-85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60-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V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型锅炉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,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热功率0.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9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MW，额定出水温度85℃，额定进水温度60℃，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工作压力：常压，参考供暖面积5000m2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,容水量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4T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，烟筒直径φ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400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，烟筒高度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m，适用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林区烧柴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，水压试验0.2Mpa,出进口直径φ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80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，外形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300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*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240(cm)</w:t>
            </w: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504" w:type="dxa"/>
            <w:vAlign w:val="center"/>
          </w:tcPr>
          <w:p>
            <w:pPr>
              <w:widowControl/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cs="Calibri"/>
                <w:b/>
                <w:bCs/>
                <w:color w:val="333333"/>
                <w:sz w:val="21"/>
                <w:szCs w:val="21"/>
                <w:highlight w:val="none"/>
                <w:lang w:val="en-US" w:eastAsia="zh-CN"/>
              </w:rPr>
              <w:t>质量要求</w:t>
            </w:r>
          </w:p>
        </w:tc>
        <w:tc>
          <w:tcPr>
            <w:tcW w:w="40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napToGrid w:val="0"/>
              <w:spacing w:line="440" w:lineRule="exact"/>
              <w:contextualSpacing/>
              <w:textAlignment w:val="auto"/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 w:themeColor="text1"/>
                <w:kern w:val="0"/>
                <w:sz w:val="21"/>
                <w:szCs w:val="21"/>
                <w:lang w:val="en-US" w:eastAsia="zh-CN" w:bidi="ar-SA"/>
                <w14:textFill>
                  <w14:solidFill>
                    <w14:schemeClr w14:val="tx1"/>
                  </w14:solidFill>
                </w14:textFill>
              </w:rPr>
              <w:t>质量要求：符合国家行业技术标准，需提供相关产品质量</w:t>
            </w:r>
            <w:r>
              <w:rPr>
                <w:rFonts w:hint="eastAsia" w:cs="Calibri"/>
                <w:b w:val="0"/>
                <w:bCs w:val="0"/>
                <w:color w:val="333333"/>
                <w:sz w:val="21"/>
                <w:szCs w:val="21"/>
                <w:highlight w:val="none"/>
                <w:lang w:val="en-US" w:eastAsia="zh-CN"/>
              </w:rPr>
              <w:t>检验报告。锅炉结构要有足够的强度、刚度和稳定性，任何情况下锅炉本体顶部表压为零，锅炉锅筒（壳）或炉胆的取用壁厚不小于3mm，具有良好的密封性能，有足够的风室风压，且调风装置灵活有效；具有良好的密封性能和保温性能，锅炉炉墙外表面温度不高于50℃，炉顶外表面温度不高于70℃。便于运输、安装、运行操作、检修、排污、放水及内部清洗。封头用整块钢板制造，如有拼接不能超过两块；</w:t>
            </w:r>
          </w:p>
        </w:tc>
        <w:tc>
          <w:tcPr>
            <w:tcW w:w="1741" w:type="dxa"/>
            <w:vAlign w:val="center"/>
          </w:tcPr>
          <w:p>
            <w:pPr>
              <w:jc w:val="center"/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  <w:tc>
          <w:tcPr>
            <w:tcW w:w="2149" w:type="dxa"/>
            <w:vAlign w:val="center"/>
          </w:tcPr>
          <w:p>
            <w:pPr>
              <w:rPr>
                <w:rFonts w:ascii="微软雅黑" w:hAnsi="微软雅黑" w:eastAsia="微软雅黑"/>
                <w:color w:val="000000"/>
                <w:sz w:val="24"/>
              </w:rPr>
            </w:pPr>
          </w:p>
        </w:tc>
      </w:tr>
    </w:tbl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注：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1、请按清单内容逐项列出偏差情况，若偏差写明偏差内容（未注明视为不响应将被否决）。2、实质性条款不可偏离。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3、实质性可变动条款采购人根据实际情况判断是否接受，不接受即否决资格。</w:t>
      </w:r>
    </w:p>
    <w:p>
      <w:pPr>
        <w:adjustRightInd w:val="0"/>
        <w:snapToGrid w:val="0"/>
        <w:spacing w:line="400" w:lineRule="exact"/>
        <w:rPr>
          <w:rFonts w:ascii="微软雅黑" w:hAnsi="微软雅黑" w:eastAsia="微软雅黑"/>
        </w:rPr>
      </w:pPr>
      <w:r>
        <w:rPr>
          <w:rFonts w:hint="eastAsia" w:ascii="微软雅黑" w:hAnsi="微软雅黑" w:eastAsia="微软雅黑"/>
        </w:rPr>
        <w:t>4、逐页盖章。</w:t>
      </w:r>
    </w:p>
    <w:p>
      <w:pPr>
        <w:pStyle w:val="12"/>
        <w:numPr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default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</w:rPr>
        <w:t xml:space="preserve">签字：  </w:t>
      </w: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int="eastAsia" w:hAnsi="宋体"/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签字：</w:t>
      </w:r>
    </w:p>
    <w:tbl>
      <w:tblPr>
        <w:tblStyle w:val="14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5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六、《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sz w:val="22"/>
          <w:lang w:eastAsia="zh-CN"/>
        </w:rPr>
      </w:pPr>
      <w:r>
        <w:rPr>
          <w:rFonts w:hint="eastAsia" w:ascii="微软雅黑" w:hAnsi="微软雅黑" w:eastAsia="微软雅黑"/>
          <w:sz w:val="22"/>
        </w:rPr>
        <w:t>项目名称：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val="en-US" w:eastAsia="zh-CN"/>
        </w:rPr>
        <w:t>阿里河森工公司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  <w:lang w:eastAsia="zh-CN"/>
        </w:rPr>
        <w:t>煤炭采购</w:t>
      </w:r>
      <w:r>
        <w:rPr>
          <w:rFonts w:hint="eastAsia" w:asciiTheme="minorEastAsia" w:hAnsiTheme="minorEastAsia" w:eastAsiaTheme="minorEastAsia" w:cstheme="minorEastAsia"/>
          <w:color w:val="000000"/>
          <w:sz w:val="24"/>
          <w:szCs w:val="24"/>
        </w:rPr>
        <w:t>项目【网上竞价】</w:t>
      </w:r>
    </w:p>
    <w:p>
      <w:pPr>
        <w:adjustRightInd w:val="0"/>
        <w:snapToGrid w:val="0"/>
        <w:spacing w:line="360" w:lineRule="auto"/>
        <w:jc w:val="left"/>
        <w:rPr>
          <w:rFonts w:hint="default" w:ascii="微软雅黑" w:hAnsi="微软雅黑" w:eastAsia="微软雅黑"/>
          <w:color w:val="000000"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/>
          <w:sz w:val="22"/>
        </w:rPr>
        <w:t>项目编号：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0345HW20220376</w:t>
      </w:r>
    </w:p>
    <w:tbl>
      <w:tblPr>
        <w:tblStyle w:val="15"/>
        <w:tblW w:w="5279" w:type="pct"/>
        <w:tblInd w:w="-2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3"/>
        <w:gridCol w:w="676"/>
        <w:gridCol w:w="2338"/>
        <w:gridCol w:w="799"/>
        <w:gridCol w:w="963"/>
        <w:gridCol w:w="1158"/>
        <w:gridCol w:w="1004"/>
        <w:gridCol w:w="796"/>
        <w:gridCol w:w="67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329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序号</w:t>
            </w:r>
          </w:p>
        </w:tc>
        <w:tc>
          <w:tcPr>
            <w:tcW w:w="37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名称</w:t>
            </w:r>
          </w:p>
        </w:tc>
        <w:tc>
          <w:tcPr>
            <w:tcW w:w="1299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质量要求</w:t>
            </w:r>
          </w:p>
        </w:tc>
        <w:tc>
          <w:tcPr>
            <w:tcW w:w="443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eastAsia="zh-CN"/>
              </w:rPr>
              <w:t>数量</w:t>
            </w:r>
          </w:p>
        </w:tc>
        <w:tc>
          <w:tcPr>
            <w:tcW w:w="53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eastAsia="zh-CN"/>
              </w:rPr>
              <w:t>单位</w:t>
            </w:r>
          </w:p>
        </w:tc>
        <w:tc>
          <w:tcPr>
            <w:tcW w:w="643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</w:rPr>
              <w:t>单价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  <w:t>限价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55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sz w:val="21"/>
                <w:szCs w:val="21"/>
                <w:lang w:val="en-US" w:eastAsia="zh-CN"/>
              </w:rPr>
              <w:t>单价报价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44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eastAsia="zh-CN"/>
              </w:rPr>
              <w:t>小计</w:t>
            </w: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  <w:t>（元）</w:t>
            </w:r>
          </w:p>
        </w:tc>
        <w:tc>
          <w:tcPr>
            <w:tcW w:w="37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3" w:hRule="atLeast"/>
        </w:trPr>
        <w:tc>
          <w:tcPr>
            <w:tcW w:w="329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  <w:r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7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99" w:type="pct"/>
            <w:vAlign w:val="center"/>
          </w:tcPr>
          <w:p>
            <w:pPr>
              <w:widowControl/>
              <w:numPr>
                <w:ilvl w:val="0"/>
                <w:numId w:val="0"/>
              </w:numPr>
              <w:ind w:left="0" w:leftChars="0" w:firstLine="0" w:firstLineChars="0"/>
              <w:jc w:val="left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eastAsia="zh-CN"/>
              </w:rPr>
              <w:t>采购生活用煤，块煤粒径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5-8CM（机选），发热值3600大卡以上、上下浮动100大卡，无矸石。结果对化验存在异议，经双方协商可委托双方认可的第三方单位进行化验。灰分≤16%、挥发份≥30%、固定碳≥48%、水分≤3%、含硫量≤0.5%，煤炭送达后三个月内不得有风化现象。</w:t>
            </w:r>
          </w:p>
        </w:tc>
        <w:tc>
          <w:tcPr>
            <w:tcW w:w="443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  <w:t>1085</w:t>
            </w:r>
          </w:p>
        </w:tc>
        <w:tc>
          <w:tcPr>
            <w:tcW w:w="535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  <w:t>吨</w:t>
            </w:r>
          </w:p>
        </w:tc>
        <w:tc>
          <w:tcPr>
            <w:tcW w:w="643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color w:val="auto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4"/>
                <w:szCs w:val="24"/>
                <w:lang w:val="en-US" w:eastAsia="zh-CN"/>
              </w:rPr>
              <w:t>610</w:t>
            </w:r>
          </w:p>
        </w:tc>
        <w:tc>
          <w:tcPr>
            <w:tcW w:w="557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/>
              </w:rPr>
            </w:pPr>
          </w:p>
        </w:tc>
        <w:tc>
          <w:tcPr>
            <w:tcW w:w="44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</w:rPr>
            </w:pPr>
          </w:p>
        </w:tc>
        <w:tc>
          <w:tcPr>
            <w:tcW w:w="37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ajorEastAsia" w:hAnsiTheme="majorEastAsia" w:eastAsiaTheme="maj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7" w:hRule="atLeast"/>
        </w:trPr>
        <w:tc>
          <w:tcPr>
            <w:tcW w:w="4184" w:type="pct"/>
            <w:gridSpan w:val="7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ajorEastAsia" w:hAnsiTheme="majorEastAsia" w:eastAsiaTheme="minorEastAsia" w:cstheme="majorEastAsia"/>
                <w:color w:val="000000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000000"/>
                <w:kern w:val="0"/>
                <w:sz w:val="21"/>
                <w:szCs w:val="21"/>
                <w:lang w:val="en-US" w:eastAsia="zh-CN"/>
              </w:rPr>
              <w:t>合计元（含税、含运费）</w:t>
            </w:r>
          </w:p>
        </w:tc>
        <w:tc>
          <w:tcPr>
            <w:tcW w:w="44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sz w:val="22"/>
                <w:szCs w:val="22"/>
              </w:rPr>
            </w:pPr>
          </w:p>
        </w:tc>
        <w:tc>
          <w:tcPr>
            <w:tcW w:w="372" w:type="pct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/>
                <w:sz w:val="22"/>
                <w:szCs w:val="22"/>
              </w:rPr>
            </w:pPr>
          </w:p>
        </w:tc>
      </w:tr>
    </w:tbl>
    <w:p>
      <w:pPr>
        <w:adjustRightInd w:val="0"/>
        <w:snapToGrid w:val="0"/>
        <w:spacing w:line="360" w:lineRule="auto"/>
        <w:jc w:val="left"/>
        <w:rPr>
          <w:rFonts w:hint="eastAsia" w:ascii="微软雅黑" w:hAnsi="微软雅黑" w:eastAsia="微软雅黑"/>
          <w:color w:val="000000"/>
          <w:sz w:val="24"/>
          <w:szCs w:val="24"/>
        </w:rPr>
      </w:pPr>
    </w:p>
    <w:p>
      <w:pPr>
        <w:pStyle w:val="2"/>
        <w:rPr>
          <w:rFonts w:hint="eastAsia"/>
        </w:rPr>
      </w:pP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单位公章：                                    </w:t>
      </w:r>
    </w:p>
    <w:p>
      <w:pPr>
        <w:wordWrap w:val="0"/>
        <w:adjustRightInd w:val="0"/>
        <w:snapToGrid w:val="0"/>
        <w:spacing w:line="360" w:lineRule="auto"/>
        <w:jc w:val="right"/>
        <w:rPr>
          <w:rFonts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 xml:space="preserve">法定代表人或被授权人签字：                    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40" w:firstLineChars="200"/>
        <w:jc w:val="center"/>
        <w:rPr>
          <w:rFonts w:hint="eastAsia" w:ascii="微软雅黑" w:hAnsi="微软雅黑" w:eastAsia="微软雅黑"/>
          <w:sz w:val="22"/>
        </w:rPr>
      </w:pPr>
      <w:r>
        <w:rPr>
          <w:rFonts w:hint="eastAsia" w:ascii="微软雅黑" w:hAnsi="微软雅黑" w:eastAsia="微软雅黑"/>
          <w:sz w:val="22"/>
        </w:rPr>
        <w:t>日期：</w:t>
      </w:r>
    </w:p>
    <w:p>
      <w:pPr>
        <w:pStyle w:val="12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2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（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要求提供原件的扫描件或复印件加盖公章扫描件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）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jc w:val="center"/>
    </w:pPr>
    <w:r>
      <w:fldChar w:fldCharType="begin"/>
    </w:r>
    <w:r>
      <w:rPr>
        <w:rStyle w:val="18"/>
      </w:rPr>
      <w:instrText xml:space="preserve"> PAGE </w:instrText>
    </w:r>
    <w:r>
      <w:fldChar w:fldCharType="separate"/>
    </w:r>
    <w:r>
      <w:rPr>
        <w:rStyle w:val="18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E83C31C4"/>
    <w:multiLevelType w:val="singleLevel"/>
    <w:tmpl w:val="E83C31C4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2F5669"/>
    <w:rsid w:val="0340248B"/>
    <w:rsid w:val="047D794B"/>
    <w:rsid w:val="056D5EDF"/>
    <w:rsid w:val="0781071F"/>
    <w:rsid w:val="0A1D05C7"/>
    <w:rsid w:val="0B7E12D4"/>
    <w:rsid w:val="0C442BBB"/>
    <w:rsid w:val="0C5F016A"/>
    <w:rsid w:val="0D9756D8"/>
    <w:rsid w:val="110B3940"/>
    <w:rsid w:val="13AA206A"/>
    <w:rsid w:val="15174005"/>
    <w:rsid w:val="16A51726"/>
    <w:rsid w:val="170220CE"/>
    <w:rsid w:val="1ABE1249"/>
    <w:rsid w:val="1C563A57"/>
    <w:rsid w:val="1C7A2272"/>
    <w:rsid w:val="1CFC48EF"/>
    <w:rsid w:val="1D756E18"/>
    <w:rsid w:val="1EF02BF0"/>
    <w:rsid w:val="1F205897"/>
    <w:rsid w:val="21E33E11"/>
    <w:rsid w:val="22836D67"/>
    <w:rsid w:val="26076B01"/>
    <w:rsid w:val="26AB5D68"/>
    <w:rsid w:val="295344CE"/>
    <w:rsid w:val="2CF47971"/>
    <w:rsid w:val="2EF83617"/>
    <w:rsid w:val="2F334B02"/>
    <w:rsid w:val="2F5A077C"/>
    <w:rsid w:val="30532CCA"/>
    <w:rsid w:val="32607A69"/>
    <w:rsid w:val="328F2AA7"/>
    <w:rsid w:val="33272176"/>
    <w:rsid w:val="33A13BAA"/>
    <w:rsid w:val="34D17133"/>
    <w:rsid w:val="366A1DB9"/>
    <w:rsid w:val="36C52984"/>
    <w:rsid w:val="394970FD"/>
    <w:rsid w:val="39956418"/>
    <w:rsid w:val="3C9765FD"/>
    <w:rsid w:val="3E697A1E"/>
    <w:rsid w:val="3F440C7F"/>
    <w:rsid w:val="409E6AC2"/>
    <w:rsid w:val="443A32D3"/>
    <w:rsid w:val="47A876B0"/>
    <w:rsid w:val="4D8D4D74"/>
    <w:rsid w:val="4DE231CA"/>
    <w:rsid w:val="4F6A6924"/>
    <w:rsid w:val="50130EB7"/>
    <w:rsid w:val="52F06A60"/>
    <w:rsid w:val="54821C1F"/>
    <w:rsid w:val="59A21062"/>
    <w:rsid w:val="59C411DF"/>
    <w:rsid w:val="5AF80ECE"/>
    <w:rsid w:val="5BE708ED"/>
    <w:rsid w:val="5C2A58D7"/>
    <w:rsid w:val="5CED5781"/>
    <w:rsid w:val="5D5D3303"/>
    <w:rsid w:val="5DC673A8"/>
    <w:rsid w:val="656753F9"/>
    <w:rsid w:val="67341020"/>
    <w:rsid w:val="675F2A40"/>
    <w:rsid w:val="67D1762D"/>
    <w:rsid w:val="69A70325"/>
    <w:rsid w:val="6CAA6885"/>
    <w:rsid w:val="6DD76A79"/>
    <w:rsid w:val="72D601C4"/>
    <w:rsid w:val="7375765A"/>
    <w:rsid w:val="73B21EB0"/>
    <w:rsid w:val="777501D2"/>
    <w:rsid w:val="78C369DC"/>
    <w:rsid w:val="79F71E6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2"/>
    <w:basedOn w:val="1"/>
    <w:next w:val="1"/>
    <w:link w:val="21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29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3">
    <w:name w:val="Body Text First Indent"/>
    <w:basedOn w:val="2"/>
    <w:qFormat/>
    <w:uiPriority w:val="0"/>
    <w:pPr>
      <w:widowControl w:val="0"/>
      <w:spacing w:before="0" w:after="120"/>
      <w:ind w:left="0" w:right="0"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  <w:style w:type="paragraph" w:styleId="6">
    <w:name w:val="Body Text Indent"/>
    <w:basedOn w:val="1"/>
    <w:link w:val="28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7">
    <w:name w:val="Plain Text"/>
    <w:basedOn w:val="1"/>
    <w:link w:val="24"/>
    <w:qFormat/>
    <w:uiPriority w:val="0"/>
    <w:rPr>
      <w:rFonts w:ascii="宋体" w:hAnsi="Courier New" w:cs="Courier New"/>
      <w:szCs w:val="21"/>
    </w:rPr>
  </w:style>
  <w:style w:type="paragraph" w:styleId="8">
    <w:name w:val="Date"/>
    <w:basedOn w:val="1"/>
    <w:next w:val="1"/>
    <w:link w:val="25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9">
    <w:name w:val="Balloon Text"/>
    <w:basedOn w:val="1"/>
    <w:link w:val="35"/>
    <w:semiHidden/>
    <w:unhideWhenUsed/>
    <w:qFormat/>
    <w:uiPriority w:val="99"/>
    <w:rPr>
      <w:sz w:val="18"/>
      <w:szCs w:val="18"/>
    </w:rPr>
  </w:style>
  <w:style w:type="paragraph" w:styleId="10">
    <w:name w:val="footer"/>
    <w:basedOn w:val="1"/>
    <w:link w:val="23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3">
    <w:name w:val="Title"/>
    <w:basedOn w:val="1"/>
    <w:next w:val="1"/>
    <w:link w:val="30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5">
    <w:name w:val="Table Grid"/>
    <w:basedOn w:val="14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Strong"/>
    <w:basedOn w:val="16"/>
    <w:qFormat/>
    <w:uiPriority w:val="22"/>
    <w:rPr>
      <w:b/>
      <w:bCs/>
    </w:rPr>
  </w:style>
  <w:style w:type="character" w:styleId="18">
    <w:name w:val="page number"/>
    <w:basedOn w:val="16"/>
    <w:qFormat/>
    <w:uiPriority w:val="0"/>
  </w:style>
  <w:style w:type="character" w:styleId="19">
    <w:name w:val="FollowedHyperlink"/>
    <w:basedOn w:val="16"/>
    <w:semiHidden/>
    <w:unhideWhenUsed/>
    <w:qFormat/>
    <w:uiPriority w:val="99"/>
    <w:rPr>
      <w:color w:val="800080"/>
      <w:u w:val="none"/>
    </w:rPr>
  </w:style>
  <w:style w:type="character" w:styleId="20">
    <w:name w:val="Hyperlink"/>
    <w:basedOn w:val="16"/>
    <w:semiHidden/>
    <w:unhideWhenUsed/>
    <w:qFormat/>
    <w:uiPriority w:val="99"/>
    <w:rPr>
      <w:color w:val="0000FF"/>
      <w:u w:val="none"/>
    </w:rPr>
  </w:style>
  <w:style w:type="character" w:customStyle="1" w:styleId="21">
    <w:name w:val="标题 2 Char"/>
    <w:basedOn w:val="16"/>
    <w:link w:val="4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2">
    <w:name w:val="页眉 Char"/>
    <w:basedOn w:val="16"/>
    <w:link w:val="11"/>
    <w:qFormat/>
    <w:uiPriority w:val="0"/>
    <w:rPr>
      <w:sz w:val="18"/>
      <w:szCs w:val="18"/>
    </w:rPr>
  </w:style>
  <w:style w:type="character" w:customStyle="1" w:styleId="23">
    <w:name w:val="页脚 Char"/>
    <w:basedOn w:val="16"/>
    <w:link w:val="10"/>
    <w:qFormat/>
    <w:uiPriority w:val="0"/>
    <w:rPr>
      <w:sz w:val="18"/>
      <w:szCs w:val="18"/>
    </w:rPr>
  </w:style>
  <w:style w:type="character" w:customStyle="1" w:styleId="24">
    <w:name w:val="纯文本 Char"/>
    <w:basedOn w:val="16"/>
    <w:link w:val="7"/>
    <w:qFormat/>
    <w:uiPriority w:val="0"/>
    <w:rPr>
      <w:rFonts w:ascii="宋体" w:hAnsi="Courier New" w:cs="Courier New"/>
      <w:szCs w:val="21"/>
    </w:rPr>
  </w:style>
  <w:style w:type="character" w:customStyle="1" w:styleId="25">
    <w:name w:val="日期 Char"/>
    <w:basedOn w:val="16"/>
    <w:link w:val="8"/>
    <w:qFormat/>
    <w:uiPriority w:val="0"/>
    <w:rPr>
      <w:rFonts w:ascii="宋体" w:hAnsi="Courier New" w:cs="Courier New"/>
      <w:szCs w:val="21"/>
    </w:rPr>
  </w:style>
  <w:style w:type="character" w:customStyle="1" w:styleId="26">
    <w:name w:val="日期 Char1"/>
    <w:basedOn w:val="16"/>
    <w:semiHidden/>
    <w:qFormat/>
    <w:uiPriority w:val="99"/>
  </w:style>
  <w:style w:type="character" w:customStyle="1" w:styleId="27">
    <w:name w:val="纯文本 Char1"/>
    <w:basedOn w:val="16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8">
    <w:name w:val="正文文本缩进 Char"/>
    <w:basedOn w:val="16"/>
    <w:link w:val="6"/>
    <w:qFormat/>
    <w:uiPriority w:val="0"/>
    <w:rPr>
      <w:rFonts w:ascii="仿宋_GB2312" w:hAnsi="Times New Roman" w:eastAsia="仿宋_GB2312"/>
      <w:sz w:val="32"/>
    </w:rPr>
  </w:style>
  <w:style w:type="character" w:customStyle="1" w:styleId="29">
    <w:name w:val="正文文本 Char"/>
    <w:basedOn w:val="16"/>
    <w:link w:val="2"/>
    <w:qFormat/>
    <w:uiPriority w:val="0"/>
    <w:rPr>
      <w:rFonts w:ascii="Times New Roman" w:hAnsi="Times New Roman"/>
      <w:szCs w:val="24"/>
    </w:rPr>
  </w:style>
  <w:style w:type="character" w:customStyle="1" w:styleId="30">
    <w:name w:val="标题 Char1"/>
    <w:basedOn w:val="16"/>
    <w:link w:val="13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31">
    <w:name w:val="标题 Char"/>
    <w:basedOn w:val="16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32">
    <w:name w:val="正文文本缩进 Char1"/>
    <w:basedOn w:val="16"/>
    <w:semiHidden/>
    <w:qFormat/>
    <w:uiPriority w:val="99"/>
  </w:style>
  <w:style w:type="character" w:customStyle="1" w:styleId="33">
    <w:name w:val="正文文本 Char1"/>
    <w:basedOn w:val="16"/>
    <w:semiHidden/>
    <w:qFormat/>
    <w:uiPriority w:val="99"/>
  </w:style>
  <w:style w:type="paragraph" w:customStyle="1" w:styleId="34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5">
    <w:name w:val="批注框文本 Char"/>
    <w:basedOn w:val="16"/>
    <w:link w:val="9"/>
    <w:semiHidden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1</TotalTime>
  <ScaleCrop>false</ScaleCrop>
  <LinksUpToDate>false</LinksUpToDate>
  <CharactersWithSpaces>3133</CharactersWithSpaces>
  <Application>WPS Office_11.8.2.9067_F1E327BC-269C-435d-A152-05C5408002CA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持续工作中</cp:lastModifiedBy>
  <dcterms:modified xsi:type="dcterms:W3CDTF">2022-09-13T04:49:38Z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2052-11.8.2.9067</vt:lpwstr>
  </property>
</Properties>
</file>