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cs="Calibri"/>
                <w:color w:val="333333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eastAsia="zh-CN"/>
              </w:rPr>
              <w:t>）供应商须为合法设立的资产评估机构，须在有关评估行政管理部门完成备案（提供通过备案的名单或网站备案截图）；</w:t>
            </w:r>
          </w:p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default" w:cs="Calibri"/>
                <w:color w:val="33333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具备履约的能力，提供技术人员一览表和针对本项目的评估方案（提供服务方案、项目负责人及团队一览表和履约承诺书）。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四、其他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FhNjA3MWViZDE4YjI5NjFlYjQ2YjI1NzY5ZTQwNGM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F5A077C"/>
    <w:rsid w:val="32607A69"/>
    <w:rsid w:val="3C9765FD"/>
    <w:rsid w:val="4CAB473E"/>
    <w:rsid w:val="4D8D4D74"/>
    <w:rsid w:val="59A21062"/>
    <w:rsid w:val="5DC673A8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1043</Words>
  <Characters>1069</Characters>
  <Lines>22</Lines>
  <Paragraphs>6</Paragraphs>
  <TotalTime>0</TotalTime>
  <ScaleCrop>false</ScaleCrop>
  <LinksUpToDate>false</LinksUpToDate>
  <CharactersWithSpaces>1134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2022-09-13T07:22:52Z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826C73E4A41D452BBFE89F1E012149C3</vt:lpwstr>
  </property>
</Properties>
</file>