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一、在中华人民共和国境内依法注册的【独立】法人或非法人组织</w:t>
      </w:r>
      <w:r>
        <w:rPr>
          <w:rFonts w:hint="eastAsia" w:ascii="微软雅黑" w:hAnsi="微软雅黑" w:eastAsia="微软雅黑"/>
          <w:color w:val="FF0000"/>
        </w:rPr>
        <w:t>【或自然人】（</w:t>
      </w:r>
      <w:r>
        <w:rPr>
          <w:rFonts w:hint="eastAsia" w:ascii="微软雅黑" w:hAnsi="微软雅黑" w:eastAsia="微软雅黑"/>
          <w:color w:val="000000" w:themeColor="text1"/>
          <w14:textFill>
            <w14:solidFill>
              <w14:schemeClr w14:val="tx1"/>
            </w14:solidFill>
          </w14:textFill>
        </w:rPr>
        <w:t>提供中华人民共和国境内行政管理部门登记的主体资格证书（包括但不限于营业执照、事业单位法人证书、社会团体法人登记证书等））；</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4183"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近三年内无骗取中标、严重违约、不良行为等廉洁诚信问题 及重大经济纠纷问题（提供信用中国下载的“信用报告”或承诺书（承诺格式自拟））；</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5013" w:hRule="atLeast"/>
        </w:trPr>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提供信用中国下载的“信用报告”或承诺书</w:t>
            </w:r>
          </w:p>
          <w:p>
            <w:pPr>
              <w:pStyle w:val="12"/>
              <w:adjustRightInd w:val="0"/>
              <w:snapToGrid w:val="0"/>
              <w:spacing w:before="156" w:beforeLines="50" w:after="156" w:afterLines="50" w:line="360" w:lineRule="auto"/>
              <w:jc w:val="both"/>
            </w:pPr>
          </w:p>
          <w:p>
            <w:pPr>
              <w:pStyle w:val="12"/>
              <w:adjustRightInd w:val="0"/>
              <w:snapToGrid w:val="0"/>
              <w:spacing w:before="156" w:beforeLines="50" w:after="156" w:afterLines="50" w:line="360" w:lineRule="auto"/>
              <w:jc w:val="both"/>
              <w:rPr>
                <w:rFonts w:hint="eastAsia"/>
                <w:lang w:eastAsia="zh-CN"/>
              </w:rPr>
            </w:pPr>
          </w:p>
        </w:tc>
      </w:tr>
    </w:tbl>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三、具有固定经营场所、供货保障能力和服务能力（需提供保障供货能力及服务能力的承诺函并附房屋租赁合同或产权证明）；</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380" w:hRule="atLeast"/>
        </w:trPr>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提供保障供货能力及服务能力的承诺函,格式自拟</w:t>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380" w:hRule="atLeast"/>
        </w:trPr>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附房屋租赁合同或产权证明</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四、具有良好的商业信誉和健全的财务会计制度，需提供钢材销售近三年任一年财务报表；</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4039" w:hRule="atLeast"/>
        </w:trPr>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六、《</w:t>
      </w:r>
      <w:r>
        <w:rPr>
          <w:rFonts w:hint="eastAsia" w:ascii="微软雅黑" w:hAnsi="微软雅黑" w:eastAsia="微软雅黑"/>
          <w:color w:val="000000" w:themeColor="text1"/>
          <w:lang w:val="en-US" w:eastAsia="zh-CN"/>
          <w14:textFill>
            <w14:solidFill>
              <w14:schemeClr w14:val="tx1"/>
            </w14:solidFill>
          </w14:textFill>
        </w:rPr>
        <w:t>分项报价表</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14:textFill>
            <w14:solidFill>
              <w14:schemeClr w14:val="tx1"/>
            </w14:solidFill>
          </w14:textFill>
        </w:rPr>
        <w:t>按要求填写完整</w:t>
      </w:r>
      <w:r>
        <w:rPr>
          <w:rFonts w:hint="eastAsia" w:ascii="微软雅黑" w:hAnsi="微软雅黑" w:eastAsia="微软雅黑"/>
          <w:color w:val="000000" w:themeColor="text1"/>
          <w:lang w:eastAsia="zh-CN"/>
          <w14:textFill>
            <w14:solidFill>
              <w14:schemeClr w14:val="tx1"/>
            </w14:solidFill>
          </w14:textFill>
        </w:rPr>
        <w:t>。</w:t>
      </w:r>
    </w:p>
    <w:p>
      <w:pPr>
        <w:adjustRightInd w:val="0"/>
        <w:snapToGrid w:val="0"/>
        <w:spacing w:line="360" w:lineRule="auto"/>
        <w:jc w:val="left"/>
        <w:rPr>
          <w:rFonts w:hint="eastAsia" w:ascii="微软雅黑" w:hAnsi="微软雅黑" w:eastAsia="微软雅黑"/>
          <w:sz w:val="22"/>
          <w:lang w:eastAsia="zh-CN"/>
        </w:rPr>
      </w:pPr>
      <w:r>
        <w:rPr>
          <w:rFonts w:hint="eastAsia" w:ascii="微软雅黑" w:hAnsi="微软雅黑" w:eastAsia="微软雅黑"/>
          <w:sz w:val="22"/>
        </w:rPr>
        <w:t>项目名称：内蒙古森林工业集团阿里河森林工业有限责任公司瞭望塔管护用房功能完善耗材采购项目【网上竞价】</w:t>
      </w:r>
    </w:p>
    <w:p>
      <w:pPr>
        <w:adjustRightInd w:val="0"/>
        <w:snapToGrid w:val="0"/>
        <w:spacing w:line="360" w:lineRule="auto"/>
        <w:jc w:val="left"/>
        <w:rPr>
          <w:rFonts w:hint="default" w:ascii="微软雅黑" w:hAnsi="微软雅黑" w:eastAsia="微软雅黑"/>
          <w:color w:val="000000"/>
          <w:sz w:val="24"/>
          <w:szCs w:val="24"/>
          <w:lang w:val="en-US" w:eastAsia="zh-CN"/>
        </w:rPr>
      </w:pPr>
      <w:r>
        <w:rPr>
          <w:rFonts w:hint="eastAsia" w:ascii="微软雅黑" w:hAnsi="微软雅黑" w:eastAsia="微软雅黑"/>
          <w:sz w:val="22"/>
        </w:rPr>
        <w:t>项目编号：0345HW20220465</w:t>
      </w:r>
    </w:p>
    <w:tbl>
      <w:tblPr>
        <w:tblStyle w:val="14"/>
        <w:tblW w:w="83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60"/>
        <w:gridCol w:w="2000"/>
        <w:gridCol w:w="1068"/>
        <w:gridCol w:w="890"/>
        <w:gridCol w:w="1398"/>
        <w:gridCol w:w="1055"/>
        <w:gridCol w:w="1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2"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b/>
                <w:i w:val="0"/>
                <w:color w:val="000000"/>
                <w:kern w:val="0"/>
                <w:sz w:val="24"/>
                <w:szCs w:val="24"/>
                <w:u w:val="none"/>
                <w:lang w:val="en-US" w:eastAsia="zh-CN" w:bidi="ar"/>
              </w:rPr>
              <w:t>货物名称</w:t>
            </w:r>
            <w:r>
              <w:rPr>
                <w:rFonts w:hint="eastAsia" w:ascii="宋体" w:hAnsi="宋体" w:eastAsia="宋体" w:cs="宋体"/>
                <w:b/>
                <w:i w:val="0"/>
                <w:color w:val="FF0000"/>
                <w:kern w:val="0"/>
                <w:sz w:val="24"/>
                <w:szCs w:val="24"/>
                <w:u w:val="none"/>
                <w:lang w:val="en-US" w:eastAsia="zh-CN" w:bidi="ar"/>
              </w:rPr>
              <w:t>*</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b/>
                <w:i w:val="0"/>
                <w:color w:val="000000"/>
                <w:kern w:val="0"/>
                <w:sz w:val="24"/>
                <w:szCs w:val="24"/>
                <w:u w:val="none"/>
                <w:lang w:val="en-US" w:eastAsia="zh-CN" w:bidi="ar"/>
              </w:rPr>
              <w:t>数 量</w:t>
            </w:r>
            <w:r>
              <w:rPr>
                <w:rFonts w:hint="eastAsia" w:ascii="宋体" w:hAnsi="宋体" w:eastAsia="宋体" w:cs="宋体"/>
                <w:b/>
                <w:i w:val="0"/>
                <w:color w:val="FF0000"/>
                <w:kern w:val="0"/>
                <w:sz w:val="24"/>
                <w:szCs w:val="24"/>
                <w:u w:val="none"/>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b/>
                <w:i w:val="0"/>
                <w:color w:val="000000"/>
                <w:kern w:val="0"/>
                <w:sz w:val="24"/>
                <w:szCs w:val="24"/>
                <w:u w:val="none"/>
                <w:lang w:val="en-US" w:eastAsia="zh-CN" w:bidi="ar"/>
              </w:rPr>
              <w:t>单 位</w:t>
            </w:r>
            <w:r>
              <w:rPr>
                <w:rFonts w:hint="eastAsia" w:ascii="宋体" w:hAnsi="宋体" w:eastAsia="宋体" w:cs="宋体"/>
                <w:b/>
                <w:i w:val="0"/>
                <w:color w:val="FF0000"/>
                <w:kern w:val="0"/>
                <w:sz w:val="24"/>
                <w:szCs w:val="24"/>
                <w:u w:val="none"/>
                <w:lang w:val="en-US" w:eastAsia="zh-CN" w:bidi="ar"/>
              </w:rPr>
              <w:t>*</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b/>
                <w:bCs/>
                <w:i w:val="0"/>
                <w:color w:val="000000"/>
                <w:kern w:val="0"/>
                <w:sz w:val="21"/>
                <w:szCs w:val="21"/>
                <w:u w:val="none"/>
                <w:lang w:val="en-US" w:eastAsia="zh-CN" w:bidi="ar"/>
              </w:rPr>
              <w:t>单价限价</w:t>
            </w:r>
            <w:r>
              <w:rPr>
                <w:rFonts w:hint="eastAsia" w:ascii="宋体" w:hAnsi="宋体" w:eastAsia="宋体" w:cs="宋体"/>
                <w:i w:val="0"/>
                <w:color w:val="000000"/>
                <w:kern w:val="0"/>
                <w:sz w:val="21"/>
                <w:szCs w:val="21"/>
                <w:u w:val="none"/>
                <w:lang w:val="en-US" w:eastAsia="zh-CN" w:bidi="ar"/>
              </w:rPr>
              <w:t>（元）</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单价报价</w:t>
            </w:r>
            <w:r>
              <w:rPr>
                <w:rFonts w:hint="eastAsia" w:ascii="宋体" w:hAnsi="宋体" w:eastAsia="宋体" w:cs="宋体"/>
                <w:i w:val="0"/>
                <w:color w:val="000000"/>
                <w:kern w:val="0"/>
                <w:sz w:val="21"/>
                <w:szCs w:val="21"/>
                <w:u w:val="none"/>
                <w:lang w:val="en-US" w:eastAsia="zh-CN" w:bidi="ar"/>
              </w:rPr>
              <w:t>（元）</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b/>
                <w:bCs/>
                <w:i w:val="0"/>
                <w:color w:val="000000"/>
                <w:kern w:val="0"/>
                <w:sz w:val="21"/>
                <w:szCs w:val="21"/>
                <w:u w:val="none"/>
                <w:lang w:val="en-US" w:eastAsia="zh-CN" w:bidi="ar"/>
              </w:rPr>
              <w:t>总价报价（元）</w:t>
            </w:r>
            <w:r>
              <w:rPr>
                <w:rFonts w:hint="eastAsia" w:ascii="宋体" w:hAnsi="宋体" w:eastAsia="宋体" w:cs="宋体"/>
                <w:i w:val="0"/>
                <w:color w:val="000000"/>
                <w:kern w:val="0"/>
                <w:sz w:val="21"/>
                <w:szCs w:val="21"/>
                <w:u w:val="none"/>
                <w:lang w:val="en-US" w:eastAsia="zh-CN" w:bidi="ar"/>
              </w:rPr>
              <w:t>（单价报价*数量）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16号圆钢</w:t>
            </w:r>
            <w:r>
              <w:rPr>
                <w:rFonts w:hint="eastAsia" w:asciiTheme="minorEastAsia" w:hAnsiTheme="minorEastAsia" w:eastAsiaTheme="minorEastAsia" w:cstheme="minorEastAsia"/>
                <w:color w:val="FF0000"/>
                <w:sz w:val="21"/>
                <w:szCs w:val="21"/>
                <w:lang w:val="en-US" w:eastAsia="zh-CN"/>
              </w:rPr>
              <w:t>（6米）</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cstheme="minorEastAsia"/>
                <w:sz w:val="21"/>
                <w:szCs w:val="21"/>
                <w:lang w:val="en-US" w:eastAsia="zh-CN"/>
              </w:rPr>
              <w:t>695</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根</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cstheme="minorEastAsia"/>
                <w:sz w:val="21"/>
                <w:szCs w:val="21"/>
                <w:lang w:val="en-US" w:eastAsia="zh-CN"/>
              </w:rPr>
              <w:t>48</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12号圆钢</w:t>
            </w:r>
            <w:r>
              <w:rPr>
                <w:rFonts w:hint="eastAsia" w:asciiTheme="minorEastAsia" w:hAnsiTheme="minorEastAsia" w:eastAsiaTheme="minorEastAsia" w:cstheme="minorEastAsia"/>
                <w:color w:val="FF0000"/>
                <w:sz w:val="21"/>
                <w:szCs w:val="21"/>
                <w:lang w:val="en-US" w:eastAsia="zh-CN"/>
              </w:rPr>
              <w:t>（6米）</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cstheme="minorEastAsia"/>
                <w:sz w:val="21"/>
                <w:szCs w:val="21"/>
                <w:lang w:val="en-US" w:eastAsia="zh-CN"/>
              </w:rPr>
              <w:t>6</w:t>
            </w:r>
            <w:r>
              <w:rPr>
                <w:rFonts w:hint="eastAsia" w:asciiTheme="minorEastAsia" w:hAnsiTheme="minorEastAsia" w:eastAsiaTheme="minorEastAsia" w:cstheme="minorEastAsia"/>
                <w:sz w:val="21"/>
                <w:szCs w:val="21"/>
                <w:lang w:val="en-US" w:eastAsia="zh-CN"/>
              </w:rPr>
              <w:t>00</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根</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cstheme="minorEastAsia"/>
                <w:sz w:val="21"/>
                <w:szCs w:val="21"/>
                <w:lang w:val="en-US" w:eastAsia="zh-CN"/>
              </w:rPr>
              <w:t>36</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4×4角钢</w:t>
            </w:r>
            <w:r>
              <w:rPr>
                <w:rFonts w:hint="eastAsia" w:asciiTheme="minorEastAsia" w:hAnsiTheme="minorEastAsia" w:eastAsiaTheme="minorEastAsia" w:cstheme="minorEastAsia"/>
                <w:color w:val="FF0000"/>
                <w:sz w:val="21"/>
                <w:szCs w:val="21"/>
                <w:lang w:val="en-US" w:eastAsia="zh-CN"/>
              </w:rPr>
              <w:t>（6米）</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cstheme="minorEastAsia"/>
                <w:sz w:val="21"/>
                <w:szCs w:val="21"/>
                <w:lang w:val="en-US" w:eastAsia="zh-CN"/>
              </w:rPr>
              <w:t>915</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根</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cstheme="minorEastAsia"/>
                <w:sz w:val="21"/>
                <w:szCs w:val="21"/>
                <w:lang w:val="en-US" w:eastAsia="zh-CN"/>
              </w:rPr>
              <w:t>48</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color w:val="FF0000"/>
                <w:sz w:val="21"/>
                <w:szCs w:val="21"/>
                <w:lang w:val="en-US" w:eastAsia="zh-CN"/>
              </w:rPr>
              <w:t>DN80×3.5管（6米）</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color w:val="FF0000"/>
                <w:sz w:val="21"/>
                <w:szCs w:val="21"/>
                <w:lang w:val="en-US" w:eastAsia="zh-CN"/>
              </w:rPr>
              <w:t>134</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根</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eastAsiaTheme="minorEastAsia" w:cstheme="minorEastAsia"/>
                <w:color w:val="FF0000"/>
                <w:sz w:val="21"/>
                <w:szCs w:val="21"/>
                <w:lang w:val="en-US" w:eastAsia="zh-CN"/>
              </w:rPr>
              <w:t>210</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DN65×</w:t>
            </w:r>
            <w:r>
              <w:rPr>
                <w:rFonts w:hint="eastAsia" w:asciiTheme="minorEastAsia" w:hAnsiTheme="minorEastAsia" w:cstheme="minorEastAsia"/>
                <w:sz w:val="21"/>
                <w:szCs w:val="21"/>
                <w:lang w:val="en-US" w:eastAsia="zh-CN"/>
              </w:rPr>
              <w:t>3</w:t>
            </w:r>
            <w:r>
              <w:rPr>
                <w:rFonts w:hint="eastAsia" w:asciiTheme="minorEastAsia" w:hAnsiTheme="minorEastAsia" w:eastAsiaTheme="minorEastAsia" w:cstheme="minorEastAsia"/>
                <w:sz w:val="21"/>
                <w:szCs w:val="21"/>
                <w:lang w:val="en-US" w:eastAsia="zh-CN"/>
              </w:rPr>
              <w:t>.5管</w:t>
            </w:r>
            <w:r>
              <w:rPr>
                <w:rFonts w:hint="eastAsia" w:asciiTheme="minorEastAsia" w:hAnsiTheme="minorEastAsia" w:eastAsiaTheme="minorEastAsia" w:cstheme="minorEastAsia"/>
                <w:color w:val="FF0000"/>
                <w:sz w:val="21"/>
                <w:szCs w:val="21"/>
                <w:lang w:val="en-US" w:eastAsia="zh-CN"/>
              </w:rPr>
              <w:t>（6米）</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cstheme="minorEastAsia"/>
                <w:sz w:val="21"/>
                <w:szCs w:val="21"/>
                <w:lang w:val="en-US" w:eastAsia="zh-CN"/>
              </w:rPr>
              <w:t>92</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根</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cstheme="minorEastAsia"/>
                <w:sz w:val="21"/>
                <w:szCs w:val="21"/>
                <w:lang w:val="en-US" w:eastAsia="zh-CN"/>
              </w:rPr>
              <w:t>175</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cstheme="minorEastAsia"/>
                <w:sz w:val="21"/>
                <w:szCs w:val="21"/>
                <w:lang w:val="en-US" w:eastAsia="zh-CN"/>
              </w:rPr>
              <w:t>步道砖</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250</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元/平方米（含基础沙石）</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eastAsiaTheme="minorEastAsia" w:cstheme="minorEastAsia"/>
                <w:sz w:val="21"/>
                <w:szCs w:val="21"/>
                <w:lang w:val="en-US" w:eastAsia="zh-CN"/>
              </w:rPr>
              <w:t>110</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bookmarkStart w:id="0" w:name="_GoBack"/>
            <w:bookmarkEnd w:id="0"/>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3×1.3米泡沫板</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300</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块</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eastAsiaTheme="minorEastAsia" w:cstheme="minorEastAsia"/>
                <w:sz w:val="21"/>
                <w:szCs w:val="21"/>
                <w:lang w:val="en-US" w:eastAsia="zh-CN"/>
              </w:rPr>
              <w:t>55</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苯板胶</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140</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袋</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eastAsiaTheme="minorEastAsia" w:cstheme="minorEastAsia"/>
                <w:sz w:val="21"/>
                <w:szCs w:val="21"/>
                <w:lang w:val="en-US" w:eastAsia="zh-CN"/>
              </w:rPr>
              <w:t>50</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苯板网</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50</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卷</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eastAsiaTheme="minorEastAsia" w:cstheme="minorEastAsia"/>
                <w:sz w:val="21"/>
                <w:szCs w:val="21"/>
                <w:lang w:val="en-US" w:eastAsia="zh-CN"/>
              </w:rPr>
              <w:t>80</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6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10</w:t>
            </w:r>
          </w:p>
        </w:tc>
        <w:tc>
          <w:tcPr>
            <w:tcW w:w="200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Theme="minorEastAsia" w:hAnsiTheme="minorEastAsia" w:eastAsiaTheme="minorEastAsia" w:cstheme="minorEastAsia"/>
                <w:b w:val="0"/>
                <w:bCs/>
                <w:color w:val="333333"/>
                <w:kern w:val="0"/>
                <w:sz w:val="21"/>
                <w:szCs w:val="21"/>
                <w:vertAlign w:val="baseline"/>
              </w:rPr>
            </w:pPr>
            <w:r>
              <w:rPr>
                <w:rFonts w:hint="eastAsia" w:asciiTheme="minorEastAsia" w:hAnsiTheme="minorEastAsia" w:eastAsiaTheme="minorEastAsia" w:cstheme="minorEastAsia"/>
                <w:sz w:val="21"/>
                <w:szCs w:val="21"/>
                <w:lang w:val="en-US" w:eastAsia="zh-CN"/>
              </w:rPr>
              <w:t>苯板钉</w:t>
            </w:r>
          </w:p>
        </w:tc>
        <w:tc>
          <w:tcPr>
            <w:tcW w:w="106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1000</w:t>
            </w:r>
          </w:p>
        </w:tc>
        <w:tc>
          <w:tcPr>
            <w:tcW w:w="89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sz w:val="21"/>
                <w:szCs w:val="21"/>
                <w:u w:val="none"/>
                <w:lang w:val="en-US" w:eastAsia="zh-CN"/>
              </w:rPr>
            </w:pPr>
            <w:r>
              <w:rPr>
                <w:rFonts w:hint="eastAsia" w:asciiTheme="minorEastAsia" w:hAnsiTheme="minorEastAsia" w:eastAsiaTheme="minorEastAsia" w:cstheme="minorEastAsia"/>
                <w:sz w:val="21"/>
                <w:szCs w:val="21"/>
                <w:lang w:val="en-US" w:eastAsia="zh-CN"/>
              </w:rPr>
              <w:t>个</w:t>
            </w:r>
          </w:p>
        </w:tc>
        <w:tc>
          <w:tcPr>
            <w:tcW w:w="1398"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suppressLineNumbers w:val="0"/>
              <w:kinsoku/>
              <w:wordWrap w:val="0"/>
              <w:overflowPunct/>
              <w:topLinePunct w:val="0"/>
              <w:autoSpaceDE/>
              <w:autoSpaceDN/>
              <w:bidi w:val="0"/>
              <w:adjustRightInd/>
              <w:snapToGrid/>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Theme="minorEastAsia" w:hAnsiTheme="minorEastAsia" w:eastAsiaTheme="minorEastAsia" w:cstheme="minorEastAsia"/>
                <w:sz w:val="21"/>
                <w:szCs w:val="21"/>
                <w:lang w:val="en-US" w:eastAsia="zh-CN"/>
              </w:rPr>
              <w:t>0.5</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7271" w:type="dxa"/>
            <w:gridSpan w:val="6"/>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val="0"/>
                <w:color w:val="FF0000"/>
                <w:kern w:val="0"/>
                <w:sz w:val="21"/>
                <w:szCs w:val="21"/>
                <w:vertAlign w:val="baseline"/>
              </w:rPr>
            </w:pPr>
            <w:r>
              <w:rPr>
                <w:rFonts w:hint="eastAsia" w:ascii="宋体" w:hAnsi="宋体" w:eastAsia="宋体" w:cs="宋体"/>
                <w:b/>
                <w:bCs/>
                <w:i w:val="0"/>
                <w:color w:val="000000"/>
                <w:kern w:val="0"/>
                <w:sz w:val="21"/>
                <w:szCs w:val="21"/>
                <w:u w:val="none"/>
                <w:lang w:val="en-US" w:eastAsia="zh-CN" w:bidi="ar"/>
              </w:rPr>
              <w:t>合计</w:t>
            </w:r>
            <w:r>
              <w:rPr>
                <w:rFonts w:hint="eastAsia" w:ascii="宋体" w:hAnsi="宋体" w:eastAsia="宋体" w:cs="宋体"/>
                <w:i w:val="0"/>
                <w:color w:val="000000"/>
                <w:kern w:val="0"/>
                <w:sz w:val="21"/>
                <w:szCs w:val="21"/>
                <w:u w:val="none"/>
                <w:lang w:val="en-US" w:eastAsia="zh-CN" w:bidi="ar"/>
              </w:rPr>
              <w:t>（元）</w:t>
            </w:r>
          </w:p>
        </w:tc>
        <w:tc>
          <w:tcPr>
            <w:tcW w:w="1055"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bl>
    <w:p>
      <w:pPr>
        <w:adjustRightInd w:val="0"/>
        <w:snapToGrid w:val="0"/>
        <w:spacing w:line="360" w:lineRule="auto"/>
        <w:jc w:val="left"/>
        <w:rPr>
          <w:rFonts w:hint="eastAsia" w:ascii="微软雅黑" w:hAnsi="微软雅黑" w:eastAsia="微软雅黑"/>
          <w:color w:val="000000"/>
          <w:sz w:val="24"/>
          <w:szCs w:val="24"/>
        </w:rPr>
      </w:pPr>
    </w:p>
    <w:p>
      <w:pPr>
        <w:pStyle w:val="2"/>
        <w:rPr>
          <w:rFonts w:hint="eastAsia"/>
        </w:rPr>
      </w:pP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单位公章：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法定代表人或被授权人签字：                    </w:t>
      </w:r>
    </w:p>
    <w:p>
      <w:pPr>
        <w:pStyle w:val="12"/>
        <w:numPr>
          <w:ilvl w:val="0"/>
          <w:numId w:val="0"/>
        </w:numPr>
        <w:adjustRightInd w:val="0"/>
        <w:snapToGrid w:val="0"/>
        <w:spacing w:before="156" w:beforeLines="50" w:after="156" w:afterLines="50" w:line="360" w:lineRule="auto"/>
        <w:ind w:firstLine="440" w:firstLineChars="200"/>
        <w:jc w:val="center"/>
        <w:rPr>
          <w:rFonts w:hint="eastAsia" w:ascii="微软雅黑" w:hAnsi="微软雅黑" w:eastAsia="微软雅黑"/>
          <w:sz w:val="22"/>
        </w:rPr>
      </w:pPr>
      <w:r>
        <w:rPr>
          <w:rFonts w:hint="eastAsia" w:ascii="微软雅黑" w:hAnsi="微软雅黑" w:eastAsia="微软雅黑"/>
          <w:sz w:val="22"/>
        </w:rPr>
        <w:t>日期：</w:t>
      </w:r>
    </w:p>
    <w:p>
      <w:pPr>
        <w:pStyle w:val="12"/>
        <w:numPr>
          <w:ilvl w:val="0"/>
          <w:numId w:val="0"/>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1、不按此分项报价表报价或缺项、漏项的属于无效报价；</w:t>
      </w:r>
    </w:p>
    <w:p>
      <w:pPr>
        <w:pStyle w:val="12"/>
        <w:numPr>
          <w:ilvl w:val="0"/>
          <w:numId w:val="2"/>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报价超出最高限价属于无效报价；</w:t>
      </w:r>
    </w:p>
    <w:p>
      <w:pPr>
        <w:pStyle w:val="12"/>
        <w:numPr>
          <w:ilvl w:val="0"/>
          <w:numId w:val="2"/>
        </w:numPr>
        <w:adjustRightInd w:val="0"/>
        <w:snapToGrid w:val="0"/>
        <w:spacing w:before="156" w:beforeLines="50" w:after="156" w:afterLines="50" w:line="360" w:lineRule="auto"/>
        <w:ind w:firstLine="420" w:firstLineChars="200"/>
        <w:jc w:val="both"/>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报价以“元”为单位，如需保留小数位，按照四舍五入保留两位小数。</w:t>
      </w: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5EF5ABC"/>
    <w:multiLevelType w:val="singleLevel"/>
    <w:tmpl w:val="05EF5ABC"/>
    <w:lvl w:ilvl="0" w:tentative="0">
      <w:start w:val="2"/>
      <w:numFmt w:val="decimal"/>
      <w:suff w:val="nothing"/>
      <w:lvlText w:val="%1、"/>
      <w:lvlJc w:val="left"/>
    </w:lvl>
  </w:abstractNum>
  <w:abstractNum w:abstractNumId="2">
    <w:nsid w:val="77060B0B"/>
    <w:multiLevelType w:val="singleLevel"/>
    <w:tmpl w:val="77060B0B"/>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E20F4"/>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22F5669"/>
    <w:rsid w:val="04315B23"/>
    <w:rsid w:val="047D794B"/>
    <w:rsid w:val="056D5EDF"/>
    <w:rsid w:val="0781071F"/>
    <w:rsid w:val="0A1D05C7"/>
    <w:rsid w:val="0B7E12D4"/>
    <w:rsid w:val="0C442BBB"/>
    <w:rsid w:val="0C5F016A"/>
    <w:rsid w:val="0D9756D8"/>
    <w:rsid w:val="110B3940"/>
    <w:rsid w:val="13AA206A"/>
    <w:rsid w:val="15174005"/>
    <w:rsid w:val="16A51726"/>
    <w:rsid w:val="170220CE"/>
    <w:rsid w:val="1ABE1249"/>
    <w:rsid w:val="1C563A57"/>
    <w:rsid w:val="1C7A2272"/>
    <w:rsid w:val="1CFC48EF"/>
    <w:rsid w:val="1D756E18"/>
    <w:rsid w:val="1EF02BF0"/>
    <w:rsid w:val="1F205897"/>
    <w:rsid w:val="1FBD6A2B"/>
    <w:rsid w:val="21E33E11"/>
    <w:rsid w:val="22836D67"/>
    <w:rsid w:val="26076B01"/>
    <w:rsid w:val="2658424A"/>
    <w:rsid w:val="26AB5D68"/>
    <w:rsid w:val="2CF47971"/>
    <w:rsid w:val="2E776174"/>
    <w:rsid w:val="2EF83617"/>
    <w:rsid w:val="2F334B02"/>
    <w:rsid w:val="2F5A077C"/>
    <w:rsid w:val="30532CCA"/>
    <w:rsid w:val="32607A69"/>
    <w:rsid w:val="328F2AA7"/>
    <w:rsid w:val="33A13BAA"/>
    <w:rsid w:val="34D17133"/>
    <w:rsid w:val="366A1DB9"/>
    <w:rsid w:val="36C52984"/>
    <w:rsid w:val="394970FD"/>
    <w:rsid w:val="39956418"/>
    <w:rsid w:val="3C9765FD"/>
    <w:rsid w:val="3E697A1E"/>
    <w:rsid w:val="3F440C7F"/>
    <w:rsid w:val="409E6AC2"/>
    <w:rsid w:val="443A32D3"/>
    <w:rsid w:val="4D8D4D74"/>
    <w:rsid w:val="4DE231CA"/>
    <w:rsid w:val="4E8A6792"/>
    <w:rsid w:val="4F6A6924"/>
    <w:rsid w:val="50130EB7"/>
    <w:rsid w:val="50C0787A"/>
    <w:rsid w:val="52F06A60"/>
    <w:rsid w:val="54821C1F"/>
    <w:rsid w:val="59A21062"/>
    <w:rsid w:val="5AF80ECE"/>
    <w:rsid w:val="5BE708ED"/>
    <w:rsid w:val="5C2A58D7"/>
    <w:rsid w:val="5CED5781"/>
    <w:rsid w:val="5D5D3303"/>
    <w:rsid w:val="5DC673A8"/>
    <w:rsid w:val="656753F9"/>
    <w:rsid w:val="67341020"/>
    <w:rsid w:val="675F2A40"/>
    <w:rsid w:val="67D1762D"/>
    <w:rsid w:val="69A70325"/>
    <w:rsid w:val="6CAA6885"/>
    <w:rsid w:val="6DD76A79"/>
    <w:rsid w:val="72D601C4"/>
    <w:rsid w:val="7375765A"/>
    <w:rsid w:val="73B21EB0"/>
    <w:rsid w:val="777501D2"/>
    <w:rsid w:val="783869E7"/>
    <w:rsid w:val="78C369DC"/>
    <w:rsid w:val="79F71E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link w:val="2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9"/>
    <w:qFormat/>
    <w:uiPriority w:val="0"/>
    <w:pPr>
      <w:spacing w:after="120"/>
    </w:pPr>
    <w:rPr>
      <w:rFonts w:ascii="Times New Roman" w:hAnsi="Times New Roman"/>
      <w:szCs w:val="24"/>
    </w:rPr>
  </w:style>
  <w:style w:type="paragraph" w:styleId="3">
    <w:name w:val="Body Text First Indent"/>
    <w:basedOn w:val="2"/>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5">
    <w:name w:val="annotation text"/>
    <w:basedOn w:val="1"/>
    <w:semiHidden/>
    <w:unhideWhenUsed/>
    <w:qFormat/>
    <w:uiPriority w:val="99"/>
    <w:pPr>
      <w:jc w:val="left"/>
    </w:pPr>
  </w:style>
  <w:style w:type="paragraph" w:styleId="6">
    <w:name w:val="Body Text Indent"/>
    <w:basedOn w:val="1"/>
    <w:link w:val="28"/>
    <w:qFormat/>
    <w:uiPriority w:val="0"/>
    <w:pPr>
      <w:ind w:firstLine="830" w:firstLineChars="352"/>
    </w:pPr>
    <w:rPr>
      <w:rFonts w:ascii="仿宋_GB2312" w:hAnsi="Times New Roman" w:eastAsia="仿宋_GB2312"/>
      <w:sz w:val="32"/>
    </w:rPr>
  </w:style>
  <w:style w:type="paragraph" w:styleId="7">
    <w:name w:val="Plain Text"/>
    <w:basedOn w:val="1"/>
    <w:link w:val="24"/>
    <w:qFormat/>
    <w:uiPriority w:val="0"/>
    <w:rPr>
      <w:rFonts w:ascii="宋体" w:hAnsi="Courier New" w:cs="Courier New"/>
      <w:szCs w:val="21"/>
    </w:rPr>
  </w:style>
  <w:style w:type="paragraph" w:styleId="8">
    <w:name w:val="Date"/>
    <w:basedOn w:val="1"/>
    <w:next w:val="1"/>
    <w:link w:val="25"/>
    <w:qFormat/>
    <w:uiPriority w:val="0"/>
    <w:pPr>
      <w:ind w:left="100" w:leftChars="2500"/>
    </w:pPr>
    <w:rPr>
      <w:rFonts w:ascii="宋体" w:hAnsi="Courier New" w:cs="Courier New"/>
      <w:szCs w:val="21"/>
    </w:rPr>
  </w:style>
  <w:style w:type="paragraph" w:styleId="9">
    <w:name w:val="Balloon Text"/>
    <w:basedOn w:val="1"/>
    <w:link w:val="35"/>
    <w:semiHidden/>
    <w:unhideWhenUsed/>
    <w:qFormat/>
    <w:uiPriority w:val="99"/>
    <w:rPr>
      <w:sz w:val="18"/>
      <w:szCs w:val="18"/>
    </w:rPr>
  </w:style>
  <w:style w:type="paragraph" w:styleId="10">
    <w:name w:val="footer"/>
    <w:basedOn w:val="1"/>
    <w:link w:val="23"/>
    <w:unhideWhenUsed/>
    <w:qFormat/>
    <w:uiPriority w:val="0"/>
    <w:pPr>
      <w:tabs>
        <w:tab w:val="center" w:pos="4153"/>
        <w:tab w:val="right" w:pos="8306"/>
      </w:tabs>
      <w:snapToGrid w:val="0"/>
      <w:jc w:val="left"/>
    </w:pPr>
    <w:rPr>
      <w:sz w:val="18"/>
      <w:szCs w:val="18"/>
    </w:rPr>
  </w:style>
  <w:style w:type="paragraph" w:styleId="11">
    <w:name w:val="header"/>
    <w:basedOn w:val="1"/>
    <w:link w:val="22"/>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30"/>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styleId="19">
    <w:name w:val="FollowedHyperlink"/>
    <w:basedOn w:val="16"/>
    <w:semiHidden/>
    <w:unhideWhenUsed/>
    <w:qFormat/>
    <w:uiPriority w:val="99"/>
    <w:rPr>
      <w:color w:val="800080"/>
      <w:u w:val="none"/>
    </w:rPr>
  </w:style>
  <w:style w:type="character" w:styleId="20">
    <w:name w:val="Hyperlink"/>
    <w:basedOn w:val="16"/>
    <w:semiHidden/>
    <w:unhideWhenUsed/>
    <w:qFormat/>
    <w:uiPriority w:val="99"/>
    <w:rPr>
      <w:color w:val="0000FF"/>
      <w:u w:val="none"/>
    </w:rPr>
  </w:style>
  <w:style w:type="character" w:customStyle="1" w:styleId="21">
    <w:name w:val="标题 2 Char"/>
    <w:basedOn w:val="16"/>
    <w:link w:val="4"/>
    <w:qFormat/>
    <w:uiPriority w:val="9"/>
    <w:rPr>
      <w:rFonts w:ascii="宋体" w:hAnsi="宋体" w:eastAsia="宋体" w:cs="宋体"/>
      <w:b/>
      <w:bCs/>
      <w:kern w:val="0"/>
      <w:sz w:val="36"/>
      <w:szCs w:val="36"/>
    </w:rPr>
  </w:style>
  <w:style w:type="character" w:customStyle="1" w:styleId="22">
    <w:name w:val="页眉 Char"/>
    <w:basedOn w:val="16"/>
    <w:link w:val="11"/>
    <w:qFormat/>
    <w:uiPriority w:val="0"/>
    <w:rPr>
      <w:sz w:val="18"/>
      <w:szCs w:val="18"/>
    </w:rPr>
  </w:style>
  <w:style w:type="character" w:customStyle="1" w:styleId="23">
    <w:name w:val="页脚 Char"/>
    <w:basedOn w:val="16"/>
    <w:link w:val="10"/>
    <w:qFormat/>
    <w:uiPriority w:val="0"/>
    <w:rPr>
      <w:sz w:val="18"/>
      <w:szCs w:val="18"/>
    </w:rPr>
  </w:style>
  <w:style w:type="character" w:customStyle="1" w:styleId="24">
    <w:name w:val="纯文本 Char"/>
    <w:basedOn w:val="16"/>
    <w:link w:val="7"/>
    <w:qFormat/>
    <w:uiPriority w:val="0"/>
    <w:rPr>
      <w:rFonts w:ascii="宋体" w:hAnsi="Courier New" w:cs="Courier New"/>
      <w:szCs w:val="21"/>
    </w:rPr>
  </w:style>
  <w:style w:type="character" w:customStyle="1" w:styleId="25">
    <w:name w:val="日期 Char"/>
    <w:basedOn w:val="16"/>
    <w:link w:val="8"/>
    <w:qFormat/>
    <w:uiPriority w:val="0"/>
    <w:rPr>
      <w:rFonts w:ascii="宋体" w:hAnsi="Courier New" w:cs="Courier New"/>
      <w:szCs w:val="21"/>
    </w:rPr>
  </w:style>
  <w:style w:type="character" w:customStyle="1" w:styleId="26">
    <w:name w:val="日期 Char1"/>
    <w:basedOn w:val="16"/>
    <w:semiHidden/>
    <w:qFormat/>
    <w:uiPriority w:val="99"/>
  </w:style>
  <w:style w:type="character" w:customStyle="1" w:styleId="27">
    <w:name w:val="纯文本 Char1"/>
    <w:basedOn w:val="16"/>
    <w:semiHidden/>
    <w:qFormat/>
    <w:uiPriority w:val="99"/>
    <w:rPr>
      <w:rFonts w:ascii="宋体" w:hAnsi="Courier New" w:eastAsia="宋体" w:cs="Courier New"/>
      <w:szCs w:val="21"/>
    </w:rPr>
  </w:style>
  <w:style w:type="character" w:customStyle="1" w:styleId="28">
    <w:name w:val="正文文本缩进 Char"/>
    <w:basedOn w:val="16"/>
    <w:link w:val="6"/>
    <w:qFormat/>
    <w:uiPriority w:val="0"/>
    <w:rPr>
      <w:rFonts w:ascii="仿宋_GB2312" w:hAnsi="Times New Roman" w:eastAsia="仿宋_GB2312"/>
      <w:sz w:val="32"/>
    </w:rPr>
  </w:style>
  <w:style w:type="character" w:customStyle="1" w:styleId="29">
    <w:name w:val="正文文本 Char"/>
    <w:basedOn w:val="16"/>
    <w:link w:val="2"/>
    <w:qFormat/>
    <w:uiPriority w:val="0"/>
    <w:rPr>
      <w:rFonts w:ascii="Times New Roman" w:hAnsi="Times New Roman"/>
      <w:szCs w:val="24"/>
    </w:rPr>
  </w:style>
  <w:style w:type="character" w:customStyle="1" w:styleId="30">
    <w:name w:val="标题 Char1"/>
    <w:basedOn w:val="16"/>
    <w:link w:val="13"/>
    <w:qFormat/>
    <w:uiPriority w:val="0"/>
    <w:rPr>
      <w:rFonts w:ascii="Cambria" w:hAnsi="Cambria" w:eastAsia="方正小标宋简体" w:cs="Times New Roman"/>
      <w:b/>
      <w:bCs/>
      <w:sz w:val="44"/>
      <w:szCs w:val="32"/>
    </w:rPr>
  </w:style>
  <w:style w:type="character" w:customStyle="1" w:styleId="31">
    <w:name w:val="标题 Char"/>
    <w:basedOn w:val="16"/>
    <w:qFormat/>
    <w:uiPriority w:val="10"/>
    <w:rPr>
      <w:rFonts w:eastAsia="宋体" w:asciiTheme="majorHAnsi" w:hAnsiTheme="majorHAnsi" w:cstheme="majorBidi"/>
      <w:b/>
      <w:bCs/>
      <w:sz w:val="32"/>
      <w:szCs w:val="32"/>
    </w:rPr>
  </w:style>
  <w:style w:type="character" w:customStyle="1" w:styleId="32">
    <w:name w:val="正文文本缩进 Char1"/>
    <w:basedOn w:val="16"/>
    <w:semiHidden/>
    <w:qFormat/>
    <w:uiPriority w:val="99"/>
  </w:style>
  <w:style w:type="character" w:customStyle="1" w:styleId="33">
    <w:name w:val="正文文本 Char1"/>
    <w:basedOn w:val="16"/>
    <w:semiHidden/>
    <w:qFormat/>
    <w:uiPriority w:val="99"/>
  </w:style>
  <w:style w:type="paragraph" w:customStyle="1" w:styleId="34">
    <w:name w:val="1 Char"/>
    <w:basedOn w:val="1"/>
    <w:semiHidden/>
    <w:qFormat/>
    <w:uiPriority w:val="0"/>
    <w:rPr>
      <w:rFonts w:ascii="Times New Roman" w:hAnsi="Times New Roman" w:eastAsia="宋体" w:cs="Times New Roman"/>
      <w:szCs w:val="24"/>
    </w:rPr>
  </w:style>
  <w:style w:type="character" w:customStyle="1" w:styleId="35">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1</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持续工作中</cp:lastModifiedBy>
  <dcterms:modified xsi:type="dcterms:W3CDTF">2022-09-20T10:54:08Z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